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9423" w14:textId="77777777" w:rsidR="00A9712A" w:rsidRPr="00B45791"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AD9D31D" w14:textId="77777777" w:rsidR="00A9712A"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7184D58D" w14:textId="77777777" w:rsidR="00A9712A" w:rsidRPr="007962D2" w:rsidRDefault="00A9712A" w:rsidP="00A9712A">
      <w:pPr>
        <w:tabs>
          <w:tab w:val="left" w:pos="8610"/>
        </w:tabs>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10017025" w14:textId="77777777" w:rsidR="00A9712A" w:rsidRPr="007962D2" w:rsidRDefault="00A9712A" w:rsidP="00A9712A">
      <w:pPr>
        <w:jc w:val="right"/>
        <w:rPr>
          <w:rFonts w:ascii="Times New Roman" w:hAnsi="Times New Roman" w:cs="Times New Roman"/>
        </w:rPr>
      </w:pPr>
    </w:p>
    <w:p w14:paraId="223800E7"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59876001"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397AE825" w14:textId="77777777" w:rsidR="00A9712A" w:rsidRPr="007962D2" w:rsidRDefault="00A9712A" w:rsidP="00A9712A">
      <w:pPr>
        <w:spacing w:after="0" w:line="240" w:lineRule="auto"/>
        <w:jc w:val="center"/>
        <w:rPr>
          <w:rFonts w:ascii="Times New Roman" w:eastAsia="Calibri" w:hAnsi="Times New Roman" w:cs="Times New Roman"/>
          <w:bCs/>
          <w:lang w:eastAsia="lt-LT"/>
        </w:rPr>
      </w:pPr>
    </w:p>
    <w:p w14:paraId="3B28AEDB"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C8D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D317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3CF37244" w14:textId="77777777" w:rsidR="00A9712A" w:rsidRDefault="00A9712A" w:rsidP="00A9712A">
      <w:pPr>
        <w:spacing w:after="0" w:line="240" w:lineRule="auto"/>
        <w:jc w:val="center"/>
        <w:rPr>
          <w:rFonts w:ascii="Times New Roman" w:eastAsia="Calibri" w:hAnsi="Times New Roman" w:cs="Times New Roman"/>
          <w:bCs/>
          <w:lang w:eastAsia="lt-LT"/>
        </w:rPr>
      </w:pPr>
    </w:p>
    <w:p w14:paraId="6273693A" w14:textId="3813A5E9" w:rsidR="00A9712A" w:rsidRDefault="004A1C13" w:rsidP="00A9712A">
      <w:pPr>
        <w:spacing w:after="0" w:line="240" w:lineRule="auto"/>
        <w:jc w:val="center"/>
        <w:rPr>
          <w:rFonts w:ascii="Times New Roman" w:hAnsi="Times New Roman" w:cs="Times New Roman"/>
          <w:b/>
        </w:rPr>
      </w:pPr>
      <w:r>
        <w:rPr>
          <w:rFonts w:ascii="Times New Roman" w:hAnsi="Times New Roman" w:cs="Times New Roman"/>
          <w:b/>
        </w:rPr>
        <w:t xml:space="preserve">Vairavimo </w:t>
      </w:r>
      <w:proofErr w:type="spellStart"/>
      <w:r>
        <w:rPr>
          <w:rFonts w:ascii="Times New Roman" w:hAnsi="Times New Roman" w:cs="Times New Roman"/>
          <w:b/>
        </w:rPr>
        <w:t>simuliatorius</w:t>
      </w:r>
      <w:proofErr w:type="spellEnd"/>
    </w:p>
    <w:p w14:paraId="0098BDB3" w14:textId="77777777" w:rsidR="00A9712A" w:rsidRDefault="00A9712A" w:rsidP="00A9712A">
      <w:pPr>
        <w:spacing w:after="0" w:line="240" w:lineRule="auto"/>
        <w:jc w:val="center"/>
        <w:rPr>
          <w:rFonts w:ascii="Times New Roman" w:eastAsia="Calibri" w:hAnsi="Times New Roman" w:cs="Times New Roman"/>
          <w:bCs/>
          <w:lang w:eastAsia="lt-LT"/>
        </w:rPr>
      </w:pPr>
    </w:p>
    <w:p w14:paraId="600412C9" w14:textId="5A586023" w:rsidR="00AB79B9" w:rsidRDefault="00A9712A" w:rsidP="00E44183">
      <w:pPr>
        <w:tabs>
          <w:tab w:val="num" w:pos="1440"/>
        </w:tabs>
        <w:spacing w:after="0" w:line="276" w:lineRule="auto"/>
        <w:jc w:val="both"/>
        <w:textAlignment w:val="baseline"/>
        <w:rPr>
          <w:rFonts w:ascii="Times New Roman" w:eastAsia="Calibri" w:hAnsi="Times New Roman" w:cs="Times New Roman"/>
          <w:bCs/>
          <w:lang w:eastAsia="lt-LT"/>
        </w:rPr>
      </w:pPr>
      <w:r w:rsidRPr="000E6391">
        <w:rPr>
          <w:rFonts w:ascii="Times New Roman" w:eastAsia="Calibri" w:hAnsi="Times New Roman" w:cs="Times New Roman"/>
          <w:bCs/>
          <w:lang w:eastAsia="lt-LT"/>
        </w:rPr>
        <w:t xml:space="preserve">Aš, [tiekėjo pavadinimas], patvirtinu ir įsipareigoju, kad siūlomi </w:t>
      </w:r>
      <w:r w:rsidR="004A1C13">
        <w:rPr>
          <w:rFonts w:ascii="Times New Roman" w:eastAsia="Calibri" w:hAnsi="Times New Roman" w:cs="Times New Roman"/>
          <w:b/>
          <w:lang w:eastAsia="lt-LT"/>
        </w:rPr>
        <w:t xml:space="preserve">vairavimo </w:t>
      </w:r>
      <w:proofErr w:type="spellStart"/>
      <w:r w:rsidR="004A1C13">
        <w:rPr>
          <w:rFonts w:ascii="Times New Roman" w:eastAsia="Calibri" w:hAnsi="Times New Roman" w:cs="Times New Roman"/>
          <w:b/>
          <w:lang w:eastAsia="lt-LT"/>
        </w:rPr>
        <w:t>simuliatorius</w:t>
      </w:r>
      <w:proofErr w:type="spellEnd"/>
      <w:r w:rsidR="004A1C13">
        <w:rPr>
          <w:rFonts w:ascii="Times New Roman" w:eastAsia="Calibri" w:hAnsi="Times New Roman" w:cs="Times New Roman"/>
          <w:b/>
          <w:lang w:eastAsia="lt-LT"/>
        </w:rPr>
        <w:t xml:space="preserve"> </w:t>
      </w:r>
      <w:r w:rsidRPr="000E6391">
        <w:rPr>
          <w:rFonts w:ascii="Times New Roman" w:eastAsia="Calibri" w:hAnsi="Times New Roman" w:cs="Times New Roman"/>
          <w:bCs/>
          <w:lang w:eastAsia="lt-LT"/>
        </w:rPr>
        <w:t xml:space="preserve"> atitiks aplinkos apsaugos (ilgaamžiškumo ir </w:t>
      </w:r>
      <w:proofErr w:type="spellStart"/>
      <w:r w:rsidRPr="000E6391">
        <w:rPr>
          <w:rFonts w:ascii="Times New Roman" w:eastAsia="Calibri" w:hAnsi="Times New Roman" w:cs="Times New Roman"/>
          <w:bCs/>
          <w:lang w:eastAsia="lt-LT"/>
        </w:rPr>
        <w:t>pataisomumo</w:t>
      </w:r>
      <w:proofErr w:type="spellEnd"/>
      <w:r w:rsidRPr="000E6391">
        <w:rPr>
          <w:rFonts w:ascii="Times New Roman" w:eastAsia="Calibri" w:hAnsi="Times New Roman" w:cs="Times New Roman"/>
          <w:bCs/>
          <w:lang w:eastAsia="lt-LT"/>
        </w:rPr>
        <w:t>) reikalavimus bei užtikrinu, kad:</w:t>
      </w:r>
    </w:p>
    <w:p w14:paraId="5EE4D9CC" w14:textId="5FF642AC" w:rsidR="00E44183" w:rsidRPr="00E44183" w:rsidRDefault="00E44183" w:rsidP="00E44183">
      <w:pPr>
        <w:tabs>
          <w:tab w:val="num" w:pos="1440"/>
        </w:tabs>
        <w:spacing w:after="0" w:line="276" w:lineRule="auto"/>
        <w:jc w:val="both"/>
        <w:textAlignment w:val="baseline"/>
        <w:rPr>
          <w:rFonts w:ascii="Times New Roman" w:eastAsia="Calibri" w:hAnsi="Times New Roman" w:cs="Times New Roman"/>
          <w:bCs/>
          <w:lang w:eastAsia="lt-LT"/>
        </w:rPr>
      </w:pPr>
      <w:r w:rsidRPr="00E44183">
        <w:rPr>
          <w:rFonts w:ascii="Times New Roman" w:eastAsia="Calibri" w:hAnsi="Times New Roman" w:cs="Times New Roman"/>
          <w:b/>
          <w:bCs/>
          <w:lang w:eastAsia="lt-LT"/>
        </w:rPr>
        <w:t>1. Keičiamos dalys</w:t>
      </w:r>
      <w:r>
        <w:rPr>
          <w:rFonts w:ascii="Times New Roman" w:eastAsia="Calibri" w:hAnsi="Times New Roman" w:cs="Times New Roman"/>
          <w:b/>
          <w:bCs/>
          <w:lang w:eastAsia="lt-LT"/>
        </w:rPr>
        <w:t xml:space="preserve">. </w:t>
      </w:r>
      <w:proofErr w:type="spellStart"/>
      <w:r w:rsidRPr="00E44183">
        <w:rPr>
          <w:rFonts w:ascii="Times New Roman" w:eastAsia="Calibri" w:hAnsi="Times New Roman" w:cs="Times New Roman"/>
          <w:bCs/>
          <w:lang w:eastAsia="lt-LT"/>
        </w:rPr>
        <w:t>Simuliatoriaus</w:t>
      </w:r>
      <w:proofErr w:type="spellEnd"/>
      <w:r w:rsidRPr="00E44183">
        <w:rPr>
          <w:rFonts w:ascii="Times New Roman" w:eastAsia="Calibri" w:hAnsi="Times New Roman" w:cs="Times New Roman"/>
          <w:bCs/>
          <w:lang w:eastAsia="lt-LT"/>
        </w:rPr>
        <w:t xml:space="preserve"> konstrukcija sudaro galimybę keisti susidėvinčias ar pažeidžiamas dalis, įskaitant, bet neapsiribojant:</w:t>
      </w:r>
    </w:p>
    <w:p w14:paraId="0C844AC4" w14:textId="77777777" w:rsidR="00E44183" w:rsidRPr="00E44183" w:rsidRDefault="00E44183" w:rsidP="00E44183">
      <w:pPr>
        <w:tabs>
          <w:tab w:val="num" w:pos="1440"/>
        </w:tabs>
        <w:spacing w:after="0" w:line="276" w:lineRule="auto"/>
        <w:textAlignment w:val="baseline"/>
        <w:rPr>
          <w:rFonts w:ascii="Times New Roman" w:eastAsia="Calibri" w:hAnsi="Times New Roman" w:cs="Times New Roman"/>
          <w:bCs/>
          <w:lang w:eastAsia="lt-LT"/>
        </w:rPr>
      </w:pPr>
      <w:r w:rsidRPr="00E44183">
        <w:rPr>
          <w:rFonts w:ascii="Times New Roman" w:eastAsia="Calibri" w:hAnsi="Times New Roman" w:cs="Times New Roman"/>
          <w:bCs/>
          <w:lang w:eastAsia="lt-LT"/>
        </w:rPr>
        <w:t xml:space="preserve">1.1. </w:t>
      </w:r>
      <w:proofErr w:type="spellStart"/>
      <w:r w:rsidRPr="00E44183">
        <w:rPr>
          <w:rFonts w:ascii="Times New Roman" w:eastAsia="Calibri" w:hAnsi="Times New Roman" w:cs="Times New Roman"/>
          <w:lang w:eastAsia="lt-LT"/>
        </w:rPr>
        <w:t>Simuliatoriaus</w:t>
      </w:r>
      <w:proofErr w:type="spellEnd"/>
      <w:r w:rsidRPr="00E44183">
        <w:rPr>
          <w:rFonts w:ascii="Times New Roman" w:eastAsia="Calibri" w:hAnsi="Times New Roman" w:cs="Times New Roman"/>
          <w:lang w:eastAsia="lt-LT"/>
        </w:rPr>
        <w:t xml:space="preserve"> rėmas – aliuminio profilio tvirtinimai (pedalams, vairo bazei, sėdynėms), kampo ir atstumo reguliavimo mechanizmai;</w:t>
      </w:r>
      <w:r w:rsidRPr="00E44183">
        <w:rPr>
          <w:rFonts w:ascii="Times New Roman" w:eastAsia="Calibri" w:hAnsi="Times New Roman" w:cs="Times New Roman"/>
          <w:lang w:eastAsia="lt-LT"/>
        </w:rPr>
        <w:br/>
        <w:t>1.2. Vairo mechanizmas – vairo servo/variklio moduliai, tvirtinimo detalės, vairo pagrindas;</w:t>
      </w:r>
      <w:r w:rsidRPr="00E44183">
        <w:rPr>
          <w:rFonts w:ascii="Times New Roman" w:eastAsia="Calibri" w:hAnsi="Times New Roman" w:cs="Times New Roman"/>
          <w:lang w:eastAsia="lt-LT"/>
        </w:rPr>
        <w:br/>
        <w:t xml:space="preserve">1.3. Pedalai – sankabos, stabdžio ir </w:t>
      </w:r>
      <w:proofErr w:type="spellStart"/>
      <w:r w:rsidRPr="00E44183">
        <w:rPr>
          <w:rFonts w:ascii="Times New Roman" w:eastAsia="Calibri" w:hAnsi="Times New Roman" w:cs="Times New Roman"/>
          <w:lang w:eastAsia="lt-LT"/>
        </w:rPr>
        <w:t>gazo</w:t>
      </w:r>
      <w:proofErr w:type="spellEnd"/>
      <w:r w:rsidRPr="00E44183">
        <w:rPr>
          <w:rFonts w:ascii="Times New Roman" w:eastAsia="Calibri" w:hAnsi="Times New Roman" w:cs="Times New Roman"/>
          <w:lang w:eastAsia="lt-LT"/>
        </w:rPr>
        <w:t xml:space="preserve"> pedalų komponentai, hidraulinė sistema, tvirtinimai;</w:t>
      </w:r>
      <w:r w:rsidRPr="00E44183">
        <w:rPr>
          <w:rFonts w:ascii="Times New Roman" w:eastAsia="Calibri" w:hAnsi="Times New Roman" w:cs="Times New Roman"/>
          <w:lang w:eastAsia="lt-LT"/>
        </w:rPr>
        <w:br/>
        <w:t>1.4. Sėdynė – mechanizmai, leidžiantys reguliuoti kampą, aukštį, atstumą;</w:t>
      </w:r>
      <w:r w:rsidRPr="00E44183">
        <w:rPr>
          <w:rFonts w:ascii="Times New Roman" w:eastAsia="Calibri" w:hAnsi="Times New Roman" w:cs="Times New Roman"/>
          <w:lang w:eastAsia="lt-LT"/>
        </w:rPr>
        <w:br/>
        <w:t>1.5. Monitorių laikikliai – tvirtinimo detalių moduliai, kampo reguliavimo mechanizmai;</w:t>
      </w:r>
      <w:r w:rsidRPr="00E44183">
        <w:rPr>
          <w:rFonts w:ascii="Times New Roman" w:eastAsia="Calibri" w:hAnsi="Times New Roman" w:cs="Times New Roman"/>
          <w:lang w:eastAsia="lt-LT"/>
        </w:rPr>
        <w:br/>
        <w:t>1.6. VR akinių sistema – akinių lęšių reguliavimo dalys, sekimo stotelės tvirtinimai;</w:t>
      </w:r>
      <w:r w:rsidRPr="00E44183">
        <w:rPr>
          <w:rFonts w:ascii="Times New Roman" w:eastAsia="Calibri" w:hAnsi="Times New Roman" w:cs="Times New Roman"/>
          <w:lang w:eastAsia="lt-LT"/>
        </w:rPr>
        <w:br/>
        <w:t>1.7. Kontrolės pultai – mygtukų moduliai, tvirtinimo mechanizmai;</w:t>
      </w:r>
      <w:r w:rsidRPr="00E44183">
        <w:rPr>
          <w:rFonts w:ascii="Times New Roman" w:eastAsia="Calibri" w:hAnsi="Times New Roman" w:cs="Times New Roman"/>
          <w:lang w:eastAsia="lt-LT"/>
        </w:rPr>
        <w:br/>
        <w:t>1.8. Kompiuterio moduliai – atskiri komponentai (grafikos plokštė, SSD, RAM) lengvai keičiami;</w:t>
      </w:r>
      <w:r w:rsidRPr="00E44183">
        <w:rPr>
          <w:rFonts w:ascii="Times New Roman" w:eastAsia="Calibri" w:hAnsi="Times New Roman" w:cs="Times New Roman"/>
          <w:lang w:eastAsia="lt-LT"/>
        </w:rPr>
        <w:br/>
        <w:t>1.9. Kitos išorinės dalys –</w:t>
      </w:r>
      <w:r w:rsidRPr="00E44183">
        <w:rPr>
          <w:rFonts w:ascii="Times New Roman" w:eastAsia="Calibri" w:hAnsi="Times New Roman" w:cs="Times New Roman"/>
          <w:bCs/>
          <w:lang w:eastAsia="lt-LT"/>
        </w:rPr>
        <w:t xml:space="preserve"> apsauginiai dangčiai, kabelių tvirtinimai, papildomi moduliai.</w:t>
      </w:r>
    </w:p>
    <w:p w14:paraId="529D4F7F" w14:textId="46774EFC" w:rsidR="00E44183" w:rsidRPr="00E44183" w:rsidRDefault="00E44183" w:rsidP="00E44183">
      <w:pPr>
        <w:tabs>
          <w:tab w:val="num" w:pos="1440"/>
        </w:tabs>
        <w:spacing w:after="0" w:line="276" w:lineRule="auto"/>
        <w:jc w:val="both"/>
        <w:textAlignment w:val="baseline"/>
        <w:rPr>
          <w:rFonts w:ascii="Times New Roman" w:eastAsia="Calibri" w:hAnsi="Times New Roman" w:cs="Times New Roman"/>
          <w:bCs/>
          <w:lang w:eastAsia="lt-LT"/>
        </w:rPr>
      </w:pPr>
      <w:r w:rsidRPr="00E44183">
        <w:rPr>
          <w:rFonts w:ascii="Times New Roman" w:eastAsia="Calibri" w:hAnsi="Times New Roman" w:cs="Times New Roman"/>
          <w:b/>
          <w:bCs/>
          <w:lang w:eastAsia="lt-LT"/>
        </w:rPr>
        <w:t>2. Atsarginių dalių tiekimas</w:t>
      </w:r>
      <w:r>
        <w:rPr>
          <w:rFonts w:ascii="Times New Roman" w:eastAsia="Calibri" w:hAnsi="Times New Roman" w:cs="Times New Roman"/>
          <w:b/>
          <w:bCs/>
          <w:lang w:eastAsia="lt-LT"/>
        </w:rPr>
        <w:t xml:space="preserve">. </w:t>
      </w:r>
      <w:r w:rsidRPr="00E44183">
        <w:rPr>
          <w:rFonts w:ascii="Times New Roman" w:eastAsia="Calibri" w:hAnsi="Times New Roman" w:cs="Times New Roman"/>
          <w:bCs/>
          <w:lang w:eastAsia="lt-LT"/>
        </w:rPr>
        <w:t xml:space="preserve">Įsipareigoju užtikrinti visų minėtų komponentų atsarginių dalių tiekimą ne trumpiau kaip </w:t>
      </w:r>
      <w:r w:rsidRPr="00E44183">
        <w:rPr>
          <w:rFonts w:ascii="Times New Roman" w:eastAsia="Calibri" w:hAnsi="Times New Roman" w:cs="Times New Roman"/>
          <w:lang w:eastAsia="lt-LT"/>
        </w:rPr>
        <w:t>2 metus</w:t>
      </w:r>
      <w:r w:rsidRPr="00E44183">
        <w:rPr>
          <w:rFonts w:ascii="Times New Roman" w:eastAsia="Calibri" w:hAnsi="Times New Roman" w:cs="Times New Roman"/>
          <w:bCs/>
          <w:lang w:eastAsia="lt-LT"/>
        </w:rPr>
        <w:t xml:space="preserve"> nuo įrangos perdavimo.</w:t>
      </w:r>
    </w:p>
    <w:p w14:paraId="25A68E1A" w14:textId="21657B09" w:rsidR="00E44183" w:rsidRPr="00E44183" w:rsidRDefault="00E44183" w:rsidP="00E44183">
      <w:pPr>
        <w:tabs>
          <w:tab w:val="num" w:pos="1440"/>
        </w:tabs>
        <w:spacing w:after="0" w:line="276" w:lineRule="auto"/>
        <w:jc w:val="both"/>
        <w:textAlignment w:val="baseline"/>
        <w:rPr>
          <w:rFonts w:ascii="Times New Roman" w:eastAsia="Calibri" w:hAnsi="Times New Roman" w:cs="Times New Roman"/>
          <w:bCs/>
          <w:lang w:eastAsia="lt-LT"/>
        </w:rPr>
      </w:pPr>
      <w:r w:rsidRPr="00E44183">
        <w:rPr>
          <w:rFonts w:ascii="Times New Roman" w:eastAsia="Calibri" w:hAnsi="Times New Roman" w:cs="Times New Roman"/>
          <w:b/>
          <w:bCs/>
          <w:lang w:eastAsia="lt-LT"/>
        </w:rPr>
        <w:t>3. Garantija</w:t>
      </w:r>
      <w:r>
        <w:rPr>
          <w:rFonts w:ascii="Times New Roman" w:eastAsia="Calibri" w:hAnsi="Times New Roman" w:cs="Times New Roman"/>
          <w:b/>
          <w:bCs/>
          <w:lang w:eastAsia="lt-LT"/>
        </w:rPr>
        <w:t xml:space="preserve">. </w:t>
      </w:r>
      <w:r w:rsidRPr="00E44183">
        <w:rPr>
          <w:rFonts w:ascii="Times New Roman" w:eastAsia="Calibri" w:hAnsi="Times New Roman" w:cs="Times New Roman"/>
          <w:bCs/>
          <w:lang w:eastAsia="lt-LT"/>
        </w:rPr>
        <w:t xml:space="preserve">Įsipareigoju suteikti siūlomam vairavimo </w:t>
      </w:r>
      <w:proofErr w:type="spellStart"/>
      <w:r w:rsidRPr="00E44183">
        <w:rPr>
          <w:rFonts w:ascii="Times New Roman" w:eastAsia="Calibri" w:hAnsi="Times New Roman" w:cs="Times New Roman"/>
          <w:bCs/>
          <w:lang w:eastAsia="lt-LT"/>
        </w:rPr>
        <w:t>simuliatoriui</w:t>
      </w:r>
      <w:proofErr w:type="spellEnd"/>
      <w:r w:rsidRPr="00E44183">
        <w:rPr>
          <w:rFonts w:ascii="Times New Roman" w:eastAsia="Calibri" w:hAnsi="Times New Roman" w:cs="Times New Roman"/>
          <w:bCs/>
          <w:lang w:eastAsia="lt-LT"/>
        </w:rPr>
        <w:t xml:space="preserve"> ne trumpesnę kaip 24 mėnesių garantiją, kuri apimtų visų privalomų dalių remontą ar pakeitimą.</w:t>
      </w:r>
    </w:p>
    <w:p w14:paraId="7D19A267" w14:textId="5323F057" w:rsidR="00E44183" w:rsidRPr="00E44183" w:rsidRDefault="00E44183" w:rsidP="00E44183">
      <w:pPr>
        <w:tabs>
          <w:tab w:val="num" w:pos="1440"/>
        </w:tabs>
        <w:spacing w:after="0" w:line="276" w:lineRule="auto"/>
        <w:jc w:val="both"/>
        <w:textAlignment w:val="baseline"/>
        <w:rPr>
          <w:rFonts w:ascii="Times New Roman" w:eastAsia="Calibri" w:hAnsi="Times New Roman" w:cs="Times New Roman"/>
          <w:bCs/>
          <w:lang w:eastAsia="lt-LT"/>
        </w:rPr>
      </w:pPr>
      <w:r w:rsidRPr="00E44183">
        <w:rPr>
          <w:rFonts w:ascii="Times New Roman" w:eastAsia="Calibri" w:hAnsi="Times New Roman" w:cs="Times New Roman"/>
          <w:b/>
          <w:bCs/>
          <w:lang w:eastAsia="lt-LT"/>
        </w:rPr>
        <w:t>4. Konstrukciniai sprendimai</w:t>
      </w:r>
      <w:r>
        <w:rPr>
          <w:rFonts w:ascii="Times New Roman" w:eastAsia="Calibri" w:hAnsi="Times New Roman" w:cs="Times New Roman"/>
          <w:b/>
          <w:bCs/>
          <w:lang w:eastAsia="lt-LT"/>
        </w:rPr>
        <w:t xml:space="preserve">. </w:t>
      </w:r>
      <w:r w:rsidRPr="00E44183">
        <w:rPr>
          <w:rFonts w:ascii="Times New Roman" w:eastAsia="Calibri" w:hAnsi="Times New Roman" w:cs="Times New Roman"/>
          <w:bCs/>
          <w:lang w:eastAsia="lt-LT"/>
        </w:rPr>
        <w:t xml:space="preserve">Patvirtinu, kad </w:t>
      </w:r>
      <w:proofErr w:type="spellStart"/>
      <w:r w:rsidRPr="00E44183">
        <w:rPr>
          <w:rFonts w:ascii="Times New Roman" w:eastAsia="Calibri" w:hAnsi="Times New Roman" w:cs="Times New Roman"/>
          <w:bCs/>
          <w:lang w:eastAsia="lt-LT"/>
        </w:rPr>
        <w:t>simuliatorius</w:t>
      </w:r>
      <w:proofErr w:type="spellEnd"/>
      <w:r w:rsidRPr="00E44183">
        <w:rPr>
          <w:rFonts w:ascii="Times New Roman" w:eastAsia="Calibri" w:hAnsi="Times New Roman" w:cs="Times New Roman"/>
          <w:bCs/>
          <w:lang w:eastAsia="lt-LT"/>
        </w:rPr>
        <w:t xml:space="preserve"> bus sukonstruotas taip, kad jo </w:t>
      </w:r>
      <w:r w:rsidRPr="00E44183">
        <w:rPr>
          <w:rFonts w:ascii="Times New Roman" w:eastAsia="Calibri" w:hAnsi="Times New Roman" w:cs="Times New Roman"/>
          <w:lang w:eastAsia="lt-LT"/>
        </w:rPr>
        <w:t>techninė priežiūra, remontas ir dalių keitimas galėtų būti atliekami nenaudojant negrįžtamų ardymo metodų,</w:t>
      </w:r>
      <w:r w:rsidRPr="00E44183">
        <w:rPr>
          <w:rFonts w:ascii="Times New Roman" w:eastAsia="Calibri" w:hAnsi="Times New Roman" w:cs="Times New Roman"/>
          <w:bCs/>
          <w:lang w:eastAsia="lt-LT"/>
        </w:rPr>
        <w:t xml:space="preserve"> pvz., neišardomų suvirinimų ar kitų sprendimų, dėl kurių būtų pažeidžiama visa konstrukcija.</w:t>
      </w:r>
    </w:p>
    <w:p w14:paraId="68FAB784" w14:textId="36217BAE" w:rsidR="00AB79B9" w:rsidRDefault="00E44183" w:rsidP="00AB79B9">
      <w:pPr>
        <w:tabs>
          <w:tab w:val="num" w:pos="1440"/>
        </w:tabs>
        <w:spacing w:after="0" w:line="276" w:lineRule="auto"/>
        <w:textAlignment w:val="baseline"/>
        <w:rPr>
          <w:rFonts w:ascii="Times New Roman" w:eastAsia="Calibri" w:hAnsi="Times New Roman" w:cs="Times New Roman"/>
          <w:lang w:eastAsia="lt-LT"/>
        </w:rPr>
      </w:pPr>
      <w:r w:rsidRPr="00E44183">
        <w:rPr>
          <w:rFonts w:ascii="Times New Roman" w:eastAsia="Calibri" w:hAnsi="Times New Roman" w:cs="Times New Roman"/>
          <w:b/>
          <w:bCs/>
          <w:lang w:eastAsia="lt-LT"/>
        </w:rPr>
        <w:t>5. Energijos vartojimo ir saugos sprendimai</w:t>
      </w:r>
      <w:r>
        <w:rPr>
          <w:rFonts w:ascii="Times New Roman" w:eastAsia="Calibri" w:hAnsi="Times New Roman" w:cs="Times New Roman"/>
          <w:b/>
          <w:bCs/>
          <w:lang w:eastAsia="lt-LT"/>
        </w:rPr>
        <w:t xml:space="preserve">. </w:t>
      </w:r>
      <w:r w:rsidRPr="00E44183">
        <w:rPr>
          <w:rFonts w:ascii="Times New Roman" w:eastAsia="Calibri" w:hAnsi="Times New Roman" w:cs="Times New Roman"/>
          <w:bCs/>
          <w:lang w:eastAsia="lt-LT"/>
        </w:rPr>
        <w:t>Įranga turi:</w:t>
      </w:r>
      <w:r w:rsidRPr="00E44183">
        <w:rPr>
          <w:rFonts w:ascii="Times New Roman" w:eastAsia="Calibri" w:hAnsi="Times New Roman" w:cs="Times New Roman"/>
          <w:bCs/>
          <w:lang w:eastAsia="lt-LT"/>
        </w:rPr>
        <w:br/>
        <w:t xml:space="preserve">5.1. Apsaugą nuo perkaitimo (varikliai, </w:t>
      </w:r>
      <w:proofErr w:type="spellStart"/>
      <w:r w:rsidRPr="00E44183">
        <w:rPr>
          <w:rFonts w:ascii="Times New Roman" w:eastAsia="Calibri" w:hAnsi="Times New Roman" w:cs="Times New Roman"/>
          <w:bCs/>
          <w:lang w:eastAsia="lt-LT"/>
        </w:rPr>
        <w:t>servomechanizmai</w:t>
      </w:r>
      <w:proofErr w:type="spellEnd"/>
      <w:r w:rsidRPr="00E44183">
        <w:rPr>
          <w:rFonts w:ascii="Times New Roman" w:eastAsia="Calibri" w:hAnsi="Times New Roman" w:cs="Times New Roman"/>
          <w:bCs/>
          <w:lang w:eastAsia="lt-LT"/>
        </w:rPr>
        <w:t>);</w:t>
      </w:r>
      <w:r w:rsidRPr="00E44183">
        <w:rPr>
          <w:rFonts w:ascii="Times New Roman" w:eastAsia="Calibri" w:hAnsi="Times New Roman" w:cs="Times New Roman"/>
          <w:bCs/>
          <w:lang w:eastAsia="lt-LT"/>
        </w:rPr>
        <w:br/>
        <w:t>5.2. Apsaugą nuo savaiminio paleidimo po elektros tiekimo nutrūkimo</w:t>
      </w:r>
      <w:r>
        <w:rPr>
          <w:rFonts w:ascii="Times New Roman" w:eastAsia="Calibri" w:hAnsi="Times New Roman" w:cs="Times New Roman"/>
          <w:bCs/>
          <w:lang w:eastAsia="lt-LT"/>
        </w:rPr>
        <w:t>.</w:t>
      </w:r>
    </w:p>
    <w:p w14:paraId="6110992D" w14:textId="77777777" w:rsidR="00AB79B9" w:rsidRDefault="00AB79B9" w:rsidP="00AB79B9">
      <w:pPr>
        <w:tabs>
          <w:tab w:val="num" w:pos="1440"/>
        </w:tabs>
        <w:spacing w:after="0" w:line="276" w:lineRule="auto"/>
        <w:textAlignment w:val="baseline"/>
        <w:rPr>
          <w:rFonts w:ascii="Times New Roman" w:eastAsia="Calibri" w:hAnsi="Times New Roman" w:cs="Times New Roman"/>
          <w:lang w:eastAsia="lt-LT"/>
        </w:rPr>
      </w:pPr>
    </w:p>
    <w:p w14:paraId="7D0C1F10" w14:textId="77777777" w:rsidR="00AB79B9" w:rsidRPr="00AB79B9" w:rsidRDefault="00AB79B9" w:rsidP="00AB79B9">
      <w:pPr>
        <w:tabs>
          <w:tab w:val="num" w:pos="1440"/>
        </w:tabs>
        <w:spacing w:after="0" w:line="276" w:lineRule="auto"/>
        <w:textAlignment w:val="baseline"/>
        <w:rPr>
          <w:rFonts w:ascii="Times New Roman" w:eastAsia="Calibri" w:hAnsi="Times New Roman" w:cs="Times New Roman"/>
          <w:lang w:eastAsia="lt-LT"/>
        </w:rPr>
      </w:pPr>
    </w:p>
    <w:p w14:paraId="40E63291" w14:textId="77777777" w:rsidR="00A9712A" w:rsidRPr="000E6391" w:rsidRDefault="00A9712A" w:rsidP="00A9712A">
      <w:pPr>
        <w:spacing w:after="0"/>
        <w:rPr>
          <w:rFonts w:ascii="Times New Roman" w:eastAsia="Calibri" w:hAnsi="Times New Roman" w:cs="Times New Roman"/>
          <w:b/>
          <w:bCs/>
          <w:lang w:eastAsia="lt-LT"/>
        </w:rPr>
      </w:pPr>
      <w:r w:rsidRPr="000E6391">
        <w:rPr>
          <w:rFonts w:ascii="Times New Roman" w:hAnsi="Times New Roman" w:cs="Times New Roman"/>
          <w:b/>
          <w:bCs/>
          <w:color w:val="C00000"/>
        </w:rPr>
        <w:t>[Užpildyti]</w:t>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b/>
          <w:bCs/>
          <w:color w:val="C00000"/>
        </w:rPr>
        <w:t>[Pasirašyti]</w:t>
      </w:r>
    </w:p>
    <w:p w14:paraId="5A2EAB42" w14:textId="77777777" w:rsidR="00A9712A" w:rsidRPr="00B978FC" w:rsidRDefault="00A9712A" w:rsidP="00A9712A">
      <w:pPr>
        <w:spacing w:after="0"/>
        <w:rPr>
          <w:rFonts w:ascii="Times New Roman" w:eastAsia="Calibri" w:hAnsi="Times New Roman" w:cs="Times New Roman"/>
          <w:lang w:eastAsia="lt-LT"/>
        </w:rPr>
      </w:pPr>
      <w:r w:rsidRPr="000E6391">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6C97097B" w14:textId="6CEFE825" w:rsidR="001523D9" w:rsidRDefault="00A9712A" w:rsidP="00A9712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152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74A"/>
    <w:multiLevelType w:val="hybridMultilevel"/>
    <w:tmpl w:val="4DA6594C"/>
    <w:lvl w:ilvl="0" w:tplc="DDEC67D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150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9"/>
    <w:rsid w:val="001523D9"/>
    <w:rsid w:val="002855CF"/>
    <w:rsid w:val="004A1C13"/>
    <w:rsid w:val="00A9712A"/>
    <w:rsid w:val="00AB79B9"/>
    <w:rsid w:val="00E44183"/>
    <w:rsid w:val="00F37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725"/>
  <w15:chartTrackingRefBased/>
  <w15:docId w15:val="{30140B6C-06FF-4779-A121-267BD9D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3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3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3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3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3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3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3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D9"/>
    <w:rPr>
      <w:rFonts w:eastAsiaTheme="majorEastAsia" w:cstheme="majorBidi"/>
      <w:color w:val="272727" w:themeColor="text1" w:themeTint="D8"/>
    </w:rPr>
  </w:style>
  <w:style w:type="paragraph" w:styleId="Title">
    <w:name w:val="Title"/>
    <w:basedOn w:val="Normal"/>
    <w:next w:val="Normal"/>
    <w:link w:val="TitleChar"/>
    <w:uiPriority w:val="10"/>
    <w:qFormat/>
    <w:rsid w:val="001523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3D9"/>
    <w:rPr>
      <w:i/>
      <w:iCs/>
      <w:color w:val="404040" w:themeColor="text1" w:themeTint="BF"/>
    </w:rPr>
  </w:style>
  <w:style w:type="paragraph" w:styleId="ListParagraph">
    <w:name w:val="List Paragraph"/>
    <w:basedOn w:val="Normal"/>
    <w:uiPriority w:val="34"/>
    <w:qFormat/>
    <w:rsid w:val="001523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3D9"/>
    <w:rPr>
      <w:i/>
      <w:iCs/>
      <w:color w:val="0F4761" w:themeColor="accent1" w:themeShade="BF"/>
    </w:rPr>
  </w:style>
  <w:style w:type="paragraph" w:styleId="IntenseQuote">
    <w:name w:val="Intense Quote"/>
    <w:basedOn w:val="Normal"/>
    <w:next w:val="Normal"/>
    <w:link w:val="IntenseQuoteChar"/>
    <w:uiPriority w:val="30"/>
    <w:qFormat/>
    <w:rsid w:val="0015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3D9"/>
    <w:rPr>
      <w:i/>
      <w:iCs/>
      <w:color w:val="0F4761" w:themeColor="accent1" w:themeShade="BF"/>
    </w:rPr>
  </w:style>
  <w:style w:type="character" w:styleId="IntenseReference">
    <w:name w:val="Intense Reference"/>
    <w:basedOn w:val="DefaultParagraphFont"/>
    <w:uiPriority w:val="32"/>
    <w:qFormat/>
    <w:rsid w:val="00152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75309">
      <w:bodyDiv w:val="1"/>
      <w:marLeft w:val="0"/>
      <w:marRight w:val="0"/>
      <w:marTop w:val="0"/>
      <w:marBottom w:val="0"/>
      <w:divBdr>
        <w:top w:val="none" w:sz="0" w:space="0" w:color="auto"/>
        <w:left w:val="none" w:sz="0" w:space="0" w:color="auto"/>
        <w:bottom w:val="none" w:sz="0" w:space="0" w:color="auto"/>
        <w:right w:val="none" w:sz="0" w:space="0" w:color="auto"/>
      </w:divBdr>
    </w:div>
    <w:div w:id="4857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1640</Words>
  <Characters>935</Characters>
  <Application>Microsoft Office Word</Application>
  <DocSecurity>0</DocSecurity>
  <Lines>7</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5</cp:revision>
  <dcterms:created xsi:type="dcterms:W3CDTF">2026-02-25T13:44:00Z</dcterms:created>
  <dcterms:modified xsi:type="dcterms:W3CDTF">2026-03-02T11:13:00Z</dcterms:modified>
</cp:coreProperties>
</file>