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46" w:rsidRPr="00D533F8" w:rsidRDefault="001C380E" w:rsidP="00D533F8">
      <w:pPr>
        <w:spacing w:after="0" w:line="240" w:lineRule="auto"/>
        <w:jc w:val="right"/>
        <w:rPr>
          <w:rFonts w:ascii="Times New Roman" w:hAnsi="Times New Roman" w:cs="Times New Roman"/>
          <w:b/>
          <w:color w:val="0070C0"/>
          <w:sz w:val="24"/>
          <w:szCs w:val="24"/>
        </w:rPr>
      </w:pPr>
      <w:r w:rsidRPr="00D533F8">
        <w:rPr>
          <w:rFonts w:ascii="Times New Roman" w:hAnsi="Times New Roman" w:cs="Times New Roman"/>
          <w:b/>
          <w:color w:val="0070C0"/>
          <w:sz w:val="24"/>
          <w:szCs w:val="24"/>
        </w:rPr>
        <w:t>PIRKIMO SĄLYGŲ 4 PRIEDAS</w:t>
      </w:r>
    </w:p>
    <w:p w:rsidR="00D533F8" w:rsidRPr="00D533F8" w:rsidRDefault="00D533F8" w:rsidP="00D533F8">
      <w:pPr>
        <w:spacing w:after="0" w:line="240" w:lineRule="auto"/>
        <w:jc w:val="right"/>
        <w:rPr>
          <w:rFonts w:ascii="Times New Roman" w:hAnsi="Times New Roman" w:cs="Times New Roman"/>
          <w:color w:val="0070C0"/>
          <w:sz w:val="24"/>
          <w:szCs w:val="24"/>
        </w:rPr>
      </w:pP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xml:space="preserve">. Nuo 2024-07-01 įsigaliojus PĮ 37 straipsnio 1 dalies pakeitimui, </w:t>
      </w:r>
      <w:r w:rsidRPr="00C24322">
        <w:rPr>
          <w:rFonts w:ascii="Times New Roman" w:hAnsi="Times New Roman" w:cs="Times New Roman"/>
          <w:b/>
          <w:sz w:val="22"/>
          <w:szCs w:val="22"/>
          <w:u w:val="single"/>
        </w:rPr>
        <w:t>a</w:t>
      </w:r>
      <w:r w:rsidRPr="00C24322">
        <w:rPr>
          <w:rFonts w:ascii="Times New Roman" w:hAnsi="Times New Roman" w:cs="Times New Roman"/>
          <w:b/>
          <w:u w:val="single"/>
        </w:rPr>
        <w:t>tliekant supaprastintus pirkimus, kai tiekėjas pateikia EBVPD, pažymų, patvirtinančių VPĮ 46 straipsnyje nurodytų tiekėjo pašalinimo pagrindų nebuvimą, nereikalaujama.</w:t>
      </w:r>
      <w:r w:rsidRPr="00E32906">
        <w:rPr>
          <w:rFonts w:ascii="Times New Roman" w:hAnsi="Times New Roman" w:cs="Times New Roman"/>
        </w:rPr>
        <w:t xml:space="preserve">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FB7B69" w:rsidRDefault="00177297" w:rsidP="00177297">
      <w:pPr>
        <w:jc w:val="right"/>
        <w:rPr>
          <w:rFonts w:ascii="Times New Roman" w:hAnsi="Times New Roman" w:cs="Times New Roman"/>
          <w:b/>
          <w:i/>
          <w:color w:val="0070C0"/>
          <w:sz w:val="24"/>
          <w:szCs w:val="24"/>
        </w:rPr>
      </w:pPr>
      <w:r w:rsidRPr="00FB7B69">
        <w:rPr>
          <w:rFonts w:ascii="Times New Roman" w:hAnsi="Times New Roman" w:cs="Times New Roman"/>
          <w:b/>
          <w:i/>
          <w:color w:val="0070C0"/>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r>
      <w:tr w:rsidR="00F91DB2" w:rsidRPr="00E32906" w:rsidTr="00A82F97">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E32906">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lang w:eastAsia="en-US"/>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organizacijos prašymu </w:t>
            </w:r>
            <w:r w:rsidRPr="00E32906">
              <w:rPr>
                <w:rFonts w:ascii="Times New Roman" w:eastAsia="Times New Roman" w:hAnsi="Times New Roman" w:cs="Times New Roman"/>
                <w:i/>
                <w:iCs/>
                <w:sz w:val="22"/>
                <w:szCs w:val="22"/>
              </w:rPr>
              <w:lastRenderedPageBreak/>
              <w:t>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4E4196">
            <w:pPr>
              <w:pStyle w:val="NoSpacing"/>
              <w:jc w:val="both"/>
              <w:rPr>
                <w:rFonts w:ascii="Times New Roman" w:hAnsi="Times New Roman" w:cs="Times New Roman"/>
                <w:b/>
                <w:bCs/>
                <w:sz w:val="22"/>
                <w:szCs w:val="22"/>
              </w:rPr>
            </w:pPr>
          </w:p>
        </w:tc>
      </w:tr>
      <w:tr w:rsidR="00952970"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91DB2" w:rsidRPr="00E32906" w:rsidRDefault="00F91DB2" w:rsidP="00A82F97">
            <w:pPr>
              <w:pStyle w:val="NoSpacing"/>
              <w:jc w:val="both"/>
              <w:rPr>
                <w:rFonts w:ascii="Times New Roman" w:eastAsia="Yu Mincho" w:hAnsi="Times New Roman" w:cs="Times New Roman"/>
                <w:b/>
                <w:bCs/>
                <w:sz w:val="22"/>
                <w:szCs w:val="22"/>
              </w:rPr>
            </w:pPr>
          </w:p>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91DB2" w:rsidRPr="00E32906" w:rsidRDefault="00F91DB2" w:rsidP="00A82F97">
            <w:pPr>
              <w:pStyle w:val="NoSpacing"/>
              <w:jc w:val="both"/>
              <w:rPr>
                <w:rFonts w:ascii="Times New Roman" w:eastAsia="Arial"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91DB2" w:rsidRPr="00E32906" w:rsidRDefault="00F91DB2"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91DB2" w:rsidRPr="00E32906" w:rsidRDefault="00F91DB2" w:rsidP="00A82F97">
            <w:pPr>
              <w:pStyle w:val="NoSpacing"/>
              <w:jc w:val="both"/>
              <w:rPr>
                <w:rFonts w:ascii="Times New Roman" w:hAnsi="Times New Roman" w:cs="Times New Roman"/>
                <w:i/>
                <w:iCs/>
                <w:color w:val="7030A0"/>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7F7FB2">
            <w:pPr>
              <w:pStyle w:val="NoSpacing"/>
              <w:jc w:val="both"/>
              <w:rPr>
                <w:rFonts w:ascii="Times New Roman" w:hAnsi="Times New Roman" w:cs="Times New Roman"/>
                <w:b/>
                <w:bCs/>
                <w:sz w:val="22"/>
                <w:szCs w:val="22"/>
              </w:rPr>
            </w:pPr>
          </w:p>
        </w:tc>
      </w:tr>
      <w:bookmarkEnd w:id="0"/>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w:t>
            </w:r>
            <w:r w:rsidRPr="00E32906">
              <w:rPr>
                <w:rFonts w:ascii="Times New Roman" w:hAnsi="Times New Roman" w:cs="Times New Roman"/>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91DB2" w:rsidRPr="00E32906" w:rsidRDefault="000A0C7D" w:rsidP="00A82F97">
            <w:pPr>
              <w:pStyle w:val="NoSpacing"/>
              <w:jc w:val="both"/>
              <w:rPr>
                <w:rFonts w:ascii="Times New Roman" w:hAnsi="Times New Roman" w:cs="Times New Roman"/>
                <w:sz w:val="22"/>
                <w:szCs w:val="22"/>
              </w:rPr>
            </w:pPr>
            <w:hyperlink r:id="rId9" w:history="1">
              <w:r w:rsidR="00F91DB2" w:rsidRPr="00E32906">
                <w:rPr>
                  <w:rStyle w:val="Hyperlink"/>
                  <w:rFonts w:ascii="Times New Roman" w:hAnsi="Times New Roman" w:cs="Times New Roman"/>
                  <w:sz w:val="22"/>
                  <w:szCs w:val="22"/>
                </w:rPr>
                <w:t>https://vpt.lrv.lt/lt/nuorodos/kiti-duomenys/powerbi/melaginga-informacija-pateikusiu-tiekeju-sarasas-3/</w:t>
              </w:r>
            </w:hyperlink>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0A0C7D" w:rsidP="00A82F97">
            <w:pPr>
              <w:pStyle w:val="NoSpacing"/>
              <w:jc w:val="both"/>
              <w:rPr>
                <w:rFonts w:ascii="Times New Roman" w:hAnsi="Times New Roman" w:cs="Times New Roman"/>
                <w:sz w:val="22"/>
                <w:szCs w:val="22"/>
              </w:rPr>
            </w:pPr>
            <w:hyperlink r:id="rId10" w:history="1">
              <w:r w:rsidR="00F91DB2" w:rsidRPr="00E32906">
                <w:rPr>
                  <w:rStyle w:val="Hyperlink"/>
                  <w:rFonts w:ascii="Times New Roman" w:hAnsi="Times New Roman" w:cs="Times New Roman"/>
                  <w:sz w:val="22"/>
                  <w:szCs w:val="22"/>
                </w:rPr>
                <w:t>https://vpt.lrv.lt/lt/nuorodos/kiti-duomenys/powerbi/nepatikimi-tiekejai-1/</w:t>
              </w:r>
            </w:hyperlink>
          </w:p>
          <w:p w:rsidR="00F91DB2" w:rsidRPr="00E32906" w:rsidRDefault="00F91DB2" w:rsidP="00A82F97">
            <w:pPr>
              <w:pStyle w:val="NoSpacing"/>
              <w:jc w:val="both"/>
              <w:rPr>
                <w:rFonts w:ascii="Times New Roman" w:hAnsi="Times New Roman" w:cs="Times New Roman"/>
                <w:sz w:val="22"/>
                <w:szCs w:val="22"/>
              </w:rPr>
            </w:pPr>
          </w:p>
          <w:p w:rsidR="00F91DB2" w:rsidRPr="00E32906" w:rsidRDefault="000A0C7D" w:rsidP="00A82F97">
            <w:pPr>
              <w:pStyle w:val="NoSpacing"/>
              <w:jc w:val="both"/>
              <w:rPr>
                <w:rFonts w:ascii="Times New Roman" w:hAnsi="Times New Roman" w:cs="Times New Roman"/>
                <w:sz w:val="22"/>
                <w:szCs w:val="22"/>
              </w:rPr>
            </w:pPr>
            <w:hyperlink r:id="rId11" w:history="1">
              <w:r w:rsidR="00F91DB2" w:rsidRPr="00E32906">
                <w:rPr>
                  <w:rStyle w:val="Hyperlink"/>
                  <w:rFonts w:ascii="Times New Roman" w:hAnsi="Times New Roman" w:cs="Times New Roman"/>
                  <w:sz w:val="22"/>
                  <w:szCs w:val="22"/>
                </w:rPr>
                <w:t>https://vpt.lrv.lt/lt/pasalinimo-pagrindai-1/nepatikimu-koncesininku-sarasas-1/nepatikimu-koncesininku-sarasas/</w:t>
              </w:r>
            </w:hyperlink>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p w:rsidR="00F91DB2" w:rsidRPr="00E32906" w:rsidRDefault="00F91DB2" w:rsidP="00A82F9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91DB2" w:rsidRPr="00E32906" w:rsidRDefault="00F91DB2" w:rsidP="00A82F9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91DB2" w:rsidRPr="00E32906" w:rsidRDefault="000A0C7D" w:rsidP="00A82F97">
            <w:pPr>
              <w:pStyle w:val="NoSpacing"/>
              <w:jc w:val="both"/>
              <w:rPr>
                <w:rFonts w:ascii="Times New Roman" w:hAnsi="Times New Roman" w:cs="Times New Roman"/>
                <w:sz w:val="22"/>
                <w:szCs w:val="22"/>
              </w:rPr>
            </w:pPr>
            <w:hyperlink r:id="rId13" w:history="1">
              <w:r w:rsidR="00F91DB2"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91DB2" w:rsidRPr="00E32906" w:rsidRDefault="00F91DB2" w:rsidP="00A82F97">
            <w:pPr>
              <w:pStyle w:val="NoSpacing"/>
              <w:jc w:val="both"/>
              <w:rPr>
                <w:rFonts w:ascii="Times New Roman" w:hAnsi="Times New Roman" w:cs="Times New Roman"/>
                <w:b/>
                <w:bCs/>
                <w:i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E32906">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c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FB7B69">
            <w:pPr>
              <w:rPr>
                <w:rFonts w:ascii="Times New Roman" w:hAnsi="Times New Roman" w:cs="Times New Roman"/>
                <w:bCs/>
                <w:iCs/>
                <w:sz w:val="22"/>
                <w:szCs w:val="22"/>
                <w:lang w:eastAsia="en-US"/>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w:t>
            </w:r>
            <w:r w:rsidRPr="00E32906">
              <w:rPr>
                <w:rFonts w:ascii="Times New Roman" w:hAnsi="Times New Roman" w:cs="Times New Roman"/>
                <w:b/>
                <w:bCs/>
                <w:sz w:val="22"/>
                <w:szCs w:val="22"/>
              </w:rPr>
              <w:lastRenderedPageBreak/>
              <w:t xml:space="preserve">kita ko, atsižvelgiama į nacionalinėje duomenų bazėje adresu: </w:t>
            </w:r>
            <w:hyperlink r:id="rId15" w:history="1">
              <w:r w:rsidRPr="00E32906">
                <w:rPr>
                  <w:rStyle w:val="Hyperlink"/>
                  <w:rFonts w:ascii="Times New Roman" w:hAnsi="Times New Roman" w:cs="Times New Roman"/>
                  <w:sz w:val="22"/>
                  <w:szCs w:val="22"/>
                  <w:u w:val="single"/>
                </w:rPr>
                <w:t>https://kt.gov.lt/lt/atviri-duomenys/diskvalifikavimas-is-viesuju-pirkimu</w:t>
              </w:r>
            </w:hyperlink>
            <w:r w:rsidRPr="00E32906">
              <w:rPr>
                <w:rFonts w:ascii="Times New Roman" w:hAnsi="Times New Roman" w:cs="Times New Roman"/>
                <w:sz w:val="22"/>
                <w:szCs w:val="22"/>
              </w:rPr>
              <w:t xml:space="preserve"> skelbiamą informaciją. </w:t>
            </w:r>
          </w:p>
        </w:tc>
      </w:tr>
    </w:tbl>
    <w:p w:rsidR="00177297" w:rsidRDefault="00177297" w:rsidP="00C86C56">
      <w:pPr>
        <w:pStyle w:val="Heading"/>
        <w:jc w:val="center"/>
        <w:rPr>
          <w:rFonts w:cs="Times New Roman"/>
          <w:sz w:val="24"/>
          <w:szCs w:val="24"/>
          <w:lang w:val="lt-LT"/>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Pr="00FB7B69" w:rsidRDefault="00177297" w:rsidP="00177297">
      <w:pPr>
        <w:spacing w:after="0"/>
        <w:jc w:val="right"/>
        <w:rPr>
          <w:rFonts w:ascii="Times New Roman" w:hAnsi="Times New Roman" w:cs="Times New Roman"/>
          <w:b/>
          <w:i/>
          <w:color w:val="0070C0"/>
          <w:sz w:val="28"/>
          <w:szCs w:val="28"/>
        </w:rPr>
      </w:pPr>
      <w:r w:rsidRPr="00FB7B69">
        <w:rPr>
          <w:rFonts w:ascii="Times New Roman" w:hAnsi="Times New Roman" w:cs="Times New Roman"/>
          <w:b/>
          <w:i/>
          <w:color w:val="0070C0"/>
          <w:sz w:val="28"/>
          <w:szCs w:val="28"/>
        </w:rPr>
        <w:t>2 lentelė</w:t>
      </w:r>
    </w:p>
    <w:p w:rsidR="00C86C56" w:rsidRPr="00E32906" w:rsidRDefault="00C86C56" w:rsidP="00F91DB2">
      <w:pPr>
        <w:spacing w:after="0" w:line="240" w:lineRule="auto"/>
        <w:rPr>
          <w:rFonts w:ascii="Times New Roman" w:hAnsi="Times New Roman" w:cs="Times New Roman"/>
          <w:sz w:val="24"/>
          <w:szCs w:val="24"/>
        </w:rPr>
      </w:pPr>
    </w:p>
    <w:tbl>
      <w:tblPr>
        <w:tblStyle w:val="TableGrid"/>
        <w:tblW w:w="14317" w:type="dxa"/>
        <w:tblInd w:w="-5" w:type="dxa"/>
        <w:tblLayout w:type="fixed"/>
        <w:tblLook w:val="04A0" w:firstRow="1" w:lastRow="0" w:firstColumn="1" w:lastColumn="0" w:noHBand="0" w:noVBand="1"/>
      </w:tblPr>
      <w:tblGrid>
        <w:gridCol w:w="567"/>
        <w:gridCol w:w="5387"/>
        <w:gridCol w:w="5812"/>
        <w:gridCol w:w="2551"/>
      </w:tblGrid>
      <w:tr w:rsidR="00C86C56" w:rsidRPr="00E32906" w:rsidTr="00856FAD">
        <w:trPr>
          <w:trHeight w:val="714"/>
        </w:trPr>
        <w:tc>
          <w:tcPr>
            <w:tcW w:w="567" w:type="dxa"/>
            <w:shd w:val="clear" w:color="auto" w:fill="E2EFD9" w:themeFill="accent6" w:themeFillTint="33"/>
          </w:tcPr>
          <w:p w:rsidR="00C86C56" w:rsidRPr="00E32906" w:rsidRDefault="00C86C56" w:rsidP="00FB7B6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2"/>
                <w:szCs w:val="22"/>
                <w:lang w:val="lt-LT"/>
              </w:rPr>
            </w:pPr>
            <w:r w:rsidRPr="00E32906">
              <w:rPr>
                <w:rFonts w:ascii="Times New Roman" w:eastAsia="Times New Roman" w:hAnsi="Times New Roman" w:cs="Times New Roman"/>
                <w:b/>
                <w:bCs/>
                <w:color w:val="404040" w:themeColor="text1" w:themeTint="BF"/>
                <w:sz w:val="22"/>
                <w:szCs w:val="22"/>
                <w:lang w:val="lt-LT"/>
              </w:rPr>
              <w:t>Eil. Nr.</w:t>
            </w:r>
          </w:p>
        </w:tc>
        <w:tc>
          <w:tcPr>
            <w:tcW w:w="5387" w:type="dxa"/>
            <w:shd w:val="clear" w:color="auto" w:fill="E2EFD9" w:themeFill="accent6" w:themeFillTint="33"/>
          </w:tcPr>
          <w:p w:rsidR="00C86C56" w:rsidRPr="00E32906" w:rsidRDefault="00C86C56" w:rsidP="00FB7B69">
            <w:pPr>
              <w:jc w:val="cente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Reikalavimas</w:t>
            </w:r>
          </w:p>
        </w:tc>
        <w:tc>
          <w:tcPr>
            <w:tcW w:w="5812" w:type="dxa"/>
            <w:shd w:val="clear" w:color="auto" w:fill="E2EFD9" w:themeFill="accent6" w:themeFillTint="33"/>
          </w:tcPr>
          <w:p w:rsidR="00C86C56" w:rsidRPr="00E32906" w:rsidRDefault="00C86C56" w:rsidP="00FB7B69">
            <w:pPr>
              <w:jc w:val="center"/>
              <w:rPr>
                <w:rFonts w:ascii="Times New Roman" w:eastAsia="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Atitikį pagrindžiantys dokumentai</w:t>
            </w:r>
          </w:p>
        </w:tc>
        <w:tc>
          <w:tcPr>
            <w:tcW w:w="2551" w:type="dxa"/>
            <w:shd w:val="clear" w:color="auto" w:fill="E2EFD9" w:themeFill="accent6" w:themeFillTint="33"/>
          </w:tcPr>
          <w:p w:rsidR="00C86C56" w:rsidRPr="00E32906" w:rsidRDefault="00C86C56" w:rsidP="00FB7B69">
            <w:pPr>
              <w:jc w:val="cente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Subjektas, kuris turi atitikti reikalavimą</w:t>
            </w:r>
          </w:p>
        </w:tc>
      </w:tr>
      <w:tr w:rsidR="00FB7B69" w:rsidRPr="00E32906" w:rsidTr="00856FAD">
        <w:trPr>
          <w:trHeight w:val="344"/>
        </w:trPr>
        <w:tc>
          <w:tcPr>
            <w:tcW w:w="567" w:type="dxa"/>
          </w:tcPr>
          <w:p w:rsidR="00FB7B69" w:rsidRPr="00E32906" w:rsidRDefault="00FB7B69" w:rsidP="00FB7B6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2"/>
                <w:szCs w:val="22"/>
                <w:lang w:val="lt-LT"/>
              </w:rPr>
            </w:pPr>
          </w:p>
        </w:tc>
        <w:tc>
          <w:tcPr>
            <w:tcW w:w="5387" w:type="dxa"/>
          </w:tcPr>
          <w:p w:rsidR="00FB7B69" w:rsidRPr="00FB7B69" w:rsidRDefault="00FB7B69" w:rsidP="00FB7B69">
            <w:pPr>
              <w:jc w:val="center"/>
              <w:rPr>
                <w:rFonts w:ascii="Times New Roman" w:hAnsi="Times New Roman" w:cs="Times New Roman"/>
                <w:b/>
                <w:bCs/>
                <w:i/>
                <w:color w:val="0070C0"/>
                <w:sz w:val="22"/>
                <w:szCs w:val="22"/>
              </w:rPr>
            </w:pPr>
            <w:r w:rsidRPr="00FB7B69">
              <w:rPr>
                <w:rFonts w:ascii="Times New Roman" w:hAnsi="Times New Roman" w:cs="Times New Roman"/>
                <w:b/>
                <w:bCs/>
                <w:i/>
                <w:color w:val="0070C0"/>
                <w:sz w:val="22"/>
                <w:szCs w:val="22"/>
              </w:rPr>
              <w:t>1</w:t>
            </w:r>
          </w:p>
        </w:tc>
        <w:tc>
          <w:tcPr>
            <w:tcW w:w="5812" w:type="dxa"/>
          </w:tcPr>
          <w:p w:rsidR="00FB7B69" w:rsidRPr="00FB7B69" w:rsidRDefault="00FB7B69" w:rsidP="00FB7B69">
            <w:pPr>
              <w:jc w:val="center"/>
              <w:rPr>
                <w:rFonts w:ascii="Times New Roman" w:hAnsi="Times New Roman" w:cs="Times New Roman"/>
                <w:b/>
                <w:bCs/>
                <w:i/>
                <w:color w:val="0070C0"/>
                <w:sz w:val="22"/>
                <w:szCs w:val="22"/>
              </w:rPr>
            </w:pPr>
            <w:r w:rsidRPr="00FB7B69">
              <w:rPr>
                <w:rFonts w:ascii="Times New Roman" w:hAnsi="Times New Roman" w:cs="Times New Roman"/>
                <w:b/>
                <w:bCs/>
                <w:i/>
                <w:color w:val="0070C0"/>
                <w:sz w:val="22"/>
                <w:szCs w:val="22"/>
              </w:rPr>
              <w:t>2</w:t>
            </w:r>
          </w:p>
        </w:tc>
        <w:tc>
          <w:tcPr>
            <w:tcW w:w="2551" w:type="dxa"/>
          </w:tcPr>
          <w:p w:rsidR="00FB7B69" w:rsidRPr="00FB7B69" w:rsidRDefault="00FB7B69" w:rsidP="00FB7B69">
            <w:pPr>
              <w:jc w:val="center"/>
              <w:rPr>
                <w:rFonts w:ascii="Times New Roman" w:hAnsi="Times New Roman" w:cs="Times New Roman"/>
                <w:b/>
                <w:bCs/>
                <w:i/>
                <w:color w:val="0070C0"/>
                <w:sz w:val="22"/>
                <w:szCs w:val="22"/>
              </w:rPr>
            </w:pPr>
            <w:r w:rsidRPr="00FB7B69">
              <w:rPr>
                <w:rFonts w:ascii="Times New Roman" w:hAnsi="Times New Roman" w:cs="Times New Roman"/>
                <w:b/>
                <w:bCs/>
                <w:i/>
                <w:color w:val="0070C0"/>
                <w:sz w:val="22"/>
                <w:szCs w:val="22"/>
              </w:rPr>
              <w:t>3</w:t>
            </w:r>
          </w:p>
        </w:tc>
      </w:tr>
      <w:tr w:rsidR="00C86C56" w:rsidRPr="00E32906" w:rsidTr="00856FAD">
        <w:tc>
          <w:tcPr>
            <w:tcW w:w="567" w:type="dxa"/>
          </w:tcPr>
          <w:p w:rsidR="00C86C56" w:rsidRPr="00E32906" w:rsidRDefault="000F491C" w:rsidP="00A82F97">
            <w:pPr>
              <w:rPr>
                <w:rFonts w:ascii="Times New Roman" w:hAnsi="Times New Roman" w:cs="Times New Roman"/>
                <w:sz w:val="22"/>
                <w:szCs w:val="22"/>
              </w:rPr>
            </w:pPr>
            <w:r>
              <w:rPr>
                <w:rFonts w:ascii="Times New Roman" w:hAnsi="Times New Roman" w:cs="Times New Roman"/>
                <w:sz w:val="22"/>
                <w:szCs w:val="22"/>
              </w:rPr>
              <w:t>1</w:t>
            </w:r>
            <w:r w:rsidR="00C86C56" w:rsidRPr="00E32906">
              <w:rPr>
                <w:rFonts w:ascii="Times New Roman" w:hAnsi="Times New Roman" w:cs="Times New Roman"/>
                <w:sz w:val="22"/>
                <w:szCs w:val="22"/>
              </w:rPr>
              <w:t>.</w:t>
            </w:r>
          </w:p>
        </w:tc>
        <w:tc>
          <w:tcPr>
            <w:tcW w:w="5387" w:type="dxa"/>
          </w:tcPr>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Tiekėjas pirkimo sutarties vykdymui turi paskirti:</w:t>
            </w:r>
          </w:p>
          <w:p w:rsidR="00C86C56" w:rsidRPr="00E32906" w:rsidRDefault="00C86C56" w:rsidP="00E810DF">
            <w:pPr>
              <w:spacing w:line="240" w:lineRule="auto"/>
              <w:rPr>
                <w:rFonts w:ascii="Times New Roman" w:hAnsi="Times New Roman" w:cs="Times New Roman"/>
                <w:sz w:val="22"/>
                <w:szCs w:val="22"/>
              </w:rPr>
            </w:pPr>
          </w:p>
          <w:p w:rsidR="00826948" w:rsidRPr="00AA422D" w:rsidRDefault="00C86C56" w:rsidP="00826948">
            <w:pPr>
              <w:rPr>
                <w:rFonts w:ascii="Times New Roman" w:eastAsiaTheme="minorHAnsi" w:hAnsi="Times New Roman" w:cs="Times New Roman"/>
                <w:sz w:val="22"/>
                <w:szCs w:val="22"/>
              </w:rPr>
            </w:pPr>
            <w:r w:rsidRPr="00AA422D">
              <w:rPr>
                <w:rFonts w:ascii="Times New Roman" w:hAnsi="Times New Roman" w:cs="Times New Roman"/>
                <w:sz w:val="22"/>
                <w:szCs w:val="22"/>
              </w:rPr>
              <w:t>Bent 1 (vieną) kvalifikuotą speciali</w:t>
            </w:r>
            <w:r w:rsidR="0094664C" w:rsidRPr="00AA422D">
              <w:rPr>
                <w:rFonts w:ascii="Times New Roman" w:hAnsi="Times New Roman" w:cs="Times New Roman"/>
                <w:sz w:val="22"/>
                <w:szCs w:val="22"/>
              </w:rPr>
              <w:t>stą, kuriam suteikta teisė eiti</w:t>
            </w:r>
            <w:r w:rsidRPr="00AA422D">
              <w:rPr>
                <w:rFonts w:ascii="Times New Roman" w:eastAsiaTheme="minorHAnsi" w:hAnsi="Times New Roman" w:cs="Times New Roman"/>
                <w:b/>
                <w:sz w:val="22"/>
                <w:szCs w:val="22"/>
              </w:rPr>
              <w:t xml:space="preserve"> </w:t>
            </w:r>
            <w:r w:rsidR="00826948" w:rsidRPr="00AA422D">
              <w:rPr>
                <w:rFonts w:ascii="Times New Roman" w:eastAsiaTheme="minorHAnsi" w:hAnsi="Times New Roman" w:cs="Times New Roman"/>
                <w:b/>
                <w:color w:val="0070C0"/>
                <w:sz w:val="22"/>
                <w:szCs w:val="22"/>
              </w:rPr>
              <w:t xml:space="preserve">nesudėtingo </w:t>
            </w:r>
            <w:r w:rsidRPr="00AA422D">
              <w:rPr>
                <w:rFonts w:ascii="Times New Roman" w:eastAsiaTheme="minorHAnsi" w:hAnsi="Times New Roman" w:cs="Times New Roman"/>
                <w:b/>
                <w:color w:val="0070C0"/>
                <w:sz w:val="22"/>
                <w:szCs w:val="22"/>
              </w:rPr>
              <w:t xml:space="preserve">statinio statybos </w:t>
            </w:r>
            <w:r w:rsidR="000F491C" w:rsidRPr="00AA422D">
              <w:rPr>
                <w:rFonts w:ascii="Times New Roman" w:eastAsiaTheme="minorHAnsi" w:hAnsi="Times New Roman" w:cs="Times New Roman"/>
                <w:b/>
                <w:color w:val="0070C0"/>
                <w:sz w:val="22"/>
                <w:szCs w:val="22"/>
              </w:rPr>
              <w:t xml:space="preserve">darbų </w:t>
            </w:r>
            <w:r w:rsidRPr="00AA422D">
              <w:rPr>
                <w:rFonts w:ascii="Times New Roman" w:eastAsiaTheme="minorHAnsi" w:hAnsi="Times New Roman" w:cs="Times New Roman"/>
                <w:b/>
                <w:color w:val="0070C0"/>
                <w:sz w:val="22"/>
                <w:szCs w:val="22"/>
              </w:rPr>
              <w:t>vadovo</w:t>
            </w:r>
            <w:r w:rsidR="00826948" w:rsidRPr="00AA422D">
              <w:rPr>
                <w:rFonts w:ascii="Times New Roman" w:eastAsiaTheme="minorHAnsi" w:hAnsi="Times New Roman" w:cs="Times New Roman"/>
                <w:b/>
                <w:color w:val="FF0000"/>
                <w:sz w:val="22"/>
                <w:szCs w:val="22"/>
                <w:vertAlign w:val="superscript"/>
              </w:rPr>
              <w:t>*</w:t>
            </w:r>
            <w:r w:rsidR="00F71E2B" w:rsidRPr="00AA422D">
              <w:rPr>
                <w:rFonts w:ascii="Times New Roman" w:eastAsiaTheme="minorHAnsi" w:hAnsi="Times New Roman" w:cs="Times New Roman"/>
                <w:sz w:val="22"/>
                <w:szCs w:val="22"/>
              </w:rPr>
              <w:t xml:space="preserve"> pareigas</w:t>
            </w:r>
            <w:r w:rsidR="00826948" w:rsidRPr="00AA422D">
              <w:rPr>
                <w:rFonts w:ascii="Times New Roman" w:eastAsiaTheme="minorHAnsi" w:hAnsi="Times New Roman" w:cs="Times New Roman"/>
                <w:sz w:val="22"/>
                <w:szCs w:val="22"/>
              </w:rPr>
              <w:t xml:space="preserve"> –</w:t>
            </w:r>
          </w:p>
          <w:p w:rsidR="00826948" w:rsidRPr="00AA422D" w:rsidRDefault="00826948" w:rsidP="00826948">
            <w:pPr>
              <w:rPr>
                <w:rFonts w:ascii="Times New Roman" w:eastAsia="Arial Unicode MS" w:hAnsi="Times New Roman" w:cs="Times New Roman"/>
                <w:sz w:val="22"/>
                <w:szCs w:val="22"/>
                <w:bdr w:val="nil"/>
                <w:lang w:eastAsia="en-US"/>
              </w:rPr>
            </w:pPr>
            <w:r w:rsidRPr="00AA422D">
              <w:rPr>
                <w:rFonts w:ascii="Times New Roman" w:eastAsia="Arial Unicode MS" w:hAnsi="Times New Roman" w:cs="Times New Roman"/>
                <w:sz w:val="22"/>
                <w:szCs w:val="22"/>
                <w:bdr w:val="nil"/>
                <w:lang w:eastAsia="en-US"/>
              </w:rPr>
              <w:t xml:space="preserve">turi architekto ar statybos </w:t>
            </w:r>
            <w:r w:rsidRPr="00826948">
              <w:rPr>
                <w:rFonts w:ascii="Times New Roman" w:eastAsia="Arial Unicode MS" w:hAnsi="Times New Roman" w:cs="Times New Roman"/>
                <w:sz w:val="22"/>
                <w:szCs w:val="22"/>
                <w:bdr w:val="nil"/>
                <w:lang w:eastAsia="en-US"/>
              </w:rPr>
              <w:t>inžinieriaus išsilavinimą</w:t>
            </w:r>
            <w:r w:rsidRPr="00AA422D">
              <w:rPr>
                <w:rFonts w:ascii="Times New Roman" w:eastAsia="Arial Unicode MS" w:hAnsi="Times New Roman" w:cs="Times New Roman"/>
                <w:sz w:val="22"/>
                <w:szCs w:val="22"/>
                <w:bdr w:val="nil"/>
                <w:lang w:eastAsia="en-US"/>
              </w:rPr>
              <w:t>;</w:t>
            </w:r>
          </w:p>
          <w:p w:rsidR="00C86C56" w:rsidRPr="00AA422D" w:rsidRDefault="00826948" w:rsidP="00826948">
            <w:pPr>
              <w:rPr>
                <w:rFonts w:ascii="Times New Roman" w:eastAsiaTheme="minorHAnsi" w:hAnsi="Times New Roman" w:cs="Times New Roman"/>
                <w:sz w:val="22"/>
                <w:szCs w:val="22"/>
              </w:rPr>
            </w:pPr>
            <w:r w:rsidRPr="00AA422D">
              <w:rPr>
                <w:rFonts w:ascii="Times New Roman" w:hAnsi="Times New Roman" w:cs="Times New Roman"/>
                <w:color w:val="FF0000"/>
                <w:sz w:val="22"/>
                <w:szCs w:val="22"/>
                <w:vertAlign w:val="superscript"/>
              </w:rPr>
              <w:t>*</w:t>
            </w:r>
            <w:r w:rsidRPr="00AA422D">
              <w:rPr>
                <w:rFonts w:ascii="Times New Roman" w:hAnsi="Times New Roman" w:cs="Times New Roman"/>
                <w:sz w:val="22"/>
                <w:szCs w:val="22"/>
              </w:rPr>
              <w:t>Vadovaujantis Statybos įstatymo 2 straipsnio 1 ir 92 dali</w:t>
            </w:r>
            <w:r w:rsidR="000B28FD">
              <w:rPr>
                <w:rFonts w:ascii="Times New Roman" w:hAnsi="Times New Roman" w:cs="Times New Roman"/>
                <w:sz w:val="22"/>
                <w:szCs w:val="22"/>
              </w:rPr>
              <w:t>mi</w:t>
            </w:r>
            <w:bookmarkStart w:id="2" w:name="_GoBack"/>
            <w:bookmarkEnd w:id="2"/>
            <w:r w:rsidR="00AA422D">
              <w:rPr>
                <w:rFonts w:ascii="Times New Roman" w:hAnsi="Times New Roman" w:cs="Times New Roman"/>
                <w:sz w:val="22"/>
                <w:szCs w:val="22"/>
              </w:rPr>
              <w:t>.</w:t>
            </w:r>
          </w:p>
          <w:p w:rsidR="00F71E2B" w:rsidRDefault="00F71E2B" w:rsidP="00E810DF">
            <w:pPr>
              <w:spacing w:line="240" w:lineRule="auto"/>
              <w:rPr>
                <w:rFonts w:ascii="Times New Roman" w:hAnsi="Times New Roman" w:cs="Times New Roman"/>
                <w:sz w:val="22"/>
                <w:szCs w:val="22"/>
                <w:lang w:eastAsia="en-US"/>
              </w:rPr>
            </w:pPr>
          </w:p>
          <w:p w:rsidR="00826948" w:rsidRPr="00E32906" w:rsidRDefault="00826948" w:rsidP="00E810DF">
            <w:pPr>
              <w:spacing w:line="240" w:lineRule="auto"/>
              <w:rPr>
                <w:rFonts w:ascii="Times New Roman" w:hAnsi="Times New Roman" w:cs="Times New Roman"/>
                <w:sz w:val="22"/>
                <w:szCs w:val="22"/>
                <w:lang w:eastAsia="en-US"/>
              </w:rPr>
            </w:pPr>
          </w:p>
          <w:p w:rsidR="00C86C56" w:rsidRPr="00E32906" w:rsidRDefault="00C86C56" w:rsidP="000F491C">
            <w:pPr>
              <w:spacing w:line="240" w:lineRule="auto"/>
              <w:rPr>
                <w:rFonts w:ascii="Times New Roman" w:hAnsi="Times New Roman" w:cs="Times New Roman"/>
                <w:sz w:val="22"/>
                <w:szCs w:val="22"/>
                <w:lang w:eastAsia="en-US"/>
              </w:rPr>
            </w:pPr>
          </w:p>
          <w:p w:rsidR="00C86C56" w:rsidRPr="00E32906" w:rsidRDefault="00C86C56" w:rsidP="00D533F8">
            <w:pPr>
              <w:spacing w:line="240" w:lineRule="auto"/>
              <w:jc w:val="both"/>
              <w:rPr>
                <w:rFonts w:ascii="Times New Roman" w:hAnsi="Times New Roman" w:cs="Times New Roman"/>
                <w:sz w:val="22"/>
                <w:szCs w:val="22"/>
              </w:rPr>
            </w:pPr>
            <w:r w:rsidRPr="00E32906">
              <w:rPr>
                <w:rFonts w:ascii="Times New Roman" w:hAnsi="Times New Roman" w:cs="Times New Roman"/>
                <w:sz w:val="22"/>
                <w:szCs w:val="22"/>
              </w:rPr>
              <w:t>Pastabos:</w:t>
            </w:r>
            <w:r w:rsidRPr="00E32906">
              <w:rPr>
                <w:rFonts w:ascii="Times New Roman" w:hAnsi="Times New Roman" w:cs="Times New Roman"/>
                <w:sz w:val="22"/>
                <w:szCs w:val="22"/>
              </w:rPr>
              <w:br/>
            </w:r>
            <w:r w:rsidR="00AA422D">
              <w:rPr>
                <w:rFonts w:ascii="Times New Roman" w:hAnsi="Times New Roman" w:cs="Times New Roman"/>
                <w:sz w:val="22"/>
                <w:szCs w:val="22"/>
              </w:rPr>
              <w:t>1</w:t>
            </w:r>
            <w:r w:rsidRPr="00E32906">
              <w:rPr>
                <w:rFonts w:ascii="Times New Roman" w:hAnsi="Times New Roman" w:cs="Times New Roman"/>
                <w:sz w:val="22"/>
                <w:szCs w:val="22"/>
              </w:rPr>
              <w:t>) Tiekėjas gali siūlyti ir aukštesnės kvalifikacijos, nei nurodyta pirkimo dokumentuose, specialis</w:t>
            </w:r>
            <w:r w:rsidR="00AA422D">
              <w:rPr>
                <w:rFonts w:ascii="Times New Roman" w:hAnsi="Times New Roman" w:cs="Times New Roman"/>
                <w:sz w:val="22"/>
                <w:szCs w:val="22"/>
              </w:rPr>
              <w:t>tus, jei jų kvalifikacija atitinka nurodytą reikalavimą</w:t>
            </w:r>
            <w:r w:rsidRPr="00E32906">
              <w:rPr>
                <w:rFonts w:ascii="Times New Roman" w:hAnsi="Times New Roman" w:cs="Times New Roman"/>
                <w:sz w:val="22"/>
                <w:szCs w:val="22"/>
              </w:rPr>
              <w:t>.</w:t>
            </w:r>
          </w:p>
          <w:p w:rsidR="00C86C56" w:rsidRPr="00E32906" w:rsidRDefault="00AA422D" w:rsidP="00D533F8">
            <w:pPr>
              <w:spacing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00C86C56" w:rsidRPr="00E32906">
              <w:rPr>
                <w:rFonts w:ascii="Times New Roman" w:hAnsi="Times New Roman" w:cs="Times New Roman"/>
                <w:color w:val="000000" w:themeColor="text1"/>
                <w:sz w:val="22"/>
                <w:szCs w:val="22"/>
              </w:rPr>
              <w:t xml:space="preserve">) </w:t>
            </w:r>
            <w:r w:rsidR="00C86C56" w:rsidRPr="00E32906">
              <w:rPr>
                <w:rFonts w:ascii="Times New Roman"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rsidR="00C86C56" w:rsidRPr="00E32906" w:rsidRDefault="00C86C56" w:rsidP="00D533F8">
            <w:pPr>
              <w:spacing w:line="240" w:lineRule="auto"/>
              <w:jc w:val="both"/>
              <w:rPr>
                <w:rFonts w:ascii="Times New Roman" w:hAnsi="Times New Roman" w:cs="Times New Roman"/>
                <w:color w:val="000000" w:themeColor="text1"/>
                <w:sz w:val="22"/>
                <w:szCs w:val="22"/>
              </w:rPr>
            </w:pPr>
          </w:p>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color w:val="C00000"/>
                <w:sz w:val="22"/>
                <w:szCs w:val="22"/>
              </w:rPr>
              <w:br/>
            </w:r>
          </w:p>
        </w:tc>
        <w:tc>
          <w:tcPr>
            <w:tcW w:w="5812" w:type="dxa"/>
          </w:tcPr>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Pateikiami dokumentai:</w:t>
            </w:r>
          </w:p>
          <w:p w:rsidR="00AA422D" w:rsidRDefault="00AA422D" w:rsidP="00FE24CC">
            <w:pPr>
              <w:spacing w:line="240" w:lineRule="auto"/>
              <w:rPr>
                <w:rFonts w:ascii="Times New Roman" w:hAnsi="Times New Roman" w:cs="Times New Roman"/>
                <w:sz w:val="22"/>
                <w:szCs w:val="22"/>
              </w:rPr>
            </w:pPr>
          </w:p>
          <w:p w:rsidR="00AA422D" w:rsidRPr="00AA422D" w:rsidRDefault="00AA422D" w:rsidP="00AA422D">
            <w:pPr>
              <w:pBdr>
                <w:top w:val="nil"/>
                <w:left w:val="nil"/>
                <w:bottom w:val="nil"/>
                <w:right w:val="nil"/>
                <w:between w:val="nil"/>
                <w:bar w:val="nil"/>
              </w:pBdr>
              <w:spacing w:line="240" w:lineRule="auto"/>
              <w:jc w:val="both"/>
              <w:rPr>
                <w:rFonts w:ascii="Times New Roman" w:eastAsia="Arial Unicode MS" w:hAnsi="Times New Roman" w:cs="Times New Roman"/>
                <w:color w:val="0070C0"/>
                <w:sz w:val="22"/>
                <w:szCs w:val="22"/>
                <w:bdr w:val="nil"/>
                <w:lang w:eastAsia="en-US"/>
              </w:rPr>
            </w:pPr>
            <w:r w:rsidRPr="00AA422D">
              <w:rPr>
                <w:rFonts w:ascii="Times New Roman" w:eastAsia="Arial Unicode MS" w:hAnsi="Times New Roman" w:cs="Times New Roman"/>
                <w:b/>
                <w:sz w:val="22"/>
                <w:szCs w:val="22"/>
                <w:bdr w:val="nil"/>
                <w:lang w:eastAsia="en-US"/>
              </w:rPr>
              <w:t>1)</w:t>
            </w:r>
            <w:r w:rsidRPr="00AA422D">
              <w:rPr>
                <w:rFonts w:ascii="Times New Roman" w:eastAsia="Arial Unicode MS" w:hAnsi="Times New Roman" w:cs="Times New Roman"/>
                <w:sz w:val="22"/>
                <w:szCs w:val="22"/>
                <w:bdr w:val="nil"/>
                <w:lang w:eastAsia="en-US"/>
              </w:rPr>
              <w:t xml:space="preserve"> siūlomo specialisto </w:t>
            </w:r>
            <w:r w:rsidRPr="00AA422D">
              <w:rPr>
                <w:rFonts w:ascii="Times New Roman" w:eastAsia="Arial Unicode MS" w:hAnsi="Times New Roman" w:cs="Times New Roman"/>
                <w:b/>
                <w:color w:val="0070C0"/>
                <w:sz w:val="22"/>
                <w:szCs w:val="22"/>
                <w:u w:val="single"/>
                <w:bdr w:val="nil"/>
                <w:lang w:eastAsia="en-US"/>
              </w:rPr>
              <w:t>išsilavinimą patvirtinantis dokumentas</w:t>
            </w:r>
            <w:r w:rsidRPr="00AA422D">
              <w:rPr>
                <w:rFonts w:ascii="Times New Roman" w:eastAsia="Arial Unicode MS" w:hAnsi="Times New Roman" w:cs="Times New Roman"/>
                <w:color w:val="0070C0"/>
                <w:sz w:val="22"/>
                <w:szCs w:val="22"/>
                <w:bdr w:val="nil"/>
                <w:lang w:eastAsia="en-US"/>
              </w:rPr>
              <w:t xml:space="preserve"> </w:t>
            </w:r>
            <w:r w:rsidRPr="00AA422D">
              <w:rPr>
                <w:rFonts w:ascii="Times New Roman" w:eastAsia="Arial Unicode MS" w:hAnsi="Times New Roman" w:cs="Times New Roman"/>
                <w:sz w:val="22"/>
                <w:szCs w:val="22"/>
                <w:bdr w:val="nil"/>
                <w:lang w:eastAsia="en-US"/>
              </w:rPr>
              <w:t>(atestatas/pažymėjimas ar atitinkamos užsienio šalies institucijos išduotas dokumentas</w:t>
            </w:r>
            <w:r w:rsidRPr="00AA422D">
              <w:rPr>
                <w:rFonts w:ascii="Times New Roman" w:eastAsia="Arial Unicode MS" w:hAnsi="Times New Roman" w:cs="Times New Roman"/>
                <w:color w:val="FF0000"/>
                <w:sz w:val="22"/>
                <w:szCs w:val="22"/>
                <w:bdr w:val="nil"/>
                <w:lang w:eastAsia="en-US"/>
              </w:rPr>
              <w:t>**</w:t>
            </w:r>
            <w:r w:rsidRPr="00AA422D">
              <w:rPr>
                <w:rFonts w:ascii="Times New Roman" w:eastAsia="Arial Unicode MS" w:hAnsi="Times New Roman" w:cs="Times New Roman"/>
                <w:sz w:val="22"/>
                <w:szCs w:val="22"/>
                <w:bdr w:val="nil"/>
                <w:lang w:eastAsia="en-US"/>
              </w:rPr>
              <w:t xml:space="preserve"> ar kiti lygiaverčiai dokumentai, patvirtinantys atitiktį nustatytam reikalavimui); </w:t>
            </w:r>
          </w:p>
          <w:p w:rsidR="00AA422D" w:rsidRPr="00AA422D" w:rsidRDefault="00AA422D" w:rsidP="00AA422D">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p>
          <w:p w:rsidR="00AA422D" w:rsidRPr="00AA422D" w:rsidRDefault="00AA422D" w:rsidP="00AA422D">
            <w:pPr>
              <w:pBdr>
                <w:top w:val="nil"/>
                <w:left w:val="nil"/>
                <w:bottom w:val="nil"/>
                <w:right w:val="nil"/>
                <w:between w:val="nil"/>
                <w:bar w:val="nil"/>
              </w:pBdr>
              <w:spacing w:line="240" w:lineRule="auto"/>
              <w:jc w:val="both"/>
              <w:rPr>
                <w:rFonts w:ascii="Times New Roman" w:eastAsia="Times New Roman" w:hAnsi="Times New Roman" w:cs="Times New Roman"/>
                <w:sz w:val="22"/>
                <w:szCs w:val="22"/>
                <w:bdr w:val="nil"/>
                <w:lang w:eastAsia="en-US"/>
              </w:rPr>
            </w:pPr>
            <w:r w:rsidRPr="00AA422D">
              <w:rPr>
                <w:rFonts w:ascii="Times New Roman" w:eastAsia="Times New Roman" w:hAnsi="Times New Roman" w:cs="Times New Roman"/>
                <w:b/>
                <w:sz w:val="22"/>
                <w:szCs w:val="22"/>
                <w:bdr w:val="nil"/>
                <w:lang w:eastAsia="en-US"/>
              </w:rPr>
              <w:t>2)</w:t>
            </w:r>
            <w:r w:rsidRPr="00AA422D">
              <w:rPr>
                <w:rFonts w:ascii="Times New Roman" w:eastAsia="Times New Roman" w:hAnsi="Times New Roman" w:cs="Times New Roman"/>
                <w:sz w:val="22"/>
                <w:szCs w:val="22"/>
                <w:bdr w:val="nil"/>
                <w:lang w:eastAsia="en-US"/>
              </w:rPr>
              <w:t xml:space="preserve"> pateikiama specialisto </w:t>
            </w:r>
            <w:r w:rsidRPr="00AA422D">
              <w:rPr>
                <w:rFonts w:ascii="Times New Roman" w:eastAsia="Times New Roman" w:hAnsi="Times New Roman" w:cs="Times New Roman"/>
                <w:b/>
                <w:color w:val="0070C0"/>
                <w:sz w:val="22"/>
                <w:szCs w:val="22"/>
                <w:u w:val="single"/>
                <w:bdr w:val="nil"/>
                <w:lang w:eastAsia="en-US"/>
              </w:rPr>
              <w:t>paslaugų teikimo tiekėjui teisinė forma</w:t>
            </w:r>
            <w:r w:rsidRPr="00AA422D">
              <w:rPr>
                <w:rFonts w:ascii="Times New Roman" w:eastAsia="Times New Roman" w:hAnsi="Times New Roman" w:cs="Times New Roman"/>
                <w:color w:val="0070C0"/>
                <w:sz w:val="22"/>
                <w:szCs w:val="22"/>
                <w:bdr w:val="nil"/>
                <w:lang w:eastAsia="en-US"/>
              </w:rPr>
              <w:t xml:space="preserve"> </w:t>
            </w:r>
            <w:r w:rsidRPr="00AA422D">
              <w:rPr>
                <w:rFonts w:ascii="Times New Roman" w:eastAsia="Times New Roman" w:hAnsi="Times New Roman" w:cs="Times New Roman"/>
                <w:sz w:val="22"/>
                <w:szCs w:val="22"/>
                <w:bdr w:val="nil"/>
                <w:lang w:eastAsia="en-US"/>
              </w:rPr>
              <w:t>(darbo sutartis ar kt.);</w:t>
            </w:r>
          </w:p>
          <w:p w:rsidR="00AA422D" w:rsidRPr="00AA422D" w:rsidRDefault="00AA422D" w:rsidP="00AA422D">
            <w:pPr>
              <w:pBdr>
                <w:top w:val="nil"/>
                <w:left w:val="nil"/>
                <w:bottom w:val="nil"/>
                <w:right w:val="nil"/>
                <w:between w:val="nil"/>
                <w:bar w:val="nil"/>
              </w:pBdr>
              <w:spacing w:line="240" w:lineRule="auto"/>
              <w:jc w:val="both"/>
              <w:rPr>
                <w:rFonts w:ascii="Times New Roman" w:eastAsia="Times New Roman" w:hAnsi="Times New Roman" w:cs="Times New Roman"/>
                <w:sz w:val="22"/>
                <w:szCs w:val="22"/>
                <w:bdr w:val="nil"/>
                <w:lang w:eastAsia="en-US"/>
              </w:rPr>
            </w:pPr>
          </w:p>
          <w:p w:rsidR="00AA422D" w:rsidRPr="00AA422D" w:rsidRDefault="00AA422D" w:rsidP="00AA422D">
            <w:pPr>
              <w:pBdr>
                <w:top w:val="nil"/>
                <w:left w:val="nil"/>
                <w:bottom w:val="nil"/>
                <w:right w:val="nil"/>
                <w:between w:val="nil"/>
                <w:bar w:val="nil"/>
              </w:pBdr>
              <w:spacing w:line="240" w:lineRule="auto"/>
              <w:jc w:val="both"/>
              <w:rPr>
                <w:rFonts w:ascii="Times New Roman" w:eastAsia="Times New Roman" w:hAnsi="Times New Roman" w:cs="Times New Roman"/>
                <w:b/>
                <w:sz w:val="22"/>
                <w:szCs w:val="22"/>
                <w:bdr w:val="nil"/>
                <w:lang w:eastAsia="en-US"/>
              </w:rPr>
            </w:pPr>
            <w:r w:rsidRPr="00AA422D">
              <w:rPr>
                <w:rFonts w:ascii="Times New Roman" w:eastAsia="Times New Roman" w:hAnsi="Times New Roman" w:cs="Times New Roman"/>
                <w:b/>
                <w:sz w:val="22"/>
                <w:szCs w:val="22"/>
                <w:bdr w:val="nil"/>
                <w:lang w:eastAsia="en-US"/>
              </w:rPr>
              <w:t>3)</w:t>
            </w:r>
            <w:r w:rsidRPr="00AA422D">
              <w:rPr>
                <w:rFonts w:ascii="Times New Roman" w:eastAsia="Times New Roman" w:hAnsi="Times New Roman" w:cs="Times New Roman"/>
                <w:sz w:val="22"/>
                <w:szCs w:val="22"/>
                <w:bdr w:val="nil"/>
                <w:lang w:eastAsia="en-US"/>
              </w:rPr>
              <w:t xml:space="preserve"> </w:t>
            </w:r>
            <w:r w:rsidRPr="00AA422D">
              <w:rPr>
                <w:rFonts w:ascii="Times New Roman" w:eastAsia="Times New Roman" w:hAnsi="Times New Roman" w:cs="Times New Roman"/>
                <w:sz w:val="22"/>
                <w:szCs w:val="22"/>
                <w:u w:val="single"/>
                <w:bdr w:val="nil"/>
                <w:lang w:eastAsia="en-US"/>
              </w:rPr>
              <w:t>jeigu specialistas nėra tiekėjo darbuotojas</w:t>
            </w:r>
            <w:r w:rsidRPr="00AA422D">
              <w:rPr>
                <w:rFonts w:ascii="Times New Roman" w:eastAsia="Times New Roman" w:hAnsi="Times New Roman" w:cs="Times New Roman"/>
                <w:sz w:val="22"/>
                <w:szCs w:val="22"/>
                <w:bdr w:val="nil"/>
                <w:lang w:eastAsia="en-US"/>
              </w:rPr>
              <w:t xml:space="preserve">, pateikiamas </w:t>
            </w:r>
            <w:r w:rsidRPr="00AA422D">
              <w:rPr>
                <w:rFonts w:ascii="Times New Roman" w:eastAsia="Times New Roman" w:hAnsi="Times New Roman" w:cs="Times New Roman"/>
                <w:b/>
                <w:color w:val="0070C0"/>
                <w:sz w:val="22"/>
                <w:szCs w:val="22"/>
                <w:u w:val="single"/>
                <w:bdr w:val="nil"/>
                <w:lang w:eastAsia="en-US"/>
              </w:rPr>
              <w:t>specialisto pasirašyta deklaracija dėl sutikimo būti įdarbintu laimėjimo atveju</w:t>
            </w:r>
            <w:r w:rsidRPr="00AA422D">
              <w:rPr>
                <w:rFonts w:ascii="Times New Roman" w:eastAsia="Times New Roman" w:hAnsi="Times New Roman" w:cs="Times New Roman"/>
                <w:b/>
                <w:sz w:val="22"/>
                <w:szCs w:val="22"/>
                <w:bdr w:val="nil"/>
                <w:lang w:eastAsia="en-US"/>
              </w:rPr>
              <w:t xml:space="preserve">; </w:t>
            </w:r>
          </w:p>
          <w:p w:rsidR="00AA422D" w:rsidRPr="00AA422D" w:rsidRDefault="00AA422D" w:rsidP="00AA422D">
            <w:pPr>
              <w:pBdr>
                <w:top w:val="nil"/>
                <w:left w:val="nil"/>
                <w:bottom w:val="nil"/>
                <w:right w:val="nil"/>
                <w:between w:val="nil"/>
                <w:bar w:val="nil"/>
              </w:pBdr>
              <w:spacing w:line="240" w:lineRule="auto"/>
              <w:jc w:val="both"/>
              <w:rPr>
                <w:rFonts w:ascii="Times New Roman" w:eastAsia="Times New Roman" w:hAnsi="Times New Roman" w:cs="Times New Roman"/>
                <w:sz w:val="22"/>
                <w:szCs w:val="22"/>
                <w:bdr w:val="nil"/>
                <w:lang w:eastAsia="en-US"/>
              </w:rPr>
            </w:pPr>
          </w:p>
          <w:p w:rsidR="00AA422D" w:rsidRPr="00AA422D" w:rsidRDefault="00AA422D" w:rsidP="00AA422D">
            <w:pPr>
              <w:pBdr>
                <w:top w:val="nil"/>
                <w:left w:val="nil"/>
                <w:bottom w:val="nil"/>
                <w:right w:val="nil"/>
                <w:between w:val="nil"/>
                <w:bar w:val="nil"/>
              </w:pBdr>
              <w:spacing w:line="240" w:lineRule="auto"/>
              <w:jc w:val="both"/>
              <w:rPr>
                <w:rFonts w:ascii="Times New Roman" w:eastAsia="Arial Unicode MS" w:hAnsi="Times New Roman" w:cs="Times New Roman"/>
                <w:sz w:val="22"/>
                <w:szCs w:val="22"/>
                <w:bdr w:val="nil"/>
                <w:lang w:eastAsia="en-US"/>
              </w:rPr>
            </w:pPr>
            <w:r w:rsidRPr="00AA422D">
              <w:rPr>
                <w:rFonts w:ascii="Times New Roman" w:eastAsia="Arial Unicode MS" w:hAnsi="Times New Roman" w:cs="Times New Roman"/>
                <w:color w:val="FF0000"/>
                <w:sz w:val="22"/>
                <w:szCs w:val="22"/>
                <w:bdr w:val="nil"/>
                <w:lang w:eastAsia="en-US"/>
              </w:rPr>
              <w:t>**</w:t>
            </w:r>
            <w:r w:rsidRPr="00AA422D">
              <w:rPr>
                <w:rFonts w:ascii="Times New Roman" w:eastAsia="Arial Unicode MS" w:hAnsi="Times New Roman" w:cs="Times New Roman"/>
                <w:sz w:val="22"/>
                <w:szCs w:val="22"/>
                <w:bdr w:val="nil"/>
                <w:lang w:eastAsia="en-US"/>
              </w:rPr>
              <w:t>Pateikiamos dokumentų kopijos ar/ir nuorodos į nacionalines duomenų bazes bet kurioje valstybėje narėje, prie kurių pirkimo vykdytojas turės galimybę tiesiogiai ir neatlygintinai prisijungti ir susipažinti su reikalaujamais dokumentais ir (ar) informacija.</w:t>
            </w:r>
          </w:p>
          <w:p w:rsidR="00AA422D" w:rsidRDefault="00AA422D" w:rsidP="00FE24CC">
            <w:pPr>
              <w:spacing w:line="240" w:lineRule="auto"/>
              <w:rPr>
                <w:rFonts w:ascii="Times New Roman" w:hAnsi="Times New Roman" w:cs="Times New Roman"/>
                <w:sz w:val="22"/>
                <w:szCs w:val="22"/>
              </w:rPr>
            </w:pPr>
          </w:p>
          <w:p w:rsidR="00AA422D" w:rsidRDefault="00AA422D" w:rsidP="00FE24CC">
            <w:pPr>
              <w:spacing w:line="240" w:lineRule="auto"/>
              <w:rPr>
                <w:rFonts w:ascii="Times New Roman" w:hAnsi="Times New Roman" w:cs="Times New Roman"/>
                <w:sz w:val="22"/>
                <w:szCs w:val="22"/>
              </w:rPr>
            </w:pPr>
          </w:p>
          <w:p w:rsidR="00AA422D" w:rsidRDefault="00AA422D"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tc>
        <w:tc>
          <w:tcPr>
            <w:tcW w:w="2551" w:type="dxa"/>
          </w:tcPr>
          <w:p w:rsidR="00AA649F" w:rsidRDefault="00FB7B69" w:rsidP="00FB7B69">
            <w:pPr>
              <w:pStyle w:val="ListParagraph"/>
              <w:ind w:left="0"/>
              <w:jc w:val="left"/>
              <w:rPr>
                <w:iCs/>
                <w:color w:val="000000"/>
                <w:sz w:val="20"/>
                <w:szCs w:val="20"/>
              </w:rPr>
            </w:pPr>
            <w:r>
              <w:rPr>
                <w:iCs/>
                <w:color w:val="000000"/>
                <w:szCs w:val="24"/>
              </w:rPr>
              <w:t>-</w:t>
            </w:r>
            <w:r w:rsidR="00AA649F" w:rsidRPr="00FB7B69">
              <w:rPr>
                <w:iCs/>
                <w:color w:val="000000"/>
                <w:sz w:val="20"/>
                <w:szCs w:val="20"/>
              </w:rPr>
              <w:t>jeigu pasiūlymą teikia ūkio subjektų grupė – reikalavimą turi atitikti kiekvienas ūkio subjektų grupės narys (-</w:t>
            </w:r>
            <w:proofErr w:type="spellStart"/>
            <w:r w:rsidR="00AA649F" w:rsidRPr="00FB7B69">
              <w:rPr>
                <w:iCs/>
                <w:color w:val="000000"/>
                <w:sz w:val="20"/>
                <w:szCs w:val="20"/>
              </w:rPr>
              <w:t>iai</w:t>
            </w:r>
            <w:proofErr w:type="spellEnd"/>
            <w:r w:rsidR="00AA649F" w:rsidRPr="00FB7B69">
              <w:rPr>
                <w:iCs/>
                <w:color w:val="000000"/>
                <w:sz w:val="20"/>
                <w:szCs w:val="20"/>
              </w:rPr>
              <w:t>), pagal jų prisiimamus įsipareigojimus pirkimo sutarčiai vykdyti;</w:t>
            </w:r>
          </w:p>
          <w:p w:rsidR="00FB7B69" w:rsidRPr="00FB7B69" w:rsidRDefault="00FB7B69" w:rsidP="00FB7B69">
            <w:pPr>
              <w:pStyle w:val="ListParagraph"/>
              <w:ind w:left="0"/>
              <w:jc w:val="left"/>
              <w:rPr>
                <w:iCs/>
                <w:color w:val="000000"/>
                <w:sz w:val="20"/>
                <w:szCs w:val="20"/>
              </w:rPr>
            </w:pPr>
          </w:p>
          <w:p w:rsidR="00AA649F" w:rsidRPr="00FB7B69" w:rsidRDefault="00FB7B69" w:rsidP="00FB7B69">
            <w:pPr>
              <w:tabs>
                <w:tab w:val="left" w:pos="178"/>
              </w:tabs>
              <w:spacing w:line="240" w:lineRule="auto"/>
              <w:ind w:hanging="106"/>
              <w:rPr>
                <w:rFonts w:ascii="Times New Roman" w:hAnsi="Times New Roman" w:cs="Times New Roman"/>
                <w:iCs/>
                <w:color w:val="000000"/>
                <w:sz w:val="20"/>
                <w:szCs w:val="20"/>
              </w:rPr>
            </w:pPr>
            <w:r w:rsidRPr="00FB7B69">
              <w:rPr>
                <w:rFonts w:ascii="Times New Roman" w:hAnsi="Times New Roman" w:cs="Times New Roman"/>
                <w:iCs/>
                <w:color w:val="000000"/>
                <w:sz w:val="20"/>
                <w:szCs w:val="20"/>
              </w:rPr>
              <w:t xml:space="preserve"> -</w:t>
            </w:r>
            <w:r w:rsidR="00AA649F" w:rsidRPr="00FB7B69">
              <w:rPr>
                <w:rFonts w:ascii="Times New Roman" w:hAnsi="Times New Roman" w:cs="Times New Roman"/>
                <w:iCs/>
                <w:color w:val="000000"/>
                <w:sz w:val="20"/>
                <w:szCs w:val="20"/>
              </w:rPr>
              <w:t xml:space="preserve">tiekėjas gali remtis kitų ūkio subjektų </w:t>
            </w:r>
            <w:proofErr w:type="spellStart"/>
            <w:r w:rsidR="00AA649F" w:rsidRPr="00FB7B69">
              <w:rPr>
                <w:rFonts w:ascii="Times New Roman" w:hAnsi="Times New Roman" w:cs="Times New Roman"/>
                <w:iCs/>
                <w:color w:val="000000"/>
                <w:sz w:val="20"/>
                <w:szCs w:val="20"/>
              </w:rPr>
              <w:t>pajėgumais</w:t>
            </w:r>
            <w:proofErr w:type="spellEnd"/>
            <w:r w:rsidR="00AA649F" w:rsidRPr="00FB7B69">
              <w:rPr>
                <w:rFonts w:ascii="Times New Roman" w:hAnsi="Times New Roman" w:cs="Times New Roman"/>
                <w:iCs/>
                <w:color w:val="000000"/>
                <w:sz w:val="20"/>
                <w:szCs w:val="20"/>
              </w:rPr>
              <w:t xml:space="preserve"> tik tuomet, kai tie subjektai, kurių </w:t>
            </w:r>
            <w:proofErr w:type="spellStart"/>
            <w:r w:rsidR="00AA649F" w:rsidRPr="00FB7B69">
              <w:rPr>
                <w:rFonts w:ascii="Times New Roman" w:hAnsi="Times New Roman" w:cs="Times New Roman"/>
                <w:iCs/>
                <w:color w:val="000000"/>
                <w:sz w:val="20"/>
                <w:szCs w:val="20"/>
              </w:rPr>
              <w:t>pajėgumais</w:t>
            </w:r>
            <w:proofErr w:type="spellEnd"/>
            <w:r w:rsidR="00AA649F" w:rsidRPr="00FB7B69">
              <w:rPr>
                <w:rFonts w:ascii="Times New Roman" w:hAnsi="Times New Roman" w:cs="Times New Roman"/>
                <w:iCs/>
                <w:color w:val="000000"/>
                <w:sz w:val="20"/>
                <w:szCs w:val="20"/>
              </w:rPr>
              <w:t xml:space="preserve"> buvo pasiremta, patys teiks paslaugas ar atliks darbus, kuriems reikia jų </w:t>
            </w:r>
            <w:proofErr w:type="spellStart"/>
            <w:r w:rsidR="00AA649F" w:rsidRPr="00FB7B69">
              <w:rPr>
                <w:rFonts w:ascii="Times New Roman" w:hAnsi="Times New Roman" w:cs="Times New Roman"/>
                <w:iCs/>
                <w:color w:val="000000"/>
                <w:sz w:val="20"/>
                <w:szCs w:val="20"/>
              </w:rPr>
              <w:t>pajėgumų</w:t>
            </w:r>
            <w:proofErr w:type="spellEnd"/>
            <w:r w:rsidR="00AA649F" w:rsidRPr="00FB7B69">
              <w:rPr>
                <w:rFonts w:ascii="Times New Roman" w:hAnsi="Times New Roman" w:cs="Times New Roman"/>
                <w:iCs/>
                <w:color w:val="000000"/>
                <w:sz w:val="20"/>
                <w:szCs w:val="20"/>
              </w:rPr>
              <w:t>;</w:t>
            </w:r>
          </w:p>
          <w:p w:rsidR="00AA649F" w:rsidRPr="00FB7B69" w:rsidRDefault="00AA649F" w:rsidP="00FB7B69">
            <w:pPr>
              <w:tabs>
                <w:tab w:val="left" w:pos="178"/>
              </w:tabs>
              <w:spacing w:line="240" w:lineRule="auto"/>
              <w:ind w:hanging="106"/>
              <w:rPr>
                <w:rFonts w:ascii="Times New Roman" w:hAnsi="Times New Roman" w:cs="Times New Roman"/>
                <w:iCs/>
                <w:color w:val="000000"/>
                <w:sz w:val="20"/>
                <w:szCs w:val="20"/>
              </w:rPr>
            </w:pPr>
          </w:p>
          <w:p w:rsidR="00AA649F" w:rsidRPr="00FB7B69" w:rsidRDefault="00FB7B69" w:rsidP="00FB7B69">
            <w:pPr>
              <w:tabs>
                <w:tab w:val="left" w:pos="178"/>
              </w:tabs>
              <w:spacing w:line="240" w:lineRule="auto"/>
              <w:ind w:hanging="106"/>
              <w:rPr>
                <w:rFonts w:ascii="Times New Roman" w:hAnsi="Times New Roman" w:cs="Times New Roman"/>
                <w:sz w:val="20"/>
                <w:szCs w:val="20"/>
              </w:rPr>
            </w:pPr>
            <w:r w:rsidRPr="00FB7B69">
              <w:rPr>
                <w:rFonts w:ascii="Times New Roman" w:hAnsi="Times New Roman" w:cs="Times New Roman"/>
                <w:iCs/>
                <w:color w:val="000000"/>
                <w:sz w:val="20"/>
                <w:szCs w:val="20"/>
              </w:rPr>
              <w:t xml:space="preserve"> -</w:t>
            </w:r>
            <w:r w:rsidR="00AA649F" w:rsidRPr="00FB7B69">
              <w:rPr>
                <w:rFonts w:ascii="Times New Roman" w:hAnsi="Times New Roman" w:cs="Times New Roman"/>
                <w:iCs/>
                <w:color w:val="000000"/>
                <w:sz w:val="20"/>
                <w:szCs w:val="20"/>
              </w:rPr>
              <w:t xml:space="preserve">subtiekėjai, kuriuos tiekėjas pasitelks pirkimo sutarties vykdymui (kurių </w:t>
            </w:r>
            <w:proofErr w:type="spellStart"/>
            <w:r w:rsidR="00AA649F" w:rsidRPr="00FB7B69">
              <w:rPr>
                <w:rFonts w:ascii="Times New Roman" w:hAnsi="Times New Roman" w:cs="Times New Roman"/>
                <w:iCs/>
                <w:color w:val="000000"/>
                <w:sz w:val="20"/>
                <w:szCs w:val="20"/>
              </w:rPr>
              <w:t>pajėgumais</w:t>
            </w:r>
            <w:proofErr w:type="spellEnd"/>
            <w:r w:rsidR="00AA649F" w:rsidRPr="00FB7B69">
              <w:rPr>
                <w:rFonts w:ascii="Times New Roman" w:hAnsi="Times New Roman" w:cs="Times New Roman"/>
                <w:iCs/>
                <w:color w:val="000000"/>
                <w:sz w:val="20"/>
                <w:szCs w:val="20"/>
              </w:rPr>
              <w:t xml:space="preserve"> tiekėjas nesiremia, kad atitiktų pirkimo dokumentuose nustatytus kvalifikacijos reikalavimus), privalo turėti teisę verstis ta </w:t>
            </w:r>
            <w:r w:rsidR="00AA649F" w:rsidRPr="00FB7B69">
              <w:rPr>
                <w:rFonts w:ascii="Times New Roman" w:hAnsi="Times New Roman" w:cs="Times New Roman"/>
                <w:iCs/>
                <w:color w:val="000000"/>
                <w:sz w:val="20"/>
                <w:szCs w:val="20"/>
              </w:rPr>
              <w:lastRenderedPageBreak/>
              <w:t>veikla, kuriai jis pasitelkiamas.</w:t>
            </w:r>
          </w:p>
          <w:p w:rsidR="00C86C56" w:rsidRPr="00E32906" w:rsidRDefault="00C86C56" w:rsidP="00AA422D">
            <w:pPr>
              <w:tabs>
                <w:tab w:val="left" w:pos="178"/>
              </w:tabs>
              <w:spacing w:line="240" w:lineRule="auto"/>
              <w:ind w:firstLine="36"/>
              <w:jc w:val="both"/>
              <w:rPr>
                <w:rFonts w:ascii="Times New Roman" w:hAnsi="Times New Roman" w:cs="Times New Roman"/>
                <w:sz w:val="22"/>
                <w:szCs w:val="22"/>
              </w:rPr>
            </w:pPr>
          </w:p>
        </w:tc>
      </w:tr>
    </w:tbl>
    <w:p w:rsidR="00F91DB2" w:rsidRPr="00E32906" w:rsidRDefault="00F91DB2" w:rsidP="00F91DB2">
      <w:pPr>
        <w:spacing w:after="0" w:line="240" w:lineRule="auto"/>
        <w:rPr>
          <w:rFonts w:ascii="Times New Roman" w:hAnsi="Times New Roman" w:cs="Times New Roman"/>
          <w:sz w:val="24"/>
          <w:szCs w:val="24"/>
        </w:rPr>
      </w:pPr>
    </w:p>
    <w:p w:rsidR="00F91DB2" w:rsidRDefault="00F91DB2" w:rsidP="00F91DB2">
      <w:pPr>
        <w:spacing w:after="0" w:line="240" w:lineRule="auto"/>
        <w:rPr>
          <w:rFonts w:ascii="Times New Roman" w:eastAsia="Times New Roman" w:hAnsi="Times New Roman" w:cs="Times New Roman"/>
          <w:b/>
          <w:bCs/>
          <w:sz w:val="20"/>
          <w:szCs w:val="20"/>
        </w:rPr>
      </w:pPr>
    </w:p>
    <w:p w:rsidR="00EF34B3" w:rsidRPr="002D1231" w:rsidRDefault="00EF34B3" w:rsidP="00F91DB2">
      <w:pPr>
        <w:spacing w:after="0" w:line="240" w:lineRule="auto"/>
        <w:rPr>
          <w:rFonts w:ascii="Times New Roman" w:eastAsia="Times New Roman" w:hAnsi="Times New Roman" w:cs="Times New Roman"/>
          <w:b/>
          <w:bCs/>
          <w:sz w:val="24"/>
          <w:szCs w:val="24"/>
        </w:rPr>
      </w:pPr>
    </w:p>
    <w:p w:rsidR="00EF34B3" w:rsidRPr="002D1231" w:rsidRDefault="00EF34B3" w:rsidP="00F91DB2">
      <w:pPr>
        <w:spacing w:after="0" w:line="240" w:lineRule="auto"/>
        <w:rPr>
          <w:rFonts w:ascii="Times New Roman" w:eastAsia="Times New Roman" w:hAnsi="Times New Roman" w:cs="Times New Roman"/>
          <w:b/>
          <w:bCs/>
          <w:sz w:val="24"/>
          <w:szCs w:val="24"/>
        </w:rPr>
      </w:pPr>
    </w:p>
    <w:sectPr w:rsidR="00EF34B3" w:rsidRPr="002D1231" w:rsidSect="00FB7B69">
      <w:headerReference w:type="default" r:id="rId16"/>
      <w:footerReference w:type="default" r:id="rId17"/>
      <w:pgSz w:w="16838" w:h="11906" w:orient="landscape"/>
      <w:pgMar w:top="993" w:right="1440" w:bottom="156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7D" w:rsidRDefault="000A0C7D" w:rsidP="00F91DB2">
      <w:pPr>
        <w:spacing w:after="0" w:line="240" w:lineRule="auto"/>
      </w:pPr>
      <w:r>
        <w:separator/>
      </w:r>
    </w:p>
  </w:endnote>
  <w:endnote w:type="continuationSeparator" w:id="0">
    <w:p w:rsidR="000A0C7D" w:rsidRDefault="000A0C7D"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0A0C7D" w:rsidP="00262028">
          <w:pPr>
            <w:pStyle w:val="Footer"/>
            <w:ind w:left="-115"/>
            <w:rPr>
              <w:rFonts w:ascii="Calibri" w:hAnsi="Calibri"/>
            </w:rPr>
          </w:pPr>
        </w:p>
      </w:tc>
      <w:tc>
        <w:tcPr>
          <w:tcW w:w="3005" w:type="dxa"/>
        </w:tcPr>
        <w:p w:rsidR="69F6BF54" w:rsidRDefault="000A0C7D" w:rsidP="00262028">
          <w:pPr>
            <w:pStyle w:val="Footer"/>
            <w:jc w:val="center"/>
            <w:rPr>
              <w:rFonts w:ascii="Calibri" w:hAnsi="Calibri"/>
            </w:rPr>
          </w:pPr>
        </w:p>
      </w:tc>
      <w:tc>
        <w:tcPr>
          <w:tcW w:w="3005" w:type="dxa"/>
        </w:tcPr>
        <w:p w:rsidR="69F6BF54" w:rsidRDefault="000A0C7D" w:rsidP="00262028">
          <w:pPr>
            <w:pStyle w:val="Footer"/>
            <w:ind w:right="-115"/>
            <w:jc w:val="right"/>
            <w:rPr>
              <w:rFonts w:ascii="Calibri" w:hAnsi="Calibri"/>
            </w:rPr>
          </w:pPr>
        </w:p>
      </w:tc>
    </w:tr>
  </w:tbl>
  <w:p w:rsidR="00233FFB" w:rsidRDefault="000A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7D" w:rsidRDefault="000A0C7D" w:rsidP="00F91DB2">
      <w:pPr>
        <w:spacing w:after="0" w:line="240" w:lineRule="auto"/>
      </w:pPr>
      <w:r>
        <w:separator/>
      </w:r>
    </w:p>
  </w:footnote>
  <w:footnote w:type="continuationSeparator" w:id="0">
    <w:p w:rsidR="000A0C7D" w:rsidRDefault="000A0C7D" w:rsidP="00F91DB2">
      <w:pPr>
        <w:spacing w:after="0" w:line="240" w:lineRule="auto"/>
      </w:pPr>
      <w:r>
        <w:continuationSeparator/>
      </w:r>
    </w:p>
  </w:footnote>
  <w:footnote w:id="1">
    <w:p w:rsidR="00F91DB2" w:rsidRPr="001620D3" w:rsidRDefault="00F91DB2"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91DB2" w:rsidRPr="001620D3" w:rsidRDefault="00F91DB2"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0B28FD">
          <w:rPr>
            <w:noProof/>
          </w:rPr>
          <w:t>11</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48FD"/>
    <w:multiLevelType w:val="hybridMultilevel"/>
    <w:tmpl w:val="D55267DA"/>
    <w:lvl w:ilvl="0" w:tplc="0A42C29E">
      <w:start w:val="2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453A5"/>
    <w:multiLevelType w:val="hybridMultilevel"/>
    <w:tmpl w:val="D53CDFC8"/>
    <w:lvl w:ilvl="0" w:tplc="C9E85E66">
      <w:start w:val="2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569049E"/>
    <w:multiLevelType w:val="multilevel"/>
    <w:tmpl w:val="8AC88036"/>
    <w:lvl w:ilvl="0">
      <w:start w:val="1"/>
      <w:numFmt w:val="decimal"/>
      <w:lvlText w:val="%1."/>
      <w:lvlJc w:val="left"/>
      <w:pPr>
        <w:ind w:left="405" w:hanging="405"/>
      </w:pPr>
      <w:rPr>
        <w:rFonts w:eastAsiaTheme="minorEastAsia" w:hint="default"/>
      </w:rPr>
    </w:lvl>
    <w:lvl w:ilvl="1">
      <w:start w:val="1"/>
      <w:numFmt w:val="decimal"/>
      <w:lvlText w:val="%1.%2."/>
      <w:lvlJc w:val="left"/>
      <w:pPr>
        <w:ind w:left="405" w:hanging="405"/>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9F5C2F"/>
    <w:multiLevelType w:val="hybridMultilevel"/>
    <w:tmpl w:val="6B4A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7FC746B1"/>
    <w:multiLevelType w:val="hybridMultilevel"/>
    <w:tmpl w:val="BA62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5"/>
  </w:num>
  <w:num w:numId="5">
    <w:abstractNumId w:val="7"/>
  </w:num>
  <w:num w:numId="6">
    <w:abstractNumId w:val="12"/>
  </w:num>
  <w:num w:numId="7">
    <w:abstractNumId w:val="14"/>
  </w:num>
  <w:num w:numId="8">
    <w:abstractNumId w:val="0"/>
  </w:num>
  <w:num w:numId="9">
    <w:abstractNumId w:val="10"/>
  </w:num>
  <w:num w:numId="10">
    <w:abstractNumId w:val="4"/>
  </w:num>
  <w:num w:numId="11">
    <w:abstractNumId w:val="16"/>
  </w:num>
  <w:num w:numId="12">
    <w:abstractNumId w:val="8"/>
  </w:num>
  <w:num w:numId="13">
    <w:abstractNumId w:val="2"/>
  </w:num>
  <w:num w:numId="14">
    <w:abstractNumId w:val="6"/>
  </w:num>
  <w:num w:numId="15">
    <w:abstractNumId w:val="17"/>
  </w:num>
  <w:num w:numId="16">
    <w:abstractNumId w:val="9"/>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100B1"/>
    <w:rsid w:val="00061360"/>
    <w:rsid w:val="00063F24"/>
    <w:rsid w:val="000672EB"/>
    <w:rsid w:val="00086703"/>
    <w:rsid w:val="000A0C7D"/>
    <w:rsid w:val="000A31EC"/>
    <w:rsid w:val="000B28FD"/>
    <w:rsid w:val="000C562E"/>
    <w:rsid w:val="000D0F01"/>
    <w:rsid w:val="000D4DCD"/>
    <w:rsid w:val="000D75F7"/>
    <w:rsid w:val="000E3860"/>
    <w:rsid w:val="000F4469"/>
    <w:rsid w:val="000F491C"/>
    <w:rsid w:val="000F72FC"/>
    <w:rsid w:val="001000F1"/>
    <w:rsid w:val="00111057"/>
    <w:rsid w:val="001135CD"/>
    <w:rsid w:val="00120A0C"/>
    <w:rsid w:val="00134A91"/>
    <w:rsid w:val="00134FC6"/>
    <w:rsid w:val="00137D7A"/>
    <w:rsid w:val="00154BCB"/>
    <w:rsid w:val="00171EFA"/>
    <w:rsid w:val="00177297"/>
    <w:rsid w:val="00192809"/>
    <w:rsid w:val="00197F67"/>
    <w:rsid w:val="001A04A8"/>
    <w:rsid w:val="001A2F7C"/>
    <w:rsid w:val="001A538B"/>
    <w:rsid w:val="001C380E"/>
    <w:rsid w:val="001D48D2"/>
    <w:rsid w:val="001F4682"/>
    <w:rsid w:val="00212382"/>
    <w:rsid w:val="00236604"/>
    <w:rsid w:val="0023698B"/>
    <w:rsid w:val="002478FD"/>
    <w:rsid w:val="002577A2"/>
    <w:rsid w:val="00260A45"/>
    <w:rsid w:val="00270B6C"/>
    <w:rsid w:val="002760B2"/>
    <w:rsid w:val="002A692C"/>
    <w:rsid w:val="002B3A11"/>
    <w:rsid w:val="002C657B"/>
    <w:rsid w:val="002D1231"/>
    <w:rsid w:val="002E062F"/>
    <w:rsid w:val="002E5ADD"/>
    <w:rsid w:val="002F605A"/>
    <w:rsid w:val="003002E7"/>
    <w:rsid w:val="003122E5"/>
    <w:rsid w:val="00320B86"/>
    <w:rsid w:val="00331A68"/>
    <w:rsid w:val="00345542"/>
    <w:rsid w:val="00367BDF"/>
    <w:rsid w:val="00370B3A"/>
    <w:rsid w:val="003755D8"/>
    <w:rsid w:val="003A340D"/>
    <w:rsid w:val="003A4D3D"/>
    <w:rsid w:val="003A74F5"/>
    <w:rsid w:val="003D7146"/>
    <w:rsid w:val="003E118F"/>
    <w:rsid w:val="003E751E"/>
    <w:rsid w:val="003F25E0"/>
    <w:rsid w:val="00402322"/>
    <w:rsid w:val="00402984"/>
    <w:rsid w:val="004053CC"/>
    <w:rsid w:val="00414CAC"/>
    <w:rsid w:val="00426605"/>
    <w:rsid w:val="004329B1"/>
    <w:rsid w:val="0043587D"/>
    <w:rsid w:val="00443D61"/>
    <w:rsid w:val="0046080C"/>
    <w:rsid w:val="004642CA"/>
    <w:rsid w:val="00474CF8"/>
    <w:rsid w:val="00483251"/>
    <w:rsid w:val="004A0D13"/>
    <w:rsid w:val="004E4196"/>
    <w:rsid w:val="004F3087"/>
    <w:rsid w:val="00530F78"/>
    <w:rsid w:val="00552B6A"/>
    <w:rsid w:val="00566C22"/>
    <w:rsid w:val="0057276D"/>
    <w:rsid w:val="0057629B"/>
    <w:rsid w:val="00584E58"/>
    <w:rsid w:val="00596A31"/>
    <w:rsid w:val="005A69E5"/>
    <w:rsid w:val="005A6E98"/>
    <w:rsid w:val="005C1E9F"/>
    <w:rsid w:val="005C2D00"/>
    <w:rsid w:val="005C478B"/>
    <w:rsid w:val="005D414E"/>
    <w:rsid w:val="005F40F0"/>
    <w:rsid w:val="0061467A"/>
    <w:rsid w:val="00614F17"/>
    <w:rsid w:val="0061599A"/>
    <w:rsid w:val="00617715"/>
    <w:rsid w:val="00621F8B"/>
    <w:rsid w:val="00630713"/>
    <w:rsid w:val="00631696"/>
    <w:rsid w:val="00641C23"/>
    <w:rsid w:val="00641E54"/>
    <w:rsid w:val="00645326"/>
    <w:rsid w:val="00651BF1"/>
    <w:rsid w:val="00653CF0"/>
    <w:rsid w:val="006606F5"/>
    <w:rsid w:val="006624CD"/>
    <w:rsid w:val="00664F25"/>
    <w:rsid w:val="006825B9"/>
    <w:rsid w:val="00686581"/>
    <w:rsid w:val="006A5BBF"/>
    <w:rsid w:val="006C5614"/>
    <w:rsid w:val="006D1395"/>
    <w:rsid w:val="006F1A7F"/>
    <w:rsid w:val="006F47E5"/>
    <w:rsid w:val="006F5A5D"/>
    <w:rsid w:val="00701AE5"/>
    <w:rsid w:val="0070554C"/>
    <w:rsid w:val="00745814"/>
    <w:rsid w:val="00750331"/>
    <w:rsid w:val="00756862"/>
    <w:rsid w:val="007613CC"/>
    <w:rsid w:val="00767FA5"/>
    <w:rsid w:val="00777BBA"/>
    <w:rsid w:val="007826C4"/>
    <w:rsid w:val="0078555C"/>
    <w:rsid w:val="007C4185"/>
    <w:rsid w:val="007D4002"/>
    <w:rsid w:val="007D4952"/>
    <w:rsid w:val="007F7FB2"/>
    <w:rsid w:val="00801DC4"/>
    <w:rsid w:val="0080767A"/>
    <w:rsid w:val="00812389"/>
    <w:rsid w:val="00820450"/>
    <w:rsid w:val="00826948"/>
    <w:rsid w:val="00831A54"/>
    <w:rsid w:val="00854F24"/>
    <w:rsid w:val="00854F93"/>
    <w:rsid w:val="00856FAD"/>
    <w:rsid w:val="00870DB9"/>
    <w:rsid w:val="00885C05"/>
    <w:rsid w:val="008876C0"/>
    <w:rsid w:val="00892680"/>
    <w:rsid w:val="008A0A39"/>
    <w:rsid w:val="008B1F4B"/>
    <w:rsid w:val="008C034A"/>
    <w:rsid w:val="008C0663"/>
    <w:rsid w:val="008C32D7"/>
    <w:rsid w:val="008C7BC0"/>
    <w:rsid w:val="008D7729"/>
    <w:rsid w:val="008F55C7"/>
    <w:rsid w:val="00923911"/>
    <w:rsid w:val="009256C6"/>
    <w:rsid w:val="009261B8"/>
    <w:rsid w:val="0094664C"/>
    <w:rsid w:val="00946F26"/>
    <w:rsid w:val="009472AE"/>
    <w:rsid w:val="00952970"/>
    <w:rsid w:val="00961CDD"/>
    <w:rsid w:val="0096381F"/>
    <w:rsid w:val="00973E60"/>
    <w:rsid w:val="00974AE0"/>
    <w:rsid w:val="009B3099"/>
    <w:rsid w:val="009C0CAA"/>
    <w:rsid w:val="009E5446"/>
    <w:rsid w:val="009F3AA8"/>
    <w:rsid w:val="009F67DD"/>
    <w:rsid w:val="009F7038"/>
    <w:rsid w:val="00A060DB"/>
    <w:rsid w:val="00A14CE5"/>
    <w:rsid w:val="00A1536C"/>
    <w:rsid w:val="00A23E45"/>
    <w:rsid w:val="00A33413"/>
    <w:rsid w:val="00A60678"/>
    <w:rsid w:val="00A73A74"/>
    <w:rsid w:val="00A8278C"/>
    <w:rsid w:val="00AA3002"/>
    <w:rsid w:val="00AA422D"/>
    <w:rsid w:val="00AA4530"/>
    <w:rsid w:val="00AA649F"/>
    <w:rsid w:val="00AC3502"/>
    <w:rsid w:val="00AD7954"/>
    <w:rsid w:val="00AF23B0"/>
    <w:rsid w:val="00B008BE"/>
    <w:rsid w:val="00B02C68"/>
    <w:rsid w:val="00B06CFD"/>
    <w:rsid w:val="00B250DF"/>
    <w:rsid w:val="00B337AC"/>
    <w:rsid w:val="00B345A9"/>
    <w:rsid w:val="00B35D17"/>
    <w:rsid w:val="00B62DB3"/>
    <w:rsid w:val="00B66480"/>
    <w:rsid w:val="00B67A7F"/>
    <w:rsid w:val="00B76D54"/>
    <w:rsid w:val="00B811A5"/>
    <w:rsid w:val="00B82BD7"/>
    <w:rsid w:val="00BA72F4"/>
    <w:rsid w:val="00BC3C68"/>
    <w:rsid w:val="00BD0CD1"/>
    <w:rsid w:val="00BE0CF6"/>
    <w:rsid w:val="00C20589"/>
    <w:rsid w:val="00C24322"/>
    <w:rsid w:val="00C3722A"/>
    <w:rsid w:val="00C54969"/>
    <w:rsid w:val="00C71039"/>
    <w:rsid w:val="00C85038"/>
    <w:rsid w:val="00C86C56"/>
    <w:rsid w:val="00CA2B59"/>
    <w:rsid w:val="00CD284A"/>
    <w:rsid w:val="00CF4078"/>
    <w:rsid w:val="00CF4920"/>
    <w:rsid w:val="00D01247"/>
    <w:rsid w:val="00D13A78"/>
    <w:rsid w:val="00D247D0"/>
    <w:rsid w:val="00D44E9A"/>
    <w:rsid w:val="00D533F8"/>
    <w:rsid w:val="00D66E9C"/>
    <w:rsid w:val="00D70531"/>
    <w:rsid w:val="00D72033"/>
    <w:rsid w:val="00D742B3"/>
    <w:rsid w:val="00D90B07"/>
    <w:rsid w:val="00D93F7A"/>
    <w:rsid w:val="00D959D4"/>
    <w:rsid w:val="00DB48BB"/>
    <w:rsid w:val="00DF1A95"/>
    <w:rsid w:val="00DF2127"/>
    <w:rsid w:val="00DF5A04"/>
    <w:rsid w:val="00E03453"/>
    <w:rsid w:val="00E20BFD"/>
    <w:rsid w:val="00E225ED"/>
    <w:rsid w:val="00E32906"/>
    <w:rsid w:val="00E42DC6"/>
    <w:rsid w:val="00E4411B"/>
    <w:rsid w:val="00E6067B"/>
    <w:rsid w:val="00E64F84"/>
    <w:rsid w:val="00E77955"/>
    <w:rsid w:val="00E810DF"/>
    <w:rsid w:val="00E96CF3"/>
    <w:rsid w:val="00E97A65"/>
    <w:rsid w:val="00EA6047"/>
    <w:rsid w:val="00EE7B12"/>
    <w:rsid w:val="00EF34B3"/>
    <w:rsid w:val="00F10E8E"/>
    <w:rsid w:val="00F117A0"/>
    <w:rsid w:val="00F125CC"/>
    <w:rsid w:val="00F25952"/>
    <w:rsid w:val="00F323E8"/>
    <w:rsid w:val="00F5715C"/>
    <w:rsid w:val="00F5767F"/>
    <w:rsid w:val="00F607D4"/>
    <w:rsid w:val="00F71E2B"/>
    <w:rsid w:val="00F822E4"/>
    <w:rsid w:val="00F91DB2"/>
    <w:rsid w:val="00F96E0F"/>
    <w:rsid w:val="00FA1F76"/>
    <w:rsid w:val="00FA4E99"/>
    <w:rsid w:val="00FB7B69"/>
    <w:rsid w:val="00FB7D73"/>
    <w:rsid w:val="00FC36E4"/>
    <w:rsid w:val="00FC4565"/>
    <w:rsid w:val="00FD2D5D"/>
    <w:rsid w:val="00FD4D69"/>
    <w:rsid w:val="00FE24CC"/>
    <w:rsid w:val="00FE7FF8"/>
    <w:rsid w:val="00FF06AF"/>
    <w:rsid w:val="00FF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760"/>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171E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11</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291</cp:revision>
  <dcterms:created xsi:type="dcterms:W3CDTF">2025-02-10T07:23:00Z</dcterms:created>
  <dcterms:modified xsi:type="dcterms:W3CDTF">2026-03-10T09:03:00Z</dcterms:modified>
</cp:coreProperties>
</file>