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0AA164AC" w14:textId="77777777" w:rsidR="00F776A3" w:rsidRPr="003B5E69" w:rsidRDefault="00F776A3" w:rsidP="00F776A3">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C9FCEB5" w14:textId="77777777" w:rsidR="00F776A3" w:rsidRPr="00D8258A" w:rsidRDefault="00F776A3" w:rsidP="00F776A3">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49C9E6BF" w14:textId="61BD3552" w:rsidR="00F776A3" w:rsidRPr="003B5E69" w:rsidRDefault="00F776A3" w:rsidP="00F776A3">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6A559619EA6A491BBAD77DD1771665AD"/>
          </w:placeholder>
          <w:date w:fullDate="2026-03-12T00:00:00Z">
            <w:dateFormat w:val="yyyy-MM-dd"/>
            <w:lid w:val="lt-LT"/>
            <w:storeMappedDataAs w:val="dateTime"/>
            <w:calendar w:val="gregorian"/>
          </w:date>
        </w:sdtPr>
        <w:sdtContent>
          <w:r>
            <w:rPr>
              <w:rFonts w:eastAsia="Calibri"/>
              <w:i/>
              <w:color w:val="000000"/>
              <w:lang w:eastAsia="en-US"/>
            </w:rPr>
            <w:t>2026-03-12</w:t>
          </w:r>
        </w:sdtContent>
      </w:sdt>
      <w:r w:rsidRPr="00D8258A">
        <w:rPr>
          <w:rFonts w:eastAsia="Calibri"/>
          <w:i/>
          <w:color w:val="000000"/>
          <w:lang w:eastAsia="en-US"/>
        </w:rPr>
        <w:t xml:space="preserve"> protokolas Nr. </w:t>
      </w:r>
      <w:r w:rsidR="00DF795D" w:rsidRPr="00DF795D">
        <w:rPr>
          <w:rFonts w:eastAsia="Calibri"/>
          <w:i/>
          <w:color w:val="000000"/>
          <w:lang w:eastAsia="en-US"/>
        </w:rPr>
        <w:t>VPP-33</w:t>
      </w:r>
    </w:p>
    <w:p w14:paraId="2C1F4160" w14:textId="71B635B7" w:rsidR="00F776A3" w:rsidRPr="003B5E69" w:rsidRDefault="00F776A3" w:rsidP="00F776A3">
      <w:pP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70EEA578" w:rsidR="000F2D5F" w:rsidRPr="003B5E69" w:rsidRDefault="00AA20C3" w:rsidP="005E0711">
      <w:pPr>
        <w:jc w:val="center"/>
        <w:rPr>
          <w:b/>
          <w:bCs/>
        </w:rPr>
      </w:pPr>
      <w:sdt>
        <w:sdtPr>
          <w:rPr>
            <w:b/>
            <w:bCs/>
          </w:rPr>
          <w:id w:val="-1678878101"/>
          <w:placeholder>
            <w:docPart w:val="1CB72D1C56CC431C83052058F3F4F0FE"/>
          </w:placeholder>
        </w:sdtPr>
        <w:sdtEndPr/>
        <w:sdtContent>
          <w:r w:rsidR="00EC09EA">
            <w:rPr>
              <w:b/>
              <w:bCs/>
              <w:u w:val="single"/>
            </w:rPr>
            <w:t>DRONO-ORO TAIKINIO PALEIDIMO</w:t>
          </w:r>
          <w:r w:rsidR="00906394">
            <w:rPr>
              <w:b/>
              <w:bCs/>
              <w:u w:val="single"/>
            </w:rPr>
            <w:t xml:space="preserve"> PASLAUGOS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AA20C3"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AA20C3"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AA20C3"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AA20C3"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AA20C3"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AA20C3"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AA20C3"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AA20C3"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AA20C3"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AA20C3"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AA20C3"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AA20C3"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AA20C3"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AA20C3"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w:t>
      </w:r>
      <w:r w:rsidR="00AF5F9F" w:rsidRPr="003B5E69">
        <w:rPr>
          <w:i/>
        </w:rPr>
        <w:lastRenderedPageBreak/>
        <w:t>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4B8E282" w:rsidR="003B5E69" w:rsidRDefault="00E2677C" w:rsidP="00696628">
      <w:pPr>
        <w:numPr>
          <w:ilvl w:val="0"/>
          <w:numId w:val="14"/>
        </w:numPr>
        <w:tabs>
          <w:tab w:val="num" w:pos="1134"/>
        </w:tabs>
        <w:autoSpaceDE w:val="0"/>
        <w:autoSpaceDN w:val="0"/>
        <w:adjustRightInd w:val="0"/>
        <w:ind w:right="-2"/>
        <w:jc w:val="both"/>
        <w:rPr>
          <w:i/>
        </w:rPr>
      </w:pPr>
      <w:r w:rsidRPr="005E0711">
        <w:t>Pirkimo objektas</w:t>
      </w:r>
      <w:r>
        <w:rPr>
          <w:b/>
        </w:rPr>
        <w:t xml:space="preserve"> –</w:t>
      </w:r>
      <w:r w:rsidR="00251699">
        <w:rPr>
          <w:b/>
          <w:bCs/>
        </w:rPr>
        <w:t xml:space="preserve"> </w:t>
      </w:r>
      <w:proofErr w:type="spellStart"/>
      <w:r w:rsidR="00EC09EA">
        <w:rPr>
          <w:b/>
          <w:bCs/>
        </w:rPr>
        <w:t>Drono</w:t>
      </w:r>
      <w:proofErr w:type="spellEnd"/>
      <w:r w:rsidR="00EC09EA">
        <w:rPr>
          <w:b/>
          <w:bCs/>
        </w:rPr>
        <w:t xml:space="preserve">-oro taikinio paleidimo </w:t>
      </w:r>
      <w:r w:rsidR="005E0711">
        <w:rPr>
          <w:b/>
          <w:bCs/>
        </w:rPr>
        <w:t>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AA20C3"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bookmarkStart w:id="2" w:name="_GoBack"/>
      <w:bookmarkEnd w:id="2"/>
    </w:p>
    <w:p w14:paraId="3E4306B2" w14:textId="46537160" w:rsidR="003B5E69" w:rsidRPr="003B5E69" w:rsidRDefault="00AA20C3"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4DFF3559" w:rsidR="003B5E69" w:rsidRPr="003B5E69" w:rsidRDefault="00AA20C3"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w:t>
      </w:r>
    </w:p>
    <w:p w14:paraId="219350A1" w14:textId="394BF246" w:rsidR="003B5E69" w:rsidRPr="00B20794" w:rsidRDefault="00AA20C3"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w:t>
      </w:r>
      <w:r w:rsidR="00F776A3">
        <w:t xml:space="preserve">- </w:t>
      </w:r>
      <w:r w:rsidR="00F776A3">
        <w:rPr>
          <w:color w:val="000000"/>
          <w:lang w:eastAsia="en-US"/>
        </w:rPr>
        <w:t>2026 m. gegužės 11–1</w:t>
      </w:r>
      <w:r w:rsidR="00F776A3">
        <w:rPr>
          <w:color w:val="000000"/>
          <w:lang w:eastAsia="en-US"/>
        </w:rPr>
        <w:t>5</w:t>
      </w:r>
      <w:r w:rsidR="00F776A3">
        <w:rPr>
          <w:color w:val="000000"/>
          <w:lang w:eastAsia="en-US"/>
        </w:rPr>
        <w:t xml:space="preserve"> d.</w:t>
      </w:r>
      <w:r w:rsidR="00F776A3">
        <w:rPr>
          <w:color w:val="000000"/>
          <w:lang w:eastAsia="en-US"/>
        </w:rPr>
        <w:t xml:space="preserve"> (įskaitytinai)</w:t>
      </w:r>
      <w:r w:rsidR="00F776A3">
        <w:rPr>
          <w:color w:val="000000"/>
          <w:lang w:eastAsia="en-US"/>
        </w:rPr>
        <w:t xml:space="preserve"> laikotarpiu.</w:t>
      </w:r>
    </w:p>
    <w:p w14:paraId="2B88F4F9" w14:textId="5842EA13" w:rsidR="003B5E69" w:rsidRDefault="00AA20C3"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 xml:space="preserve">Paslaugų suteikimo </w:t>
          </w:r>
          <w:r w:rsidR="00EC09EA">
            <w:t>vieta</w:t>
          </w:r>
        </w:sdtContent>
      </w:sdt>
      <w:r w:rsidR="00906394">
        <w:t xml:space="preserve"> </w:t>
      </w:r>
      <w:r w:rsidR="00EC09EA" w:rsidRPr="00375D5E">
        <w:t>Lietuvos Respublik</w:t>
      </w:r>
      <w:r w:rsidR="00EC09EA">
        <w:t>os</w:t>
      </w:r>
      <w:r w:rsidR="00EC09EA" w:rsidRPr="00375D5E">
        <w:t xml:space="preserve"> teritor</w:t>
      </w:r>
      <w:r w:rsidR="00EC09EA">
        <w:t>inė jūra</w:t>
      </w:r>
      <w:r w:rsidR="00EC09EA">
        <w:rPr>
          <w:lang w:eastAsia="en-US"/>
        </w:rPr>
        <w:t xml:space="preserve">. Tiksli </w:t>
      </w:r>
      <w:proofErr w:type="spellStart"/>
      <w:r w:rsidR="00EC09EA">
        <w:rPr>
          <w:lang w:eastAsia="en-US"/>
        </w:rPr>
        <w:t>drono</w:t>
      </w:r>
      <w:proofErr w:type="spellEnd"/>
      <w:r w:rsidR="00EC09EA">
        <w:rPr>
          <w:lang w:eastAsia="en-US"/>
        </w:rPr>
        <w:t>-oro taikinio paleidimo vieta, atsižvelgus į oro sąlygas, bus nurodoma paslaugos užsakymo metu</w:t>
      </w:r>
      <w:r w:rsidR="00E5538F">
        <w:rPr>
          <w:lang w:eastAsia="en-US"/>
        </w:rPr>
        <w:t>.</w:t>
      </w:r>
    </w:p>
    <w:p w14:paraId="0D1718F3" w14:textId="44052D81" w:rsidR="00E5538F" w:rsidRDefault="00E5538F" w:rsidP="00E5538F">
      <w:pPr>
        <w:pStyle w:val="ListParagraph"/>
        <w:numPr>
          <w:ilvl w:val="1"/>
          <w:numId w:val="22"/>
        </w:numPr>
        <w:autoSpaceDE w:val="0"/>
        <w:autoSpaceDN w:val="0"/>
        <w:adjustRightInd w:val="0"/>
        <w:ind w:right="-2"/>
        <w:jc w:val="both"/>
      </w:pPr>
      <w:r>
        <w:t>Paslaugos pirkimui taikomi Aplinko apsaugos kriterijai:</w:t>
      </w:r>
    </w:p>
    <w:p w14:paraId="15AF88E7" w14:textId="4FCD61FB" w:rsidR="00F776A3" w:rsidRDefault="00F776A3" w:rsidP="00F776A3">
      <w:pPr>
        <w:autoSpaceDE w:val="0"/>
        <w:autoSpaceDN w:val="0"/>
        <w:adjustRightInd w:val="0"/>
        <w:ind w:left="567" w:right="-2"/>
        <w:jc w:val="both"/>
      </w:pPr>
      <w:r>
        <w:t xml:space="preserve">2.9.1.Paslaugos Teikėjas įsipareigoja, kad po panaudojimo </w:t>
      </w:r>
      <w:proofErr w:type="spellStart"/>
      <w:r>
        <w:t>drono</w:t>
      </w:r>
      <w:proofErr w:type="spellEnd"/>
      <w:r w:rsidR="00B41010">
        <w:t xml:space="preserve">-oro taikinio </w:t>
      </w:r>
      <w:r>
        <w:t xml:space="preserve">atskiros dalys, </w:t>
      </w:r>
      <w:r w:rsidR="00B41010">
        <w:t>jei tokios bus</w:t>
      </w:r>
      <w:r w:rsidR="00AA20C3">
        <w:t xml:space="preserve"> susidariusios</w:t>
      </w:r>
      <w:r w:rsidR="00B41010">
        <w:t xml:space="preserve">, </w:t>
      </w:r>
      <w:r>
        <w:t xml:space="preserve">bus tinkamos panaudoti </w:t>
      </w:r>
      <w:r w:rsidR="00B41010">
        <w:t xml:space="preserve">pakartotinai. </w:t>
      </w:r>
      <w:r w:rsidR="00DF795D">
        <w:t>Nesant galimybei, Teikėjas įsipareigoja išrūšiuoti susidariusias atliekas pagal atliekų rūšį ir jas perduoti atliekų perdirbimo ir/ar utilizavimo įmonėms.</w:t>
      </w:r>
    </w:p>
    <w:p w14:paraId="4A24E7CF" w14:textId="2B189130" w:rsidR="00E5538F" w:rsidRDefault="00F776A3" w:rsidP="00F776A3">
      <w:pPr>
        <w:autoSpaceDE w:val="0"/>
        <w:autoSpaceDN w:val="0"/>
        <w:adjustRightInd w:val="0"/>
        <w:ind w:right="-2" w:firstLine="567"/>
        <w:rPr>
          <w:rFonts w:eastAsia="Helvetica Neue UltraLight"/>
          <w:lang w:eastAsia="zh-CN"/>
        </w:rPr>
      </w:pPr>
      <w:r>
        <w:rPr>
          <w:rFonts w:eastAsia="Helvetica Neue UltraLight"/>
          <w:lang w:eastAsia="zh-CN"/>
        </w:rPr>
        <w:lastRenderedPageBreak/>
        <w:t>2.9.2.</w:t>
      </w:r>
      <w:r w:rsidR="00E5538F" w:rsidRPr="006014A3">
        <w:rPr>
          <w:rFonts w:eastAsia="Helvetica Neue UltraLight"/>
          <w:lang w:eastAsia="zh-C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aplinkos apsaugos reikalavimų: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00E5538F" w:rsidRPr="006014A3">
        <w:rPr>
          <w:rFonts w:eastAsia="Helvetica Neue UltraLight"/>
          <w:lang w:eastAsia="zh-CN"/>
        </w:rPr>
        <w:t>Forest</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Stewardship</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Council</w:t>
      </w:r>
      <w:proofErr w:type="spellEnd"/>
      <w:r w:rsidR="00E5538F" w:rsidRPr="006014A3">
        <w:rPr>
          <w:rFonts w:eastAsia="Helvetica Neue UltraLight"/>
          <w:lang w:eastAsia="zh-CN"/>
        </w:rPr>
        <w:t xml:space="preserve"> (toliau – FSC) ar Miškų sertifikavimo sistemų pripažinimo programą (angl. </w:t>
      </w:r>
      <w:proofErr w:type="spellStart"/>
      <w:r w:rsidR="00E5538F" w:rsidRPr="006014A3">
        <w:rPr>
          <w:rFonts w:eastAsia="Helvetica Neue UltraLight"/>
          <w:lang w:eastAsia="zh-CN"/>
        </w:rPr>
        <w:t>Programme</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for</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the</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Endorsement</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of</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Forest</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Certification</w:t>
      </w:r>
      <w:proofErr w:type="spellEnd"/>
      <w:r w:rsidR="00E5538F" w:rsidRPr="006014A3">
        <w:rPr>
          <w:rFonts w:eastAsia="Helvetica Neue UltraLight"/>
          <w:lang w:eastAsia="zh-CN"/>
        </w:rPr>
        <w:t xml:space="preserve"> </w:t>
      </w:r>
      <w:proofErr w:type="spellStart"/>
      <w:r w:rsidR="00E5538F" w:rsidRPr="006014A3">
        <w:rPr>
          <w:rFonts w:eastAsia="Helvetica Neue UltraLight"/>
          <w:lang w:eastAsia="zh-CN"/>
        </w:rPr>
        <w:t>schemes</w:t>
      </w:r>
      <w:proofErr w:type="spellEnd"/>
      <w:r w:rsidR="00E5538F" w:rsidRPr="006014A3">
        <w:rPr>
          <w:rFonts w:eastAsia="Helvetica Neue UltraLight"/>
          <w:lang w:eastAsia="zh-CN"/>
        </w:rPr>
        <w:t xml:space="preserve">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w:t>
      </w:r>
      <w:r w:rsidR="00E5538F">
        <w:rPr>
          <w:rFonts w:eastAsia="Helvetica Neue UltraLight"/>
          <w:lang w:eastAsia="zh-CN"/>
        </w:rPr>
        <w:t>pei „Popierius ir jo gaminiai“.</w:t>
      </w:r>
    </w:p>
    <w:p w14:paraId="1A1ABBB6" w14:textId="77777777" w:rsidR="00E5538F" w:rsidRDefault="00E5538F" w:rsidP="00E5538F">
      <w:pPr>
        <w:autoSpaceDE w:val="0"/>
        <w:autoSpaceDN w:val="0"/>
        <w:adjustRightInd w:val="0"/>
        <w:ind w:right="-2"/>
        <w:jc w:val="both"/>
      </w:pPr>
    </w:p>
    <w:p w14:paraId="164BD3DD" w14:textId="5C209CFD" w:rsidR="00EC09EA" w:rsidRDefault="00EC09EA"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49FE629C" w14:textId="29A73A1C" w:rsidR="003B5E69" w:rsidRPr="00E5538F" w:rsidRDefault="007F2132" w:rsidP="00E5538F">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w:t>
      </w:r>
      <w:r w:rsidRPr="003B5E69">
        <w:rPr>
          <w:spacing w:val="4"/>
        </w:rPr>
        <w:lastRenderedPageBreak/>
        <w:t xml:space="preserve">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770AF0B" w14:textId="5CFFFF37" w:rsidR="000A0026" w:rsidRPr="00E5538F" w:rsidRDefault="00FC591F" w:rsidP="00E5538F">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443570C4" w14:textId="1CB4E930" w:rsidR="00BA54B3" w:rsidRDefault="00E5538F" w:rsidP="00EE6305">
      <w:pPr>
        <w:pStyle w:val="BodyTextIndent3"/>
        <w:spacing w:after="0"/>
        <w:ind w:left="0" w:firstLine="709"/>
        <w:jc w:val="both"/>
        <w:rPr>
          <w:sz w:val="24"/>
          <w:szCs w:val="24"/>
        </w:rPr>
      </w:pPr>
      <w:r>
        <w:rPr>
          <w:sz w:val="24"/>
          <w:szCs w:val="24"/>
        </w:rPr>
        <w:t>5.10.3</w:t>
      </w:r>
      <w:r w:rsidR="00BA54B3">
        <w:rPr>
          <w:sz w:val="24"/>
          <w:szCs w:val="24"/>
        </w:rPr>
        <w:t xml:space="preserve">. Siūlymai ir pastabos dėl sutarties projekto sąlygų su siūlymų </w:t>
      </w:r>
      <w:proofErr w:type="spellStart"/>
      <w:r w:rsidR="00BA54B3">
        <w:rPr>
          <w:sz w:val="24"/>
          <w:szCs w:val="24"/>
        </w:rPr>
        <w:t>pagrindimais</w:t>
      </w:r>
      <w:proofErr w:type="spellEnd"/>
      <w:r w:rsidR="0043113C">
        <w:rPr>
          <w:sz w:val="24"/>
          <w:szCs w:val="24"/>
        </w:rPr>
        <w:t xml:space="preserve"> (jei yra). (Jei tei</w:t>
      </w:r>
      <w:r w:rsidR="00BA54B3">
        <w:rPr>
          <w:sz w:val="24"/>
          <w:szCs w:val="24"/>
        </w:rPr>
        <w:t>kėjas nori derėtis pvz. dėl pristatymo termi</w:t>
      </w:r>
      <w:r w:rsidR="0043113C">
        <w:rPr>
          <w:sz w:val="24"/>
          <w:szCs w:val="24"/>
        </w:rPr>
        <w:t>no, apmokėjimo sąlygų ir pan.);</w:t>
      </w:r>
    </w:p>
    <w:p w14:paraId="36A65AF3" w14:textId="11E7576B" w:rsidR="00BC3525" w:rsidRPr="0043113C" w:rsidRDefault="00E5538F" w:rsidP="0043113C">
      <w:pPr>
        <w:pStyle w:val="BodyTextIndent3"/>
        <w:spacing w:after="0"/>
        <w:ind w:left="0" w:firstLine="709"/>
        <w:jc w:val="both"/>
        <w:rPr>
          <w:sz w:val="24"/>
          <w:szCs w:val="24"/>
        </w:rPr>
      </w:pPr>
      <w:r>
        <w:rPr>
          <w:sz w:val="24"/>
          <w:szCs w:val="24"/>
        </w:rPr>
        <w:t>5.10.4</w:t>
      </w:r>
      <w:r w:rsidR="00CB6CA1">
        <w:rPr>
          <w:sz w:val="24"/>
          <w:szCs w:val="24"/>
        </w:rPr>
        <w:t xml:space="preserve">. </w:t>
      </w:r>
      <w:r w:rsidR="000A0026" w:rsidRPr="003B5E69">
        <w:rPr>
          <w:sz w:val="24"/>
          <w:szCs w:val="24"/>
        </w:rPr>
        <w:t>kita reikalaujama informacija ir dokumentai</w:t>
      </w:r>
      <w:r w:rsidR="006824DE">
        <w:rPr>
          <w:sz w:val="24"/>
          <w:szCs w:val="24"/>
        </w:rPr>
        <w:t>;</w:t>
      </w:r>
    </w:p>
    <w:p w14:paraId="178F9698" w14:textId="14864DC6" w:rsidR="00EC09EA" w:rsidRDefault="00762834" w:rsidP="00EC09EA">
      <w:pPr>
        <w:pStyle w:val="BodyText"/>
        <w:suppressAutoHyphens w:val="0"/>
        <w:ind w:left="709"/>
        <w:rPr>
          <w:rFonts w:eastAsia="Arial Unicode MS"/>
          <w:i w:val="0"/>
          <w:lang w:val="lt-LT"/>
        </w:rPr>
      </w:pPr>
      <w:r>
        <w:rPr>
          <w:i w:val="0"/>
          <w:szCs w:val="24"/>
        </w:rPr>
        <w:t>5.</w:t>
      </w:r>
      <w:r w:rsidR="00E5538F">
        <w:rPr>
          <w:rFonts w:eastAsia="Arial Unicode MS"/>
          <w:i w:val="0"/>
          <w:lang w:val="lt-LT"/>
        </w:rPr>
        <w:t>10.5</w:t>
      </w:r>
      <w:r w:rsidR="00A03A95">
        <w:rPr>
          <w:rFonts w:eastAsia="Arial Unicode MS"/>
          <w:i w:val="0"/>
          <w:lang w:val="lt-LT"/>
        </w:rPr>
        <w:t>. Tei</w:t>
      </w:r>
      <w:r w:rsidRPr="00762834">
        <w:rPr>
          <w:rFonts w:eastAsia="Arial Unicode MS"/>
          <w:i w:val="0"/>
          <w:lang w:val="lt-LT"/>
        </w:rPr>
        <w:t>kėjo pasir</w:t>
      </w:r>
      <w:r w:rsidR="00DF795D">
        <w:rPr>
          <w:rFonts w:eastAsia="Arial Unicode MS"/>
          <w:i w:val="0"/>
          <w:lang w:val="lt-LT"/>
        </w:rPr>
        <w:t>ašytą Apklausos sąlygų 4 priedą;</w:t>
      </w:r>
    </w:p>
    <w:p w14:paraId="7F6268E3" w14:textId="671803A2" w:rsidR="00DF795D" w:rsidRDefault="00DF795D" w:rsidP="00EC09EA">
      <w:pPr>
        <w:pStyle w:val="BodyText"/>
        <w:suppressAutoHyphens w:val="0"/>
        <w:ind w:left="709"/>
        <w:rPr>
          <w:rFonts w:eastAsia="Arial Unicode MS"/>
          <w:i w:val="0"/>
          <w:lang w:val="lt-LT"/>
        </w:rPr>
      </w:pPr>
      <w:r>
        <w:rPr>
          <w:rFonts w:eastAsia="Arial Unicode MS"/>
          <w:i w:val="0"/>
          <w:lang w:val="lt-LT"/>
        </w:rPr>
        <w:t>5.10.6. Deklaraciją ir/ar kitą lygiavertį dokumentą, dėl 2.9.1. papunkčio taikymo;</w:t>
      </w:r>
    </w:p>
    <w:p w14:paraId="1F503B4A" w14:textId="7E7F4D75" w:rsidR="00DF795D" w:rsidRPr="00EC09EA" w:rsidRDefault="00DF795D" w:rsidP="00EC09EA">
      <w:pPr>
        <w:pStyle w:val="BodyText"/>
        <w:suppressAutoHyphens w:val="0"/>
        <w:ind w:left="709"/>
        <w:rPr>
          <w:rFonts w:eastAsia="Arial Unicode MS"/>
          <w:i w:val="0"/>
          <w:lang w:val="lt-LT"/>
        </w:rPr>
      </w:pPr>
      <w:r>
        <w:rPr>
          <w:rFonts w:eastAsia="Arial Unicode MS"/>
          <w:i w:val="0"/>
          <w:lang w:val="lt-LT"/>
        </w:rPr>
        <w:t>5.10.7. Užpildyta Apklausos sąlygų 2 Priedas „Techninė specifikacija.</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lastRenderedPageBreak/>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lastRenderedPageBreak/>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1CF43C5" w14:textId="60EF6C06" w:rsidR="00935757" w:rsidRDefault="0043113C" w:rsidP="00E5538F">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w:t>
      </w:r>
      <w:bookmarkStart w:id="6" w:name="_Toc94925713"/>
      <w:r w:rsidR="00E5538F">
        <w:t xml:space="preserve"> kainos.</w:t>
      </w:r>
    </w:p>
    <w:p w14:paraId="5C10192A" w14:textId="77777777" w:rsidR="00E5538F" w:rsidRPr="00E5538F" w:rsidRDefault="00E5538F" w:rsidP="00E5538F">
      <w:pPr>
        <w:tabs>
          <w:tab w:val="num" w:pos="1418"/>
          <w:tab w:val="left" w:pos="1701"/>
          <w:tab w:val="left" w:pos="1985"/>
        </w:tabs>
        <w:jc w:val="both"/>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w:t>
      </w:r>
      <w:r w:rsidRPr="003B5E69">
        <w:lastRenderedPageBreak/>
        <w:t xml:space="preserve">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44BB970"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20C3">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C9A71E1"/>
    <w:multiLevelType w:val="multilevel"/>
    <w:tmpl w:val="28549D6C"/>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4CD6871"/>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8"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1"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3"/>
  </w:num>
  <w:num w:numId="5">
    <w:abstractNumId w:val="8"/>
  </w:num>
  <w:num w:numId="6">
    <w:abstractNumId w:val="15"/>
  </w:num>
  <w:num w:numId="7">
    <w:abstractNumId w:val="10"/>
  </w:num>
  <w:num w:numId="8">
    <w:abstractNumId w:val="20"/>
  </w:num>
  <w:num w:numId="9">
    <w:abstractNumId w:val="17"/>
  </w:num>
  <w:num w:numId="10">
    <w:abstractNumId w:val="18"/>
  </w:num>
  <w:num w:numId="11">
    <w:abstractNumId w:val="3"/>
  </w:num>
  <w:num w:numId="12">
    <w:abstractNumId w:val="5"/>
  </w:num>
  <w:num w:numId="13">
    <w:abstractNumId w:val="19"/>
  </w:num>
  <w:num w:numId="14">
    <w:abstractNumId w:val="16"/>
  </w:num>
  <w:num w:numId="15">
    <w:abstractNumId w:val="0"/>
  </w:num>
  <w:num w:numId="16">
    <w:abstractNumId w:val="9"/>
  </w:num>
  <w:num w:numId="17">
    <w:abstractNumId w:val="4"/>
  </w:num>
  <w:num w:numId="18">
    <w:abstractNumId w:val="12"/>
  </w:num>
  <w:num w:numId="19">
    <w:abstractNumId w:val="1"/>
  </w:num>
  <w:num w:numId="20">
    <w:abstractNumId w:val="21"/>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711"/>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20C3"/>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010"/>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DF795D"/>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38F"/>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09EA"/>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776A3"/>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6A559619EA6A491BBAD77DD1771665AD"/>
        <w:category>
          <w:name w:val="General"/>
          <w:gallery w:val="placeholder"/>
        </w:category>
        <w:types>
          <w:type w:val="bbPlcHdr"/>
        </w:types>
        <w:behaviors>
          <w:behavior w:val="content"/>
        </w:behaviors>
        <w:guid w:val="{C74C95A5-184F-447D-A9F4-437B18E6701E}"/>
      </w:docPartPr>
      <w:docPartBody>
        <w:p w:rsidR="00000000" w:rsidRDefault="00366C78" w:rsidP="00366C78">
          <w:pPr>
            <w:pStyle w:val="6A559619EA6A491BBAD77DD1771665AD"/>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366C78"/>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C78"/>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6A559619EA6A491BBAD77DD1771665AD">
    <w:name w:val="6A559619EA6A491BBAD77DD1771665AD"/>
    <w:rsid w:val="00366C7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819FD-5BE3-4EB7-93C6-779FA7367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8</Pages>
  <Words>3027</Words>
  <Characters>22442</Characters>
  <Application>Microsoft Office Word</Application>
  <DocSecurity>0</DocSecurity>
  <Lines>187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25419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36</cp:revision>
  <cp:lastPrinted>2023-03-21T11:34:00Z</cp:lastPrinted>
  <dcterms:created xsi:type="dcterms:W3CDTF">2022-03-31T10:35:00Z</dcterms:created>
  <dcterms:modified xsi:type="dcterms:W3CDTF">2026-03-12T08:11:00Z</dcterms:modified>
</cp:coreProperties>
</file>