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8CF1" w14:textId="74C7CFEB" w:rsidR="00F9303C" w:rsidRPr="00213EE5" w:rsidRDefault="00344BA6" w:rsidP="00213EE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bookmarkStart w:id="0" w:name="_Hlk176868103"/>
      <w:r w:rsidRPr="00213EE5">
        <w:rPr>
          <w:rFonts w:ascii="Times New Roman" w:hAnsi="Times New Roman" w:cs="Times New Roman"/>
          <w:b/>
          <w:bCs/>
          <w:sz w:val="22"/>
          <w:szCs w:val="22"/>
          <w:lang w:val="lt-LT"/>
        </w:rPr>
        <w:t>Universalios elektromechaninės bandymų mašinos</w:t>
      </w:r>
      <w:r w:rsidR="00F9303C" w:rsidRPr="00213EE5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pirkimas</w:t>
      </w:r>
    </w:p>
    <w:p w14:paraId="6DFFB784" w14:textId="77777777" w:rsidR="00F9303C" w:rsidRPr="00213EE5" w:rsidRDefault="00F9303C" w:rsidP="00213EE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bookmarkEnd w:id="0"/>
    <w:p w14:paraId="0630251D" w14:textId="77777777" w:rsidR="00F9303C" w:rsidRDefault="00F9303C" w:rsidP="00213EE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213EE5">
        <w:rPr>
          <w:rFonts w:ascii="Times New Roman" w:hAnsi="Times New Roman" w:cs="Times New Roman"/>
          <w:b/>
          <w:bCs/>
          <w:sz w:val="22"/>
          <w:szCs w:val="22"/>
          <w:lang w:val="lt-LT"/>
        </w:rPr>
        <w:t>TECHNINĖ SPECIFIKACIJA</w:t>
      </w:r>
    </w:p>
    <w:p w14:paraId="2DBCB520" w14:textId="77777777" w:rsidR="00F27182" w:rsidRDefault="00F27182" w:rsidP="00213EE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51EB1645" w14:textId="77777777" w:rsidR="00F27182" w:rsidRPr="00213EE5" w:rsidRDefault="00F27182" w:rsidP="00213EE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0A4B54E9" w14:textId="07051D07" w:rsidR="00F27182" w:rsidRPr="00F27182" w:rsidRDefault="00F27182" w:rsidP="00F27182">
      <w:pPr>
        <w:ind w:firstLine="567"/>
        <w:rPr>
          <w:rFonts w:ascii="Times New Roman" w:hAnsi="Times New Roman" w:cs="Times New Roman"/>
          <w:sz w:val="22"/>
          <w:szCs w:val="22"/>
          <w:lang w:val="lt-LT"/>
        </w:rPr>
      </w:pPr>
      <w:r w:rsidRPr="00954916">
        <w:rPr>
          <w:rFonts w:ascii="Times New Roman" w:hAnsi="Times New Roman" w:cs="Times New Roman"/>
          <w:lang w:val="lt-LT"/>
        </w:rPr>
        <w:t xml:space="preserve">Pirkimą sudaro 1 dalis: </w:t>
      </w:r>
      <w:r w:rsidRPr="00213EE5">
        <w:rPr>
          <w:rFonts w:ascii="Times New Roman" w:hAnsi="Times New Roman" w:cs="Times New Roman"/>
          <w:sz w:val="22"/>
          <w:szCs w:val="22"/>
          <w:lang w:val="lt-LT"/>
        </w:rPr>
        <w:t>Universali elektromechaninė bandymų mašina</w:t>
      </w:r>
      <w:r w:rsidRPr="003E2527">
        <w:rPr>
          <w:rFonts w:ascii="Times New Roman" w:hAnsi="Times New Roman" w:cs="Times New Roman"/>
          <w:sz w:val="22"/>
          <w:szCs w:val="22"/>
          <w:lang w:val="lt-LT"/>
        </w:rPr>
        <w:t>, 1 vnt.</w:t>
      </w:r>
      <w:r w:rsidRPr="00213EE5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</w:t>
      </w:r>
    </w:p>
    <w:p w14:paraId="3BD7E2AB" w14:textId="4AE7DEE7" w:rsidR="00F27182" w:rsidRPr="00954916" w:rsidRDefault="00F9303C" w:rsidP="00F27182">
      <w:pPr>
        <w:ind w:right="-613" w:firstLine="567"/>
        <w:jc w:val="both"/>
        <w:rPr>
          <w:rFonts w:ascii="Times New Roman" w:hAnsi="Times New Roman" w:cs="Times New Roman"/>
          <w:lang w:val="lt-LT"/>
        </w:rPr>
      </w:pPr>
      <w:r w:rsidRPr="00213EE5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 xml:space="preserve">Prekių pristatymo vieta </w:t>
      </w:r>
      <w:r w:rsidR="004F5449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>–</w:t>
      </w:r>
      <w:r w:rsidRPr="00213EE5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 xml:space="preserve"> </w:t>
      </w:r>
      <w:r w:rsidR="004F5449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 xml:space="preserve">Jungtinių tyrimų centras, </w:t>
      </w:r>
      <w:r w:rsidR="004F5449" w:rsidRPr="004F5449">
        <w:rPr>
          <w:rFonts w:ascii="Times New Roman" w:eastAsia="Times New Roman" w:hAnsi="Times New Roman" w:cs="Times New Roman"/>
          <w:sz w:val="22"/>
          <w:szCs w:val="22"/>
          <w:lang w:val="lt-LT" w:eastAsia="ja-JP"/>
        </w:rPr>
        <w:t>Studentų g. 15A, Akademija, 53362 Kauno r. sav.</w:t>
      </w:r>
      <w:r w:rsidR="001D10DA">
        <w:rPr>
          <w:rFonts w:ascii="Times New Roman" w:hAnsi="Times New Roman" w:cs="Times New Roman"/>
          <w:color w:val="EE0000"/>
          <w:sz w:val="22"/>
          <w:szCs w:val="22"/>
          <w:lang w:val="lt-LT"/>
        </w:rPr>
        <w:t xml:space="preserve"> </w:t>
      </w:r>
      <w:r w:rsidR="00F27182" w:rsidRPr="00954916">
        <w:rPr>
          <w:rFonts w:ascii="Times New Roman" w:eastAsia="Times New Roman" w:hAnsi="Times New Roman" w:cs="Times New Roman"/>
          <w:lang w:val="lt-LT" w:eastAsia="ja-JP"/>
        </w:rPr>
        <w:t xml:space="preserve">Tiekėjas turi atlikti įrangos pristatymo, montavimo, instaliavimo bei testavimo darbus, turi įvykdyti paleidimą ir suderinimą, taip pat apmokyti naudotis įranga </w:t>
      </w:r>
      <w:r w:rsidR="00F27182">
        <w:rPr>
          <w:rFonts w:ascii="Times New Roman" w:eastAsia="Times New Roman" w:hAnsi="Times New Roman" w:cs="Times New Roman"/>
          <w:lang w:val="lt-LT" w:eastAsia="ja-JP"/>
        </w:rPr>
        <w:t xml:space="preserve">ne mažiau 2 </w:t>
      </w:r>
      <w:r w:rsidR="00F27182" w:rsidRPr="00954916">
        <w:rPr>
          <w:rFonts w:ascii="Times New Roman" w:eastAsia="Times New Roman" w:hAnsi="Times New Roman" w:cs="Times New Roman"/>
          <w:lang w:val="lt-LT" w:eastAsia="ja-JP"/>
        </w:rPr>
        <w:t xml:space="preserve">darbuotojus. </w:t>
      </w:r>
    </w:p>
    <w:p w14:paraId="641F80B4" w14:textId="77777777" w:rsidR="00F27182" w:rsidRPr="00F27182" w:rsidRDefault="00F27182" w:rsidP="00F27182">
      <w:pPr>
        <w:ind w:right="-613" w:firstLine="567"/>
        <w:jc w:val="both"/>
        <w:rPr>
          <w:rFonts w:ascii="Times New Roman" w:eastAsia="Times New Roman" w:hAnsi="Times New Roman" w:cs="Times New Roman"/>
          <w:lang w:val="lt-LT" w:eastAsia="ja-JP"/>
        </w:rPr>
      </w:pPr>
      <w:r w:rsidRPr="00F27182">
        <w:rPr>
          <w:rFonts w:ascii="Times New Roman" w:eastAsia="Times New Roman" w:hAnsi="Times New Roman" w:cs="Times New Roman"/>
          <w:lang w:val="lt-LT" w:eastAsia="ja-JP"/>
        </w:rPr>
        <w:t>Kartu su priėmimo – perdavimo aktu turi pateikti įrangos naudojimo ir priežiūros instrukciją (-as) lietuvių ir/arba anglų kalbomis, kuriose būtų detaliai aprašyta, kaip naudoti, prižiūrėti, reguliuoti įrangą ar jos dalis.</w:t>
      </w:r>
    </w:p>
    <w:p w14:paraId="7DAC6A9F" w14:textId="77777777" w:rsidR="00F9303C" w:rsidRPr="00213EE5" w:rsidRDefault="00F9303C" w:rsidP="00213EE5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5A83512B" w14:textId="46830128" w:rsidR="00F9303C" w:rsidRPr="00213EE5" w:rsidRDefault="00AC317D" w:rsidP="00213EE5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213EE5">
        <w:rPr>
          <w:rFonts w:ascii="Times New Roman" w:hAnsi="Times New Roman" w:cs="Times New Roman"/>
          <w:sz w:val="22"/>
          <w:szCs w:val="22"/>
          <w:lang w:val="lt-LT"/>
        </w:rPr>
        <w:t>Universali elektromechaninė bandymų mašina</w:t>
      </w:r>
      <w:r w:rsidR="00F9303C" w:rsidRPr="003E2527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r w:rsidR="006209F7" w:rsidRPr="003E2527">
        <w:rPr>
          <w:rFonts w:ascii="Times New Roman" w:hAnsi="Times New Roman" w:cs="Times New Roman"/>
          <w:sz w:val="22"/>
          <w:szCs w:val="22"/>
          <w:lang w:val="lt-LT"/>
        </w:rPr>
        <w:t>1</w:t>
      </w:r>
      <w:r w:rsidR="00F9303C" w:rsidRPr="003E2527">
        <w:rPr>
          <w:rFonts w:ascii="Times New Roman" w:hAnsi="Times New Roman" w:cs="Times New Roman"/>
          <w:sz w:val="22"/>
          <w:szCs w:val="22"/>
          <w:lang w:val="lt-LT"/>
        </w:rPr>
        <w:t xml:space="preserve"> vnt.</w:t>
      </w:r>
      <w:r w:rsidR="00253437" w:rsidRPr="00213EE5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</w:t>
      </w:r>
    </w:p>
    <w:tbl>
      <w:tblPr>
        <w:tblW w:w="95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2369"/>
        <w:gridCol w:w="6480"/>
      </w:tblGrid>
      <w:tr w:rsidR="00D30536" w:rsidRPr="00CD1F3E" w14:paraId="3FA0F6CB" w14:textId="77777777" w:rsidTr="00F8301B">
        <w:trPr>
          <w:trHeight w:val="242"/>
        </w:trPr>
        <w:tc>
          <w:tcPr>
            <w:tcW w:w="68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DBEC0" w14:textId="77777777" w:rsidR="00D30536" w:rsidRPr="00213EE5" w:rsidRDefault="00D30536" w:rsidP="00213EE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bookmarkStart w:id="1" w:name="_Hlk176868115"/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CDAD" w14:textId="77777777" w:rsidR="00D30536" w:rsidRPr="00213EE5" w:rsidRDefault="00D30536" w:rsidP="00213EE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Reikalavimai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AE3E7D" w14:textId="77777777" w:rsidR="00D30536" w:rsidRPr="00213EE5" w:rsidRDefault="00D30536" w:rsidP="00213EE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Reikalaujami minimalūs techniniai, funkciniai reikalavimų parametrai (rodikliai)</w:t>
            </w:r>
          </w:p>
        </w:tc>
      </w:tr>
      <w:bookmarkEnd w:id="1"/>
      <w:tr w:rsidR="00D30536" w:rsidRPr="00CD1F3E" w14:paraId="2ED72602" w14:textId="77777777" w:rsidTr="00F8301B">
        <w:trPr>
          <w:trHeight w:val="242"/>
        </w:trPr>
        <w:tc>
          <w:tcPr>
            <w:tcW w:w="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D28A77C" w14:textId="77777777" w:rsidR="00D30536" w:rsidRPr="00213EE5" w:rsidRDefault="00D30536" w:rsidP="00213EE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FC71" w14:textId="77777777" w:rsidR="00D30536" w:rsidRPr="00213EE5" w:rsidRDefault="00D30536" w:rsidP="00213EE5">
            <w:pPr>
              <w:snapToGrid w:val="0"/>
              <w:rPr>
                <w:rFonts w:ascii="Times New Roman" w:hAnsi="Times New Roman" w:cs="Times New Roman"/>
                <w:sz w:val="22"/>
                <w:szCs w:val="22"/>
                <w:u w:val="single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Paskirtis</w:t>
            </w:r>
          </w:p>
          <w:p w14:paraId="1CBA3DF7" w14:textId="77777777" w:rsidR="00D30536" w:rsidRPr="00213EE5" w:rsidRDefault="00D30536" w:rsidP="00213EE5">
            <w:pPr>
              <w:rPr>
                <w:rFonts w:ascii="Times New Roman" w:hAnsi="Times New Roman" w:cs="Times New Roman"/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FE7E813" w14:textId="59B8705A" w:rsidR="00D30536" w:rsidRPr="00213EE5" w:rsidRDefault="00403B86" w:rsidP="00213EE5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 xml:space="preserve">Medienos ir medienos </w:t>
            </w:r>
            <w:r w:rsidR="009661E3" w:rsidRPr="00213EE5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 xml:space="preserve">eksperimentinių 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kompozitinių band</w:t>
            </w:r>
            <w:r w:rsidR="00213EE5" w:rsidRPr="00213EE5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i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nių mechaniniam apkrovimui.</w:t>
            </w:r>
          </w:p>
        </w:tc>
      </w:tr>
      <w:tr w:rsidR="00D30536" w:rsidRPr="00CD1F3E" w14:paraId="4455886B" w14:textId="77777777" w:rsidTr="00F8301B">
        <w:trPr>
          <w:trHeight w:val="189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D9EA14" w14:textId="77777777" w:rsidR="00D30536" w:rsidRPr="00213EE5" w:rsidRDefault="00D30536" w:rsidP="00213EE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1.2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C274" w14:textId="311E6016" w:rsidR="00D30536" w:rsidRPr="00213EE5" w:rsidRDefault="0048011F" w:rsidP="00213EE5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Mašinos sandara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4FC954" w14:textId="67CB95B0" w:rsidR="0048011F" w:rsidRPr="00CD1F3E" w:rsidRDefault="0048011F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Universali elektromechaninė bandymo mašina, turi susidėti iš šių komponentų:</w:t>
            </w:r>
          </w:p>
          <w:p w14:paraId="20EB6326" w14:textId="530CE043" w:rsidR="0048011F" w:rsidRPr="00CD1F3E" w:rsidRDefault="0048011F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Apkrovos rėmas su apkrovos davikliu ir poslinkio matavimo sistema (1 vnt.)</w:t>
            </w:r>
            <w:r w:rsidR="00E43F29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, </w:t>
            </w:r>
            <w:r w:rsid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kaip </w:t>
            </w:r>
            <w:r w:rsidR="00E43F29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nurodyt</w:t>
            </w:r>
            <w:r w:rsid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</w:t>
            </w:r>
            <w:r w:rsidR="00E43F29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1.3 punkt</w:t>
            </w:r>
            <w:r w:rsidR="00CD1F3E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</w:t>
            </w:r>
            <w:r w:rsid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14:paraId="01477529" w14:textId="3F3CA099" w:rsidR="0048011F" w:rsidRPr="00CD1F3E" w:rsidRDefault="00CC2D61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Mechaninių g</w:t>
            </w:r>
            <w:r w:rsidR="0048011F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riebtų komplektas (1 vnt.)</w:t>
            </w:r>
            <w:r w:rsidR="00E43F29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, </w:t>
            </w:r>
            <w:r w:rsid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kaip nurodyta </w:t>
            </w:r>
            <w:r w:rsidR="00E43F29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1.25 punkte</w:t>
            </w:r>
            <w:r w:rsid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14:paraId="6DB17BE3" w14:textId="1052AA95" w:rsidR="0048011F" w:rsidRPr="00CD1F3E" w:rsidRDefault="0048011F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Keturių taškų lenkimo įrenginys (1 vnt.)</w:t>
            </w:r>
            <w:r w:rsidR="00E43F29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 kaip nurodyta 1.26 punkte</w:t>
            </w: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14:paraId="69082818" w14:textId="442C8217" w:rsidR="0048011F" w:rsidRPr="00CD1F3E" w:rsidRDefault="0048011F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Gniuždymo plokščių komplektas (1 vnt.)</w:t>
            </w:r>
            <w:r w:rsidR="00E43F29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 kaip nurodyta 1.24 punkte;</w:t>
            </w:r>
          </w:p>
          <w:p w14:paraId="6DDCFED8" w14:textId="53797223" w:rsidR="00E53C11" w:rsidRPr="00CD1F3E" w:rsidRDefault="00E53C11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Bandinio poslinkio matavimo sistema (</w:t>
            </w:r>
            <w:r w:rsidR="002C141A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</w:t>
            </w: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vnt.)</w:t>
            </w:r>
            <w:r w:rsidR="00E43F29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kaip nurodyta 1.23 punkte;</w:t>
            </w:r>
          </w:p>
          <w:p w14:paraId="78F716E1" w14:textId="7B801D81" w:rsidR="0048011F" w:rsidRPr="00CD1F3E" w:rsidRDefault="0048011F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Valdiklis - duomenų surinkimo sistema (1 vnt.)</w:t>
            </w:r>
            <w:r w:rsidR="00E43F29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 kaip nurodyta 1.9 punkte</w:t>
            </w:r>
            <w:r w:rsid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14:paraId="6731B707" w14:textId="71DA16F1" w:rsidR="00D30536" w:rsidRPr="00213EE5" w:rsidRDefault="0048011F" w:rsidP="00E43F29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Programinės įrangos komplektas (1 vnt.)</w:t>
            </w:r>
            <w:r w:rsidR="00E43F29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kaip nurodyta 1.11 punkte</w:t>
            </w:r>
          </w:p>
        </w:tc>
      </w:tr>
      <w:tr w:rsidR="00F82987" w:rsidRPr="00213EE5" w14:paraId="7A28F34A" w14:textId="77777777" w:rsidTr="00F8301B">
        <w:trPr>
          <w:trHeight w:val="189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5F446B" w14:textId="77777777" w:rsidR="00F82987" w:rsidRPr="00213EE5" w:rsidRDefault="00F82987" w:rsidP="00213EE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 w:eastAsia="ar-SA"/>
              </w:rPr>
              <w:t>1.3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84A8" w14:textId="0D5F8635" w:rsidR="00F82987" w:rsidRPr="00213EE5" w:rsidRDefault="00F82987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Rėmas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082C37" w14:textId="693B84E1" w:rsidR="00F82987" w:rsidRPr="00213EE5" w:rsidRDefault="00F82987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Skirtas statiniams tempimo, gniuždymo, lenkimo bandymams</w:t>
            </w:r>
            <w:r w:rsid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14:paraId="14BA84E3" w14:textId="2B8003E2" w:rsidR="00F82987" w:rsidRPr="00213EE5" w:rsidRDefault="00213EE5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</w:t>
            </w:r>
            <w:r w:rsidR="00F82987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uri būti pritaikytas suteikti maksimalią bandymo statinę tempimo/ gniuždymo apkrovą ne mažesnę nei ±</w:t>
            </w:r>
            <w:r w:rsidR="00F1716C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</w:t>
            </w:r>
            <w:r w:rsidR="00F82987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0kN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14:paraId="13D6C561" w14:textId="2B658D39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Apkrovos jutiklis integruotas į kryžmę (traversą)</w:t>
            </w:r>
            <w:r w:rsid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14:paraId="7A4676D6" w14:textId="59A2E2EC" w:rsidR="00EE0894" w:rsidRPr="00213EE5" w:rsidRDefault="00EE0894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Pastatomas ant grindų</w:t>
            </w:r>
            <w:r w:rsid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14:paraId="6486C411" w14:textId="678D9808" w:rsidR="00BB64B8" w:rsidRPr="00213EE5" w:rsidRDefault="00BB64B8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Turi būti nyveliavimo </w:t>
            </w:r>
            <w:r w:rsidR="0041426A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funkcija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(horizonto išlyginimo)</w:t>
            </w:r>
            <w:r w:rsid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14:paraId="377DD4F5" w14:textId="13CAC8A6" w:rsidR="00BB64B8" w:rsidRPr="00213EE5" w:rsidRDefault="00BB64B8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būti ≥4 antivibracinės kojos</w:t>
            </w:r>
          </w:p>
        </w:tc>
      </w:tr>
      <w:tr w:rsidR="00F82987" w:rsidRPr="00CD1F3E" w14:paraId="746AC291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0A4BCE" w14:textId="77777777" w:rsidR="00F82987" w:rsidRPr="00213EE5" w:rsidRDefault="00F82987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E34B" w14:textId="4DEFE65D" w:rsidR="00F82987" w:rsidRPr="00213EE5" w:rsidRDefault="00F82987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Konstrukcija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BE9CB3" w14:textId="7668C5C2" w:rsidR="008664D2" w:rsidRPr="00213EE5" w:rsidRDefault="00213EE5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</w:t>
            </w:r>
            <w:r w:rsidR="00F82987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uri būti 2 kreipiančiosios kolonos, įtvirtintos pagrinde ir viršutiniame skersinyje ir judanti skersinė traversa (valdomos eigos)</w:t>
            </w:r>
          </w:p>
        </w:tc>
      </w:tr>
      <w:tr w:rsidR="00F82987" w:rsidRPr="00CD1F3E" w14:paraId="10D127CE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B71D5A" w14:textId="77777777" w:rsidR="00F82987" w:rsidRPr="00213EE5" w:rsidRDefault="00F82987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D619" w14:textId="39ECF64B" w:rsidR="00F82987" w:rsidRPr="00213EE5" w:rsidRDefault="001964F3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Traversos eiga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3B2CBC" w14:textId="28DEA9F2" w:rsidR="008664D2" w:rsidRPr="00213EE5" w:rsidRDefault="00213EE5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</w:t>
            </w:r>
            <w:r w:rsidR="00F82987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uri būti užtikrinama dviem sraigtiniais velenais su veržlėmis su apspaustais šratais (angl. ball screws driven spindles with pre-stressed ball nuts)</w:t>
            </w:r>
            <w:r w:rsidR="004F544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</w:tr>
      <w:tr w:rsidR="00F82987" w:rsidRPr="00CD1F3E" w14:paraId="018E1A0B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F0CBEC" w14:textId="77777777" w:rsidR="00F82987" w:rsidRPr="00213EE5" w:rsidRDefault="00F82987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FE84" w14:textId="5EF7AA25" w:rsidR="00F82987" w:rsidRPr="00213EE5" w:rsidRDefault="001964F3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Bendras tikslumas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EFE95D" w14:textId="63C7E85E" w:rsidR="00E43F29" w:rsidRPr="00213EE5" w:rsidRDefault="001964F3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Turi būti </w:t>
            </w:r>
            <w:r w:rsidR="00F8301B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pagal ISO 7500-1 (arba lygiavert</w:t>
            </w:r>
            <w:r w:rsid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is</w:t>
            </w:r>
            <w:r w:rsidR="00F8301B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standart</w:t>
            </w:r>
            <w:r w:rsid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as</w:t>
            </w:r>
            <w:r w:rsidR="00F8301B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) turi būti ne </w:t>
            </w:r>
            <w:r w:rsidR="00E43F2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žemesnė </w:t>
            </w:r>
            <w:r w:rsidR="00F8301B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kaip 0,5 klasė</w:t>
            </w:r>
          </w:p>
        </w:tc>
      </w:tr>
      <w:tr w:rsidR="00F82987" w:rsidRPr="00CD1F3E" w14:paraId="3D6A919F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89CEB2" w14:textId="77777777" w:rsidR="00F82987" w:rsidRPr="00213EE5" w:rsidRDefault="00F82987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4D12" w14:textId="487F5115" w:rsidR="00F82987" w:rsidRPr="00213EE5" w:rsidRDefault="001964F3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Apkrova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5878A4" w14:textId="0FDBDE8B" w:rsidR="00F82987" w:rsidRPr="004D64D3" w:rsidRDefault="00213EE5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</w:t>
            </w:r>
            <w:r w:rsidR="00F8301B"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uri būti matuojama integruotu jėgos jutikliu (dinamometru)</w:t>
            </w:r>
          </w:p>
        </w:tc>
      </w:tr>
      <w:tr w:rsidR="00F82987" w:rsidRPr="00CD1F3E" w14:paraId="25733870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615C06" w14:textId="77777777" w:rsidR="00F82987" w:rsidRPr="00213EE5" w:rsidRDefault="00F82987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3528" w14:textId="5D473C3E" w:rsidR="00F82987" w:rsidRPr="00213EE5" w:rsidRDefault="00225B63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Bandymų erdvės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483DB5" w14:textId="1B3592B2" w:rsidR="00F82987" w:rsidRPr="004D64D3" w:rsidRDefault="00225B63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 vnt.</w:t>
            </w:r>
            <w:r w:rsidR="004D64D3"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 turi būti viena virš kitos vertikalioje ašyje, turi būti atskirtos traverso</w:t>
            </w:r>
          </w:p>
        </w:tc>
      </w:tr>
      <w:tr w:rsidR="00F82987" w:rsidRPr="00CD1F3E" w14:paraId="42E12EE7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48E4CC" w14:textId="77777777" w:rsidR="00F82987" w:rsidRPr="00213EE5" w:rsidRDefault="00F82987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4439" w14:textId="275DE063" w:rsidR="00F82987" w:rsidRPr="00213EE5" w:rsidRDefault="00F8301B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Vald</w:t>
            </w:r>
            <w:r w:rsidR="002641E4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ymo blokas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13E8BB" w14:textId="00F53924" w:rsidR="00F82987" w:rsidRPr="00213EE5" w:rsidRDefault="00EE0894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Elektroninė duomenų surinkimo</w:t>
            </w:r>
            <w:r w:rsidR="009F52F7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ir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valdymo sistema (PID – closed loop control technologijos):</w:t>
            </w:r>
            <w:r w:rsid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jėgos, poslinkio, deformacijos.</w:t>
            </w:r>
          </w:p>
          <w:p w14:paraId="3876472F" w14:textId="77777777" w:rsidR="0093710E" w:rsidRPr="00213EE5" w:rsidRDefault="00737635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≥2 analoginiai įvesties </w:t>
            </w:r>
            <w:r w:rsidR="0093710E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dvikrypčiai 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kanalai</w:t>
            </w:r>
            <w:r w:rsidR="0093710E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:</w:t>
            </w:r>
          </w:p>
          <w:p w14:paraId="7CB6AEC8" w14:textId="2107435B" w:rsidR="0093710E" w:rsidRPr="00213EE5" w:rsidRDefault="00737635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93710E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mažesnis matavimo diapazonas kaip 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±10V</w:t>
            </w:r>
          </w:p>
          <w:p w14:paraId="5C531C31" w14:textId="0499008C" w:rsidR="00EE0894" w:rsidRPr="00213EE5" w:rsidRDefault="0093710E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≥14 bitų technologija.</w:t>
            </w:r>
          </w:p>
          <w:p w14:paraId="03456C76" w14:textId="77777777" w:rsidR="0093710E" w:rsidRPr="00213EE5" w:rsidRDefault="0093710E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Signalo stiprinimo funkcija </w:t>
            </w:r>
            <w:r w:rsidR="002641E4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mažiau kaip 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x1, x10, x100</w:t>
            </w:r>
            <w:r w:rsidR="002641E4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14:paraId="31CB38BF" w14:textId="72091C16" w:rsidR="002641E4" w:rsidRPr="00213EE5" w:rsidRDefault="002641E4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>Integruotas signalų generatorius:</w:t>
            </w:r>
            <w:r w:rsid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su ne mažiau kaip nurodytomis bangos formomis: sinuso, trikampė, stačiakampė, teigiamos ir neigiamos pakilimo bangos, nuolatinė srovė (DC);</w:t>
            </w:r>
          </w:p>
          <w:p w14:paraId="7A9DF6BD" w14:textId="6FBC07CD" w:rsidR="002641E4" w:rsidRPr="00213EE5" w:rsidRDefault="002641E4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Dažnių diapazonas: ne sia</w:t>
            </w:r>
            <w:r w:rsidR="005152A5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u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resnis kaip 0,001–100 000 Hz, skiriamoji geba ≤0,001 Hz;</w:t>
            </w:r>
          </w:p>
          <w:p w14:paraId="620BF793" w14:textId="03857E43" w:rsidR="00BC1B7E" w:rsidRPr="00BC1B7E" w:rsidRDefault="00E53C11" w:rsidP="00213EE5">
            <w:pPr>
              <w:rPr>
                <w:rFonts w:ascii="Times New Roman" w:hAnsi="Times New Roman" w:cs="Times New Roman"/>
                <w:color w:val="EE0000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Turi būti </w:t>
            </w:r>
            <w:r w:rsidR="002641E4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USB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ir Bluetooth</w:t>
            </w:r>
            <w:r w:rsidR="003657B4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arba analogiškos</w:t>
            </w:r>
            <w:r w:rsidR="002641E4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sąsaj</w:t>
            </w:r>
            <w:r w:rsidR="003657B4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os</w:t>
            </w:r>
            <w:r w:rsidR="002641E4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ryšiui užtikrinti su kompiuteriu (Windows OS pagrindu), Android, Ipad mobiliais įrenginiais</w:t>
            </w:r>
            <w:r w:rsid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213EE5" w:rsidRPr="004F544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ar lygiaverčiais</w:t>
            </w:r>
          </w:p>
        </w:tc>
      </w:tr>
      <w:tr w:rsidR="00187FB0" w:rsidRPr="00CD1F3E" w14:paraId="53FA81A8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C492BA" w14:textId="6CA5CA20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>1.10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BF11" w14:textId="222AF18D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Valdymas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BE4B19" w14:textId="33F8BF2B" w:rsidR="00187FB0" w:rsidRPr="004F5449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būti vykdomas iš personalinio kompiuterio ir mašinos operatoriaus patogumui iš laidinio nuotolinio valdymo pulto su LCD/LED ekranu</w:t>
            </w:r>
            <w:r w:rsidR="00BC1B7E" w:rsidRPr="00BC1B7E">
              <w:rPr>
                <w:rFonts w:ascii="Times New Roman" w:hAnsi="Times New Roman" w:cs="Times New Roman"/>
                <w:color w:val="EE0000"/>
                <w:sz w:val="22"/>
                <w:szCs w:val="22"/>
                <w:lang w:val="lt-LT"/>
              </w:rPr>
              <w:t xml:space="preserve"> </w:t>
            </w:r>
            <w:r w:rsidR="00BC1B7E" w:rsidRPr="004F544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ar lygiaverčiu</w:t>
            </w:r>
            <w:r w:rsidRPr="004F544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. </w:t>
            </w:r>
          </w:p>
          <w:p w14:paraId="69CE342C" w14:textId="77777777" w:rsid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Nuotolinis valdymo pultas:</w:t>
            </w:r>
          </w:p>
          <w:p w14:paraId="38A338AB" w14:textId="33498697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atvaizduoti ekrane ir reguliuoti apkrovos, poslinkio ir greičio parametrus;</w:t>
            </w:r>
          </w:p>
          <w:p w14:paraId="4F57220E" w14:textId="67FF9250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būti eksperim</w:t>
            </w:r>
            <w:r w:rsid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nto paleidimo, stabdymo, grįžimo į pradinę padėtį funkcijos.</w:t>
            </w:r>
          </w:p>
          <w:p w14:paraId="13D7AC52" w14:textId="05CB79EC" w:rsidR="009F52F7" w:rsidRPr="00213EE5" w:rsidRDefault="009F52F7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Laido ilgis ≥1m nuo bandymų erdvės.</w:t>
            </w:r>
          </w:p>
        </w:tc>
      </w:tr>
      <w:tr w:rsidR="00187FB0" w:rsidRPr="00CD1F3E" w14:paraId="48CC55A8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D13D1E" w14:textId="2F481387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1.11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9106" w14:textId="0F894108" w:rsidR="00187FB0" w:rsidRPr="00213EE5" w:rsidRDefault="005B017F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Programinės įrangos komplektas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266F3" w14:textId="70898318" w:rsidR="005B017F" w:rsidRPr="00213EE5" w:rsidRDefault="005B017F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Įrangos nustatymams, valdymui, duomenų surinkimui, kalibracijai, duomenų atvaizdavimui grafine ir skaitine išraiška realiu laiku. Turi būti naujų laisvai konfigūruo</w:t>
            </w:r>
            <w:r w:rsidR="00C52DAB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jamų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bandymų šablonų k</w:t>
            </w:r>
            <w:r w:rsid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ū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rimo funkcija</w:t>
            </w:r>
            <w:r w:rsidR="00C52DAB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</w:t>
            </w:r>
            <w:r w:rsidR="00546451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turi </w:t>
            </w:r>
            <w:r w:rsidR="00C52DAB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nereikalau</w:t>
            </w:r>
            <w:r w:rsidR="00546451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 iš vartotojo</w:t>
            </w:r>
            <w:r w:rsidR="00C52DAB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programavimo įgūdžių</w:t>
            </w:r>
            <w:r w:rsidR="00546451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 tik nustatymų pasirinkimo</w:t>
            </w:r>
            <w:r w:rsidR="00C52DAB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).</w:t>
            </w:r>
          </w:p>
        </w:tc>
      </w:tr>
      <w:tr w:rsidR="00187FB0" w:rsidRPr="00CD1F3E" w14:paraId="37D726EA" w14:textId="77777777" w:rsidTr="00C72BA1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AFDBBE" w14:textId="7B21FD14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1.12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BDFA" w14:textId="0D8E62B3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Deformacijos matavimo diapazonas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BDD668" w14:textId="6617B380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siaur</w:t>
            </w:r>
            <w:r w:rsid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sniame diapazone kaip nuo 0.2%</w:t>
            </w:r>
            <w:r w:rsidR="00D8384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-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100%FS (nuo pilnos skalės)</w:t>
            </w:r>
          </w:p>
        </w:tc>
      </w:tr>
      <w:tr w:rsidR="00187FB0" w:rsidRPr="00213EE5" w14:paraId="42632949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A36FEE" w14:textId="6C08D009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1.13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B92D" w14:textId="35799E13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Apkrovos tikslumas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11EAA2" w14:textId="15B20710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≤0.5</w:t>
            </w:r>
          </w:p>
        </w:tc>
      </w:tr>
      <w:tr w:rsidR="00187FB0" w:rsidRPr="00CD1F3E" w14:paraId="694AEDAD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25C08B" w14:textId="51C7AFE6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1.14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7886" w14:textId="69C5A137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Apkrovos diapazonas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149954" w14:textId="5DC6A1DB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siauresnis kaip 0.2%-100%FS (nuo pilnos skalės)</w:t>
            </w:r>
          </w:p>
        </w:tc>
      </w:tr>
      <w:tr w:rsidR="00187FB0" w:rsidRPr="00CD1F3E" w14:paraId="4388F669" w14:textId="77777777" w:rsidTr="002332A8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145241" w14:textId="2C05FA3D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1.15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91B5" w14:textId="283C3776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Apkrovos skiriamoji geba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769D9A" w14:textId="292868BC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 mažiau kaip 1/300,000FS (nuo pilnos skalės)</w:t>
            </w:r>
          </w:p>
        </w:tc>
      </w:tr>
      <w:tr w:rsidR="00187FB0" w:rsidRPr="00213EE5" w14:paraId="5DDF370D" w14:textId="77777777" w:rsidTr="002332A8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E782A5" w14:textId="5C529742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1.16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E90D" w14:textId="0E46B6FD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Deformacijos skiriamoji geba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789454" w14:textId="49E6AE59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≤ 0.04um</w:t>
            </w:r>
          </w:p>
        </w:tc>
      </w:tr>
      <w:tr w:rsidR="00187FB0" w:rsidRPr="00213EE5" w14:paraId="2B6248FF" w14:textId="77777777" w:rsidTr="002332A8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1CF346" w14:textId="3E21AD2D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1.17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A9F6" w14:textId="31BB6D24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Bandymo greičio palaikymas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56CBA0" w14:textId="131795C0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būti tolygus</w:t>
            </w:r>
            <w:r w:rsidR="009F52F7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užduotos eigos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palaikymas</w:t>
            </w:r>
            <w:r w:rsidR="009F52F7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(ne žingsninis)</w:t>
            </w:r>
          </w:p>
          <w:p w14:paraId="62CEB940" w14:textId="77777777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siauresniame diapazone kaip nuo 0.05-500 mm/min</w:t>
            </w:r>
          </w:p>
          <w:p w14:paraId="375DFA90" w14:textId="2FA5BD78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Greičio palaikymo tikslumas ≤1%</w:t>
            </w:r>
          </w:p>
        </w:tc>
      </w:tr>
      <w:tr w:rsidR="00187FB0" w:rsidRPr="00213EE5" w14:paraId="2312E610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EC72F3" w14:textId="6B925BB1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1.18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BAB4" w14:textId="0339B75B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Maksimali kryžmės (traversos) eiga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196F0B" w14:textId="48E6AF0C" w:rsidR="008664D2" w:rsidRPr="00213EE5" w:rsidRDefault="008664D2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mažiau kaip </w:t>
            </w:r>
            <w:r w:rsidR="00187FB0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1000</w:t>
            </w:r>
            <w:r w:rsidR="005152A5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187FB0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mm</w:t>
            </w:r>
          </w:p>
          <w:p w14:paraId="07C170D9" w14:textId="00E973BF" w:rsidR="008664D2" w:rsidRPr="00213EE5" w:rsidRDefault="008664D2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187FB0" w:rsidRPr="00213EE5" w14:paraId="12D75932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C28320" w14:textId="5B8E696C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32F3" w14:textId="076D9C61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Maksimali tempimo erdvė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086354" w14:textId="11B89133" w:rsidR="00187FB0" w:rsidRPr="004D64D3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800 mm ±50mm</w:t>
            </w:r>
          </w:p>
        </w:tc>
      </w:tr>
      <w:tr w:rsidR="00187FB0" w:rsidRPr="00213EE5" w14:paraId="37E08AB4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E64C40" w14:textId="7F54F402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12EF" w14:textId="58BE0B9A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Maksimali gniuždymo erdvė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CB49F1" w14:textId="1151BD53" w:rsidR="00187FB0" w:rsidRPr="004D64D3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800 mm ±50mm</w:t>
            </w:r>
          </w:p>
        </w:tc>
      </w:tr>
      <w:tr w:rsidR="00187FB0" w:rsidRPr="00213EE5" w14:paraId="5E01FC03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26C7E5" w14:textId="4FF88340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1.21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58A8" w14:textId="5117313D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Bandymų erdvės plotis (šviesoje tarp kolonų)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891547" w14:textId="30DC9FEA" w:rsidR="00187FB0" w:rsidRPr="004D64D3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≥450mm</w:t>
            </w:r>
          </w:p>
        </w:tc>
      </w:tr>
      <w:tr w:rsidR="00187FB0" w:rsidRPr="00CD1F3E" w14:paraId="04469C3A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5DD27B" w14:textId="62664535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1.22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8A35" w14:textId="03B6B2DA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Kryžmės galinių padėčių jungiklis</w:t>
            </w:r>
            <w:r w:rsidR="009F52F7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A2DEB4" w14:textId="291479A0" w:rsidR="00187FB0" w:rsidRPr="004D64D3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Viršutinės ir žemutinės galinių pozicijų vizualinė </w:t>
            </w:r>
            <w:r w:rsidR="00213EE5"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-</w:t>
            </w: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šviesos indikacija</w:t>
            </w:r>
            <w:r w:rsidR="009F52F7"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</w:tr>
      <w:tr w:rsidR="00187FB0" w:rsidRPr="00CD1F3E" w14:paraId="37DD8AF9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E20C31" w14:textId="2C40B64D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1.23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9702" w14:textId="47D856A2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Bandinio poslinkio matavimo jutiklis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2EA30F" w14:textId="0CD3627F" w:rsidR="00187FB0" w:rsidRPr="004D64D3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būti pagamintas iš nerūdijančio plieno</w:t>
            </w:r>
            <w:r w:rsidR="002A5AE6"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ar lygiavertės medžiagos</w:t>
            </w:r>
            <w:r w:rsidR="004F5449"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  <w:p w14:paraId="37908F48" w14:textId="7F2D1294" w:rsidR="00187FB0" w:rsidRPr="004D64D3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būti montavimo kronšteinsas (x ir y ašyse) ir sujungimo priedai.</w:t>
            </w:r>
          </w:p>
          <w:p w14:paraId="4122ACBD" w14:textId="77777777" w:rsidR="00187FB0" w:rsidRPr="004D64D3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Matavimo diapazonas ≥10mm</w:t>
            </w:r>
          </w:p>
          <w:p w14:paraId="7F4B2EA4" w14:textId="77777777" w:rsidR="00187FB0" w:rsidRPr="004D64D3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Skiriamoji geba ≤ 0.02 mm</w:t>
            </w:r>
          </w:p>
          <w:p w14:paraId="24D171D0" w14:textId="77777777" w:rsidR="00187FB0" w:rsidRPr="004D64D3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Duomenų surinkimo dažnis ≥ 5Hz</w:t>
            </w:r>
          </w:p>
          <w:p w14:paraId="257FEE16" w14:textId="28FC3C3C" w:rsidR="00187FB0" w:rsidRPr="004D64D3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Sinchroninis veikimas būtinas.</w:t>
            </w:r>
          </w:p>
        </w:tc>
      </w:tr>
      <w:tr w:rsidR="00187FB0" w:rsidRPr="00CD1F3E" w14:paraId="60F0950D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B5F091" w14:textId="64D0A5D7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1.24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D740" w14:textId="7B49B77D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Gniuždymo plokščių komplektas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D1C086" w14:textId="2105B09A" w:rsidR="00187FB0" w:rsidRPr="004D64D3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būti pagaminta iš grūdinto metalo</w:t>
            </w:r>
            <w:r w:rsidR="00213EE5"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ar lygiavertės medžiagos</w:t>
            </w:r>
          </w:p>
          <w:p w14:paraId="33806D5F" w14:textId="7E6F27DB" w:rsidR="00E43F29" w:rsidRPr="004D64D3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4D64D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Turi būti diametras </w:t>
            </w:r>
            <w:r w:rsidR="004D64D3" w:rsidRPr="004D64D3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d≥100 mm</w:t>
            </w:r>
          </w:p>
        </w:tc>
      </w:tr>
      <w:tr w:rsidR="00187FB0" w:rsidRPr="00213EE5" w14:paraId="6AAF97D8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8586AA" w14:textId="74B1573B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1.25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208C" w14:textId="622A061B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Mechaninių griebtų komplektas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05742A" w14:textId="1AB5B6F8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Savaime užsiveržiantis  V – formos griebtai.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br/>
              <w:t>Apvalių bandinių diametro diapazonas ne mažesnis kaip nuo  4-9 mm</w:t>
            </w:r>
            <w:r w:rsidR="00584C7B"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  <w:p w14:paraId="5EC946D7" w14:textId="5FBC45C4" w:rsidR="00584C7B" w:rsidRPr="00213EE5" w:rsidRDefault="00187FB0" w:rsidP="00213EE5">
            <w:pPr>
              <w:rPr>
                <w:rFonts w:ascii="Times New Roman" w:hAnsi="Times New Roman" w:cs="Times New Roman"/>
                <w:color w:val="EE0000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Plokščių bandinių storio diapazonas ne mažesnis kaip nuo  0-7 mm</w:t>
            </w:r>
            <w:r w:rsidR="004F544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</w:tr>
      <w:tr w:rsidR="00187FB0" w:rsidRPr="00CD1F3E" w14:paraId="0E5558FB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8B84D3" w14:textId="049B9590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>1.26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8B37" w14:textId="52A834FA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Keturių taškų lenkimo įrenginys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4BB37B" w14:textId="409C7299" w:rsidR="00187FB0" w:rsidRPr="00CD1F3E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Atraminių ir apkrovos ritulių radius</w:t>
            </w:r>
            <w:r w:rsidR="002B3C27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as</w:t>
            </w: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R10.</w:t>
            </w:r>
          </w:p>
          <w:p w14:paraId="7EC1F22E" w14:textId="27C1BEB7" w:rsidR="00187FB0" w:rsidRPr="00CD1F3E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Viršutinės dalies reguliuojamo atstumo tarp ritulių diapazonas ne siauresnis kaip nuo 0-200 mm;</w:t>
            </w:r>
          </w:p>
          <w:p w14:paraId="74CABFBC" w14:textId="20E7EF7A" w:rsidR="00187FB0" w:rsidRPr="00CD1F3E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Apatinės dalies reguliuojamo atstumo tarp ritulių diapazonas ne siauresnis kaip nuo 0-320 mm;</w:t>
            </w:r>
            <w:r w:rsidR="00176E8B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  <w:p w14:paraId="75B07A6B" w14:textId="2B4DE0CA" w:rsidR="00187FB0" w:rsidRPr="00CD1F3E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Maksimalus bandinio plotis ≥80</w:t>
            </w:r>
            <w:r w:rsidR="00E43F29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4D64D3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(Mąstelis mašinos ir element</w:t>
            </w:r>
            <w:r w:rsid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ų</w:t>
            </w:r>
            <w:r w:rsidR="004D64D3"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–bandinių)</w:t>
            </w:r>
          </w:p>
        </w:tc>
      </w:tr>
      <w:tr w:rsidR="00187FB0" w:rsidRPr="00213EE5" w14:paraId="45F1F30B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FEE446" w14:textId="38FE474E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1.27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2DE5" w14:textId="77777777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Svoris be pakuotės (Neto)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556337" w14:textId="65B57B66" w:rsidR="00187FB0" w:rsidRPr="00CD1F3E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D1F3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≥400 kg</w:t>
            </w:r>
          </w:p>
        </w:tc>
      </w:tr>
      <w:tr w:rsidR="00187FB0" w:rsidRPr="00CD1F3E" w14:paraId="42FA868B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94093A" w14:textId="40BBB534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1.28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C473" w14:textId="6BF59617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Išoriniai matmenis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A7231A" w14:textId="54042C25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daugiau kaip  (PxGxA) 850 mm x 600 x 1</w:t>
            </w:r>
            <w:r w:rsidR="00191A2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900</w:t>
            </w: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</w:t>
            </w:r>
          </w:p>
        </w:tc>
      </w:tr>
      <w:tr w:rsidR="00187FB0" w:rsidRPr="00213EE5" w14:paraId="1B29E782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05D6F1" w14:textId="5216F50C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1.29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D59B" w14:textId="7522F02C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Elektros maitinimas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F69778" w14:textId="3F012CEC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230V/50Hz</w:t>
            </w:r>
          </w:p>
        </w:tc>
      </w:tr>
      <w:tr w:rsidR="00187FB0" w:rsidRPr="00213EE5" w14:paraId="1C124CEA" w14:textId="77777777" w:rsidTr="00F8301B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5CCE70" w14:textId="74652E3F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1.30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A928" w14:textId="050921C7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Ženklinimas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2E30C9" w14:textId="4A61744F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CE ar lygiavertis</w:t>
            </w:r>
          </w:p>
        </w:tc>
      </w:tr>
      <w:tr w:rsidR="00187FB0" w:rsidRPr="00CD1F3E" w14:paraId="0A6EA276" w14:textId="77777777" w:rsidTr="00B61B24">
        <w:trPr>
          <w:trHeight w:val="19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A31C1A" w14:textId="3DFB05FC" w:rsidR="00187FB0" w:rsidRPr="00213EE5" w:rsidRDefault="00187FB0" w:rsidP="00213E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1.31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DBEC" w14:textId="77777777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Garantija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F6DBB4" w14:textId="77777777" w:rsidR="00187FB0" w:rsidRPr="00213EE5" w:rsidRDefault="00187FB0" w:rsidP="00213E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13E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Suteikiama ne mažesnė nei 1 metų garantija, kuri prasideda nuo įrangos priėmimo perdavimo akto pasirašymo dienos.</w:t>
            </w:r>
          </w:p>
        </w:tc>
      </w:tr>
      <w:tr w:rsidR="00187FB0" w:rsidRPr="00E43F29" w14:paraId="4A33A3CE" w14:textId="77777777" w:rsidTr="00C77236">
        <w:trPr>
          <w:trHeight w:val="229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B4038C" w14:textId="64737293" w:rsidR="00187FB0" w:rsidRPr="00AA514F" w:rsidRDefault="00187FB0" w:rsidP="00213EE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lt-LT"/>
              </w:rPr>
            </w:pPr>
            <w:r w:rsidRPr="00AA514F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lt-LT"/>
              </w:rPr>
              <w:t>1.32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FD4F" w14:textId="41085CA0" w:rsidR="00187FB0" w:rsidRPr="00AA514F" w:rsidRDefault="00187FB0" w:rsidP="00213EE5">
            <w:pPr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lt-LT"/>
              </w:rPr>
            </w:pPr>
            <w:r w:rsidRPr="00AA514F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lt-LT"/>
              </w:rPr>
              <w:t>Garantinis aptarnavimas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1A90D9" w14:textId="7E4BE5F9" w:rsidR="00E43F29" w:rsidRPr="00AA514F" w:rsidRDefault="004F5449" w:rsidP="00CD1F3E">
            <w:pPr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lt-LT"/>
              </w:rPr>
            </w:pPr>
            <w:r w:rsidRPr="00AA514F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lt-LT"/>
              </w:rPr>
              <w:t>Tiekėjas privalo užtikrinti Įrangos instaliavimą, apmokymus ir garantinį aptarnavimą pagal gamintojo techninius reikalavimus. Pateikiami įrodymai: Tiekėjo patvirtinimas (deklaracija), kad jis pats arba jo pasitelktas subrangovas turi kvalifikuotą personalą, reikiamą techninę dokumentaciją bei galimybę gauti originalias atsargines dalis, būtinas tinkamam paslaugų teikimui visą garantinį laikotarpį.</w:t>
            </w:r>
          </w:p>
        </w:tc>
      </w:tr>
    </w:tbl>
    <w:p w14:paraId="230B607A" w14:textId="77777777" w:rsidR="00986A19" w:rsidRPr="00213EE5" w:rsidRDefault="00986A19" w:rsidP="00213EE5">
      <w:pPr>
        <w:rPr>
          <w:rFonts w:ascii="Times New Roman" w:hAnsi="Times New Roman" w:cs="Times New Roman"/>
          <w:sz w:val="22"/>
          <w:szCs w:val="22"/>
          <w:lang w:val="lt-LT"/>
        </w:rPr>
      </w:pPr>
    </w:p>
    <w:sectPr w:rsidR="00986A19" w:rsidRPr="00213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75CB"/>
    <w:multiLevelType w:val="multilevel"/>
    <w:tmpl w:val="6294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360B1"/>
    <w:multiLevelType w:val="multilevel"/>
    <w:tmpl w:val="561A8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75636994">
    <w:abstractNumId w:val="1"/>
  </w:num>
  <w:num w:numId="2" w16cid:durableId="64200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3C"/>
    <w:rsid w:val="00024914"/>
    <w:rsid w:val="00033F47"/>
    <w:rsid w:val="0004114E"/>
    <w:rsid w:val="000A0986"/>
    <w:rsid w:val="000C6590"/>
    <w:rsid w:val="00113496"/>
    <w:rsid w:val="00176E8B"/>
    <w:rsid w:val="00187FB0"/>
    <w:rsid w:val="00191A25"/>
    <w:rsid w:val="001964F3"/>
    <w:rsid w:val="001D10DA"/>
    <w:rsid w:val="001E777B"/>
    <w:rsid w:val="00213EE5"/>
    <w:rsid w:val="0022438C"/>
    <w:rsid w:val="00225B63"/>
    <w:rsid w:val="00235681"/>
    <w:rsid w:val="00237DF1"/>
    <w:rsid w:val="00253437"/>
    <w:rsid w:val="002641E4"/>
    <w:rsid w:val="002A5AE6"/>
    <w:rsid w:val="002B3C27"/>
    <w:rsid w:val="002C141A"/>
    <w:rsid w:val="002F1113"/>
    <w:rsid w:val="002F4F7B"/>
    <w:rsid w:val="0033365B"/>
    <w:rsid w:val="00344BA6"/>
    <w:rsid w:val="003657B4"/>
    <w:rsid w:val="0037318D"/>
    <w:rsid w:val="003A11FF"/>
    <w:rsid w:val="003E2527"/>
    <w:rsid w:val="00403B86"/>
    <w:rsid w:val="0040406F"/>
    <w:rsid w:val="0041426A"/>
    <w:rsid w:val="0048011F"/>
    <w:rsid w:val="004D64D3"/>
    <w:rsid w:val="004F5449"/>
    <w:rsid w:val="00501515"/>
    <w:rsid w:val="005152A5"/>
    <w:rsid w:val="00546451"/>
    <w:rsid w:val="00547C96"/>
    <w:rsid w:val="0055127F"/>
    <w:rsid w:val="00556266"/>
    <w:rsid w:val="00584C7B"/>
    <w:rsid w:val="005A69B3"/>
    <w:rsid w:val="005B017F"/>
    <w:rsid w:val="005F072C"/>
    <w:rsid w:val="006209F7"/>
    <w:rsid w:val="0066593F"/>
    <w:rsid w:val="007177D3"/>
    <w:rsid w:val="00730391"/>
    <w:rsid w:val="00737635"/>
    <w:rsid w:val="00762C15"/>
    <w:rsid w:val="007632CF"/>
    <w:rsid w:val="007A0F08"/>
    <w:rsid w:val="007B082E"/>
    <w:rsid w:val="007C1314"/>
    <w:rsid w:val="007F0005"/>
    <w:rsid w:val="008664D2"/>
    <w:rsid w:val="0093710E"/>
    <w:rsid w:val="009430F0"/>
    <w:rsid w:val="0094549F"/>
    <w:rsid w:val="009661E3"/>
    <w:rsid w:val="00975498"/>
    <w:rsid w:val="00984B5A"/>
    <w:rsid w:val="00986A19"/>
    <w:rsid w:val="0098717D"/>
    <w:rsid w:val="00990EA3"/>
    <w:rsid w:val="009F3E5B"/>
    <w:rsid w:val="009F52F7"/>
    <w:rsid w:val="00A75701"/>
    <w:rsid w:val="00A97254"/>
    <w:rsid w:val="00AA514F"/>
    <w:rsid w:val="00AC317D"/>
    <w:rsid w:val="00AC6642"/>
    <w:rsid w:val="00B0351E"/>
    <w:rsid w:val="00B3755E"/>
    <w:rsid w:val="00B61B24"/>
    <w:rsid w:val="00B77B9B"/>
    <w:rsid w:val="00BA0310"/>
    <w:rsid w:val="00BB0129"/>
    <w:rsid w:val="00BB64B8"/>
    <w:rsid w:val="00BC1B7E"/>
    <w:rsid w:val="00BD6482"/>
    <w:rsid w:val="00BD6A0C"/>
    <w:rsid w:val="00C01138"/>
    <w:rsid w:val="00C47A97"/>
    <w:rsid w:val="00C512CB"/>
    <w:rsid w:val="00C52DAB"/>
    <w:rsid w:val="00C748C7"/>
    <w:rsid w:val="00C77236"/>
    <w:rsid w:val="00C87A0A"/>
    <w:rsid w:val="00CB2ECC"/>
    <w:rsid w:val="00CC2D61"/>
    <w:rsid w:val="00CD1F3E"/>
    <w:rsid w:val="00CF1AE1"/>
    <w:rsid w:val="00D13EBE"/>
    <w:rsid w:val="00D16E69"/>
    <w:rsid w:val="00D30536"/>
    <w:rsid w:val="00D368F6"/>
    <w:rsid w:val="00D8384C"/>
    <w:rsid w:val="00DC4D23"/>
    <w:rsid w:val="00E37185"/>
    <w:rsid w:val="00E374CB"/>
    <w:rsid w:val="00E43F29"/>
    <w:rsid w:val="00E53C11"/>
    <w:rsid w:val="00E5692F"/>
    <w:rsid w:val="00E81CA0"/>
    <w:rsid w:val="00EB5D87"/>
    <w:rsid w:val="00EE0894"/>
    <w:rsid w:val="00EE3A4B"/>
    <w:rsid w:val="00F04E03"/>
    <w:rsid w:val="00F16F04"/>
    <w:rsid w:val="00F1716C"/>
    <w:rsid w:val="00F244AA"/>
    <w:rsid w:val="00F27182"/>
    <w:rsid w:val="00F82987"/>
    <w:rsid w:val="00F8301B"/>
    <w:rsid w:val="00F92FF4"/>
    <w:rsid w:val="00F9303C"/>
    <w:rsid w:val="00FD1EFC"/>
    <w:rsid w:val="00FF27B9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E42C"/>
  <w15:chartTrackingRefBased/>
  <w15:docId w15:val="{4CFE4837-CDDF-4743-A0CC-12E3CA0C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3C"/>
    <w:pPr>
      <w:spacing w:after="0" w:line="240" w:lineRule="auto"/>
    </w:pPr>
    <w:rPr>
      <w:rFonts w:ascii="Aptos" w:hAnsi="Aptos" w:cs="Aptos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0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0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0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0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0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0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0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0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03C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43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F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3F29"/>
    <w:rPr>
      <w:rFonts w:ascii="Aptos" w:hAnsi="Aptos" w:cs="Aptos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F29"/>
    <w:rPr>
      <w:rFonts w:ascii="Aptos" w:hAnsi="Aptos" w:cs="Aptos"/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4141</Words>
  <Characters>2361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LAMMC MI - Projektai - Rasa Mašalaitė</dc:creator>
  <cp:keywords/>
  <dc:description/>
  <cp:lastModifiedBy>LAMMC MI - Projektai - Rasa Mašalaitė</cp:lastModifiedBy>
  <cp:revision>4</cp:revision>
  <dcterms:created xsi:type="dcterms:W3CDTF">2026-03-05T13:34:00Z</dcterms:created>
  <dcterms:modified xsi:type="dcterms:W3CDTF">2026-03-06T10:56:00Z</dcterms:modified>
</cp:coreProperties>
</file>