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tabs>
              <w:tab w:val="clear" w:pos="720"/>
              <w:tab w:val="center" w:pos="4513" w:leader="none"/>
              <w:tab w:val="right" w:pos="9026" w:leader="none"/>
            </w:tabs>
            <w:rPr>
              <w:rFonts w:ascii="Times New Roman" w:hAnsi="Times New Roman" w:cs="Times New Roman"/>
              <w:sz w:val="24"/>
              <w:szCs w:val="24"/>
              <w:lang w:val="lt-LT" w:eastAsia="lt-LT"/>
            </w:rPr>
          </w:pPr>
          <w:r>
            <w:rPr>
              <w:rFonts w:cs="Times New Roman" w:ascii="Times New Roman" w:hAnsi="Times New Roman"/>
              <w:sz w:val="24"/>
              <w:szCs w:val="24"/>
              <w:lang w:val="lt-LT" w:eastAsia="lt-LT"/>
            </w:rPr>
          </w:r>
        </w:p>
        <w:p>
          <w:pPr>
            <w:pStyle w:val="Normal"/>
            <w:tabs>
              <w:tab w:val="clear" w:pos="720"/>
              <w:tab w:val="center" w:pos="4513" w:leader="none"/>
              <w:tab w:val="right" w:pos="9026" w:leader="none"/>
            </w:tabs>
            <w:rPr>
              <w:rFonts w:ascii="Times New Roman" w:hAnsi="Times New Roman" w:cs="Times New Roman"/>
              <w:sz w:val="24"/>
              <w:szCs w:val="24"/>
              <w:lang w:val="lt-LT" w:eastAsia="lt-LT"/>
            </w:rPr>
          </w:pPr>
          <w:r>
            <w:rPr>
              <w:rFonts w:cs="Times New Roman" w:ascii="Times New Roman" w:hAnsi="Times New Roman"/>
              <w:sz w:val="24"/>
              <w:szCs w:val="24"/>
              <w:lang w:val="lt-LT" w:eastAsia="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rmal"/>
                  <w:jc w:val="center"/>
                  <w:rPr>
                    <w:rFonts w:ascii="Times New Roman" w:hAnsi="Times New Roman" w:cs="Times New Roman"/>
                    <w:sz w:val="32"/>
                    <w:szCs w:val="32"/>
                    <w:lang w:val="lt-LT"/>
                  </w:rPr>
                </w:pPr>
                <w:r>
                  <w:rPr/>
                  <w:drawing>
                    <wp:inline distT="0" distB="0" distL="0" distR="0">
                      <wp:extent cx="2316480" cy="646430"/>
                      <wp:effectExtent l="0" t="0" r="0" b="0"/>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2316480" cy="646430"/>
                              </a:xfrm>
                              <a:prstGeom prst="rect">
                                <a:avLst/>
                              </a:prstGeom>
                            </pic:spPr>
                          </pic:pic>
                        </a:graphicData>
                      </a:graphic>
                    </wp:inline>
                  </w:drawing>
                </w:r>
              </w:p>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p>
                <w:pPr>
                  <w:pStyle w:val="NoSpacing"/>
                  <w:jc w:val="center"/>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t>Viešojo pirkimo atviro konkurso „100 arų didelių gabaritų aikštelės ir 831 m</w:t>
                </w:r>
                <w:r>
                  <w:rPr>
                    <w:rFonts w:cs="Times New Roman" w:ascii="Times New Roman" w:hAnsi="Times New Roman"/>
                    <w:color w:themeColor="accent1" w:themeShade="bf" w:val="2F5496"/>
                    <w:sz w:val="24"/>
                    <w:vertAlign w:val="superscript"/>
                    <w:lang w:val="lt-LT"/>
                  </w:rPr>
                  <w:t>2</w:t>
                </w:r>
                <w:r>
                  <w:rPr>
                    <w:rFonts w:cs="Times New Roman" w:ascii="Times New Roman" w:hAnsi="Times New Roman"/>
                    <w:color w:themeColor="accent1" w:themeShade="bf" w:val="2F5496"/>
                    <w:sz w:val="24"/>
                    <w:lang w:val="lt-LT"/>
                  </w:rPr>
                  <w:t xml:space="preserve"> sandėliavimo paskirties pastato skirto atliekų, tinkamų paruošti pakartotinam naudojimui, surinkimui, statyba ir įrengimas Algirdo g. 57A, Mažeikių mieste“ bendrosios sąlygos</w:t>
                </w:r>
              </w:p>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p>
                <w:pPr>
                  <w:pStyle w:val="NoSpacing"/>
                  <w:rPr>
                    <w:rFonts w:ascii="Times New Roman" w:hAnsi="Times New Roman" w:cs="Times New Roman"/>
                    <w:color w:themeColor="accent1" w:themeShade="bf" w:val="2F5496"/>
                    <w:sz w:val="20"/>
                    <w:szCs w:val="20"/>
                    <w:lang w:val="lt-LT"/>
                  </w:rPr>
                </w:pPr>
                <w:r>
                  <w:rPr>
                    <w:rFonts w:cs="Times New Roman" w:ascii="Times New Roman" w:hAnsi="Times New Roman"/>
                    <w:color w:themeColor="accent1" w:themeShade="bf" w:val="2F5496"/>
                    <w:sz w:val="20"/>
                    <w:szCs w:val="20"/>
                    <w:lang w:val="lt-LT"/>
                  </w:rPr>
                  <w:t>2024-11-26 versija, skelbiama https://vpt.lrv.lt/</w:t>
                </w:r>
              </w:p>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rFonts w:ascii="Times New Roman" w:hAnsi="Times New Roman"/>
              <w:sz w:val="24"/>
              <w:szCs w:val="24"/>
            </w:rPr>
          </w:pPr>
          <w:r>
            <w:rPr>
              <w:rFonts w:ascii="Times New Roman" w:hAnsi="Times New Roman"/>
              <w:sz w:val="24"/>
              <w:szCs w:val="24"/>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sz w:val="24"/>
              <w:szCs w:val="24"/>
              <w:lang w:val="lt-LT"/>
            </w:rPr>
          </w:pPr>
          <w:r>
            <w:rPr>
              <w:rFonts w:cs="Times New Roman" w:ascii="Times New Roman" w:hAnsi="Times New Roman"/>
              <w:sz w:val="24"/>
              <w:szCs w:val="24"/>
              <w:lang w:val="lt-LT"/>
            </w:rPr>
          </w:r>
          <w:r>
            <w:br w:type="page"/>
          </w:r>
        </w:p>
        <w:p>
          <w:pPr>
            <w:pStyle w:val="Normal"/>
            <w:spacing w:before="0" w:after="16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rPr>
              <w:rFonts w:ascii="Times New Roman" w:hAnsi="Times New Roman" w:cs="Times New Roman"/>
              <w:sz w:val="24"/>
              <w:szCs w:val="24"/>
              <w:lang w:val="lt-LT"/>
            </w:rPr>
          </w:pPr>
          <w:r>
            <w:rPr>
              <w:rFonts w:cs="Times New Roman" w:ascii="Times New Roman" w:hAnsi="Times New Roman"/>
              <w:sz w:val="24"/>
              <w:szCs w:val="24"/>
              <w:lang w:val="lt-LT"/>
            </w:rPr>
          </w:r>
        </w:p>
        <w:p>
          <w:pPr>
            <w:pStyle w:val="TOCHeading"/>
            <w:rPr>
              <w:rFonts w:ascii="Times New Roman" w:hAnsi="Times New Roman"/>
              <w:sz w:val="24"/>
              <w:szCs w:val="24"/>
            </w:rPr>
          </w:pPr>
          <w:r>
            <w:rPr>
              <w:rFonts w:cs="Times New Roman" w:ascii="Times New Roman" w:hAnsi="Times New Roman"/>
              <w:sz w:val="24"/>
              <w:szCs w:val="24"/>
              <w:lang w:val="lt-LT"/>
            </w:rPr>
            <w:t>Turinys</w:t>
          </w:r>
        </w:p>
        <w:p>
          <w:pPr>
            <w:pStyle w:val="TOC1"/>
            <w:rPr/>
          </w:pPr>
          <w:r>
            <w:fldChar w:fldCharType="begin"/>
          </w:r>
          <w:r>
            <w:rPr>
              <w:webHidden/>
              <w:rStyle w:val="IndexLink"/>
              <w:sz w:val="24"/>
              <w:b w:val="false"/>
              <w:szCs w:val="24"/>
              <w:bCs w:val="false"/>
              <w:vanish w:val="false"/>
              <w:rFonts w:cs="Times New Roman" w:ascii="Times New Roman" w:hAnsi="Times New Roman"/>
            </w:rPr>
            <w:instrText xml:space="preserve"> TOC \z \o "1-3" \u \h</w:instrText>
          </w:r>
          <w:r>
            <w:rPr>
              <w:webHidden/>
              <w:rStyle w:val="IndexLink"/>
              <w:sz w:val="24"/>
              <w:b w:val="false"/>
              <w:szCs w:val="24"/>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4"/>
                <w:szCs w:val="24"/>
              </w:rPr>
              <w:t>1.</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rPr/>
          </w:pPr>
          <w:hyperlink w:anchor="_Toc126263049">
            <w:r>
              <w:rPr>
                <w:webHidden/>
                <w:rStyle w:val="IndexLink"/>
                <w:rFonts w:cs="Times New Roman" w:ascii="Times New Roman" w:hAnsi="Times New Roman"/>
                <w:b w:val="false"/>
                <w:bCs w:val="false"/>
                <w:vanish w:val="false"/>
                <w:sz w:val="24"/>
                <w:szCs w:val="24"/>
              </w:rPr>
              <w:t>2.</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rPr/>
          </w:pPr>
          <w:hyperlink w:anchor="_Toc126263050">
            <w:r>
              <w:rPr>
                <w:webHidden/>
                <w:rStyle w:val="IndexLink"/>
                <w:rFonts w:cs="Times New Roman" w:ascii="Times New Roman" w:hAnsi="Times New Roman"/>
                <w:b w:val="false"/>
                <w:bCs w:val="false"/>
                <w:vanish w:val="false"/>
                <w:sz w:val="24"/>
                <w:szCs w:val="24"/>
              </w:rPr>
              <w:t>3.</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sz w:val="24"/>
                <w:szCs w:val="24"/>
              </w:rPr>
              <w:tab/>
              <w:t>4</w:t>
            </w:r>
            <w:r>
              <w:rPr>
                <w:webHidden/>
              </w:rPr>
              <w:fldChar w:fldCharType="end"/>
            </w:r>
          </w:hyperlink>
        </w:p>
        <w:p>
          <w:pPr>
            <w:pStyle w:val="TOC1"/>
            <w:rPr/>
          </w:pPr>
          <w:hyperlink w:anchor="_Toc126263051">
            <w:r>
              <w:rPr>
                <w:webHidden/>
                <w:rStyle w:val="IndexLink"/>
                <w:rFonts w:cs="Times New Roman" w:ascii="Times New Roman" w:hAnsi="Times New Roman"/>
                <w:b w:val="false"/>
                <w:bCs w:val="false"/>
                <w:vanish w:val="false"/>
                <w:sz w:val="24"/>
                <w:szCs w:val="24"/>
              </w:rPr>
              <w:t>4.</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sz w:val="24"/>
                <w:szCs w:val="24"/>
              </w:rPr>
              <w:tab/>
              <w:t>4</w:t>
            </w:r>
            <w:r>
              <w:rPr>
                <w:webHidden/>
              </w:rPr>
              <w:fldChar w:fldCharType="end"/>
            </w:r>
          </w:hyperlink>
        </w:p>
        <w:p>
          <w:pPr>
            <w:pStyle w:val="TOC1"/>
            <w:rPr/>
          </w:pPr>
          <w:hyperlink w:anchor="_Toc126263052">
            <w:r>
              <w:rPr>
                <w:webHidden/>
                <w:rStyle w:val="IndexLink"/>
                <w:rFonts w:cs="Times New Roman" w:ascii="Times New Roman" w:hAnsi="Times New Roman"/>
                <w:b w:val="false"/>
                <w:bCs w:val="false"/>
                <w:vanish w:val="false"/>
                <w:sz w:val="24"/>
                <w:szCs w:val="24"/>
              </w:rPr>
              <w:t>5.</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sz w:val="24"/>
                <w:szCs w:val="24"/>
              </w:rPr>
              <w:tab/>
              <w:t>5</w:t>
            </w:r>
            <w:r>
              <w:rPr>
                <w:webHidden/>
              </w:rPr>
              <w:fldChar w:fldCharType="end"/>
            </w:r>
          </w:hyperlink>
        </w:p>
        <w:p>
          <w:pPr>
            <w:pStyle w:val="TOC1"/>
            <w:rPr/>
          </w:pPr>
          <w:hyperlink w:anchor="_Toc126263053">
            <w:r>
              <w:rPr>
                <w:webHidden/>
                <w:rStyle w:val="IndexLink"/>
                <w:rFonts w:cs="Times New Roman" w:ascii="Times New Roman" w:hAnsi="Times New Roman"/>
                <w:b w:val="false"/>
                <w:bCs w:val="false"/>
                <w:vanish w:val="false"/>
                <w:sz w:val="24"/>
                <w:szCs w:val="24"/>
              </w:rPr>
              <w:t>6.</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sz w:val="24"/>
                <w:szCs w:val="24"/>
              </w:rPr>
              <w:tab/>
              <w:t>5</w:t>
            </w:r>
            <w:r>
              <w:rPr>
                <w:webHidden/>
              </w:rPr>
              <w:fldChar w:fldCharType="end"/>
            </w:r>
          </w:hyperlink>
        </w:p>
        <w:p>
          <w:pPr>
            <w:pStyle w:val="TOC1"/>
            <w:rPr/>
          </w:pPr>
          <w:hyperlink w:anchor="_Toc126263054">
            <w:r>
              <w:rPr>
                <w:webHidden/>
                <w:rStyle w:val="IndexLink"/>
                <w:rFonts w:cs="Times New Roman" w:ascii="Times New Roman" w:hAnsi="Times New Roman"/>
                <w:b w:val="false"/>
                <w:bCs w:val="false"/>
                <w:vanish w:val="false"/>
                <w:sz w:val="24"/>
                <w:szCs w:val="24"/>
              </w:rPr>
              <w:t>7.</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1"/>
            <w:rPr/>
          </w:pPr>
          <w:hyperlink w:anchor="_Toc126263055">
            <w:r>
              <w:rPr>
                <w:webHidden/>
                <w:rStyle w:val="IndexLink"/>
                <w:rFonts w:cs="Times New Roman" w:ascii="Times New Roman" w:hAnsi="Times New Roman"/>
                <w:b w:val="false"/>
                <w:bCs w:val="false"/>
                <w:vanish w:val="false"/>
                <w:sz w:val="24"/>
                <w:szCs w:val="24"/>
              </w:rPr>
              <w:t>8.</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1"/>
            <w:rPr/>
          </w:pPr>
          <w:hyperlink w:anchor="_Toc126263056">
            <w:r>
              <w:rPr>
                <w:webHidden/>
                <w:rStyle w:val="IndexLink"/>
                <w:rFonts w:cs="Times New Roman" w:ascii="Times New Roman" w:hAnsi="Times New Roman"/>
                <w:b w:val="false"/>
                <w:bCs w:val="false"/>
                <w:vanish w:val="false"/>
                <w:sz w:val="24"/>
                <w:szCs w:val="24"/>
              </w:rPr>
              <w:t>9.</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sz w:val="24"/>
                <w:szCs w:val="24"/>
              </w:rPr>
              <w:tab/>
              <w:t>7</w:t>
            </w:r>
            <w:r>
              <w:rPr>
                <w:webHidden/>
              </w:rPr>
              <w:fldChar w:fldCharType="end"/>
            </w:r>
          </w:hyperlink>
        </w:p>
        <w:p>
          <w:pPr>
            <w:pStyle w:val="TOC1"/>
            <w:rPr/>
          </w:pPr>
          <w:hyperlink w:anchor="_Toc126263057">
            <w:r>
              <w:rPr>
                <w:webHidden/>
                <w:rStyle w:val="IndexLink"/>
                <w:rFonts w:cs="Times New Roman" w:ascii="Times New Roman" w:hAnsi="Times New Roman"/>
                <w:b w:val="false"/>
                <w:bCs w:val="false"/>
                <w:vanish w:val="false"/>
                <w:sz w:val="24"/>
                <w:szCs w:val="24"/>
              </w:rPr>
              <w:t>10.</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sz w:val="24"/>
                <w:szCs w:val="24"/>
              </w:rPr>
              <w:tab/>
              <w:t>8</w:t>
            </w:r>
            <w:r>
              <w:rPr>
                <w:webHidden/>
              </w:rPr>
              <w:fldChar w:fldCharType="end"/>
            </w:r>
          </w:hyperlink>
        </w:p>
        <w:p>
          <w:pPr>
            <w:pStyle w:val="TOC1"/>
            <w:rPr/>
          </w:pPr>
          <w:hyperlink w:anchor="_Toc126263058">
            <w:r>
              <w:rPr>
                <w:webHidden/>
                <w:rStyle w:val="IndexLink"/>
                <w:rFonts w:cs="Times New Roman" w:ascii="Times New Roman" w:hAnsi="Times New Roman"/>
                <w:b w:val="false"/>
                <w:bCs w:val="false"/>
                <w:vanish w:val="false"/>
                <w:sz w:val="24"/>
                <w:szCs w:val="24"/>
              </w:rPr>
              <w:t>11.</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sz w:val="24"/>
                <w:szCs w:val="24"/>
              </w:rPr>
              <w:tab/>
              <w:t>9</w:t>
            </w:r>
            <w:r>
              <w:rPr>
                <w:webHidden/>
              </w:rPr>
              <w:fldChar w:fldCharType="end"/>
            </w:r>
          </w:hyperlink>
        </w:p>
        <w:p>
          <w:pPr>
            <w:pStyle w:val="TOC1"/>
            <w:rPr/>
          </w:pPr>
          <w:hyperlink w:anchor="_Toc126263059">
            <w:r>
              <w:rPr>
                <w:webHidden/>
                <w:rStyle w:val="IndexLink"/>
                <w:rFonts w:cs="Times New Roman" w:ascii="Times New Roman" w:hAnsi="Times New Roman"/>
                <w:b w:val="false"/>
                <w:bCs w:val="false"/>
                <w:vanish w:val="false"/>
                <w:sz w:val="24"/>
                <w:szCs w:val="24"/>
              </w:rPr>
              <w:t>12.</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sz w:val="24"/>
                <w:szCs w:val="24"/>
              </w:rPr>
              <w:tab/>
              <w:t>9</w:t>
            </w:r>
            <w:r>
              <w:rPr>
                <w:webHidden/>
              </w:rPr>
              <w:fldChar w:fldCharType="end"/>
            </w:r>
          </w:hyperlink>
        </w:p>
        <w:p>
          <w:pPr>
            <w:pStyle w:val="TOC1"/>
            <w:rPr/>
          </w:pPr>
          <w:hyperlink w:anchor="_Toc126263060">
            <w:r>
              <w:rPr>
                <w:webHidden/>
                <w:rStyle w:val="IndexLink"/>
                <w:rFonts w:cs="Times New Roman" w:ascii="Times New Roman" w:hAnsi="Times New Roman"/>
                <w:b w:val="false"/>
                <w:bCs w:val="false"/>
                <w:vanish w:val="false"/>
                <w:sz w:val="24"/>
                <w:szCs w:val="24"/>
              </w:rPr>
              <w:t>13.</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sz w:val="24"/>
                <w:szCs w:val="24"/>
              </w:rPr>
              <w:tab/>
              <w:t>9</w:t>
            </w:r>
            <w:r>
              <w:rPr>
                <w:webHidden/>
              </w:rPr>
              <w:fldChar w:fldCharType="end"/>
            </w:r>
          </w:hyperlink>
        </w:p>
        <w:p>
          <w:pPr>
            <w:pStyle w:val="TOC1"/>
            <w:rPr/>
          </w:pPr>
          <w:hyperlink w:anchor="_Toc126263061">
            <w:r>
              <w:rPr>
                <w:webHidden/>
                <w:rStyle w:val="IndexLink"/>
                <w:rFonts w:cs="Times New Roman" w:ascii="Times New Roman" w:hAnsi="Times New Roman"/>
                <w:b w:val="false"/>
                <w:bCs w:val="false"/>
                <w:vanish w:val="false"/>
                <w:sz w:val="24"/>
                <w:szCs w:val="24"/>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sz w:val="24"/>
                <w:szCs w:val="24"/>
              </w:rPr>
              <w:tab/>
              <w:t>11</w:t>
            </w:r>
            <w:r>
              <w:rPr>
                <w:webHidden/>
              </w:rPr>
              <w:fldChar w:fldCharType="end"/>
            </w:r>
          </w:hyperlink>
        </w:p>
        <w:p>
          <w:pPr>
            <w:pStyle w:val="TOC1"/>
            <w:rPr/>
          </w:pPr>
          <w:hyperlink w:anchor="_Toc126263062">
            <w:r>
              <w:rPr>
                <w:webHidden/>
                <w:rStyle w:val="IndexLink"/>
                <w:rFonts w:cs="Times New Roman" w:ascii="Times New Roman" w:hAnsi="Times New Roman"/>
                <w:b w:val="false"/>
                <w:bCs w:val="false"/>
                <w:vanish w:val="false"/>
                <w:sz w:val="24"/>
                <w:szCs w:val="24"/>
              </w:rPr>
              <w:t>15.</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sz w:val="24"/>
                <w:szCs w:val="24"/>
              </w:rPr>
              <w:tab/>
              <w:t>11</w:t>
            </w:r>
            <w:r>
              <w:rPr>
                <w:webHidden/>
              </w:rPr>
              <w:fldChar w:fldCharType="end"/>
            </w:r>
          </w:hyperlink>
        </w:p>
        <w:p>
          <w:pPr>
            <w:pStyle w:val="TOC1"/>
            <w:rPr/>
          </w:pPr>
          <w:hyperlink w:anchor="_Toc126263063">
            <w:r>
              <w:rPr>
                <w:webHidden/>
                <w:rStyle w:val="IndexLink"/>
                <w:rFonts w:cs="Times New Roman" w:ascii="Times New Roman" w:hAnsi="Times New Roman"/>
                <w:b w:val="false"/>
                <w:bCs w:val="false"/>
                <w:vanish w:val="false"/>
                <w:sz w:val="24"/>
                <w:szCs w:val="24"/>
              </w:rPr>
              <w:t>16.</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sz w:val="24"/>
                <w:szCs w:val="24"/>
              </w:rPr>
              <w:tab/>
              <w:t>12</w:t>
            </w:r>
            <w:r>
              <w:rPr>
                <w:webHidden/>
              </w:rPr>
              <w:fldChar w:fldCharType="end"/>
            </w:r>
          </w:hyperlink>
        </w:p>
        <w:p>
          <w:pPr>
            <w:pStyle w:val="TOC1"/>
            <w:rPr/>
          </w:pPr>
          <w:hyperlink w:anchor="_Toc126263064">
            <w:r>
              <w:rPr>
                <w:webHidden/>
                <w:rStyle w:val="IndexLink"/>
                <w:rFonts w:cs="Times New Roman" w:ascii="Times New Roman" w:hAnsi="Times New Roman"/>
                <w:b w:val="false"/>
                <w:bCs w:val="false"/>
                <w:vanish w:val="false"/>
                <w:sz w:val="24"/>
                <w:szCs w:val="24"/>
              </w:rPr>
              <w:t>17.</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sz w:val="24"/>
                <w:szCs w:val="24"/>
              </w:rPr>
              <w:tab/>
              <w:t>12</w:t>
            </w:r>
            <w:r>
              <w:rPr>
                <w:webHidden/>
              </w:rPr>
              <w:fldChar w:fldCharType="end"/>
            </w:r>
          </w:hyperlink>
        </w:p>
        <w:p>
          <w:pPr>
            <w:pStyle w:val="TOC1"/>
            <w:rPr/>
          </w:pPr>
          <w:hyperlink w:anchor="_Toc126263065">
            <w:r>
              <w:rPr>
                <w:webHidden/>
                <w:rStyle w:val="IndexLink"/>
                <w:rFonts w:eastAsia="Calibri" w:cs="Times New Roman" w:ascii="Times New Roman" w:hAnsi="Times New Roman" w:eastAsiaTheme="minorHAnsi"/>
                <w:b w:val="false"/>
                <w:bCs w:val="false"/>
                <w:iCs/>
                <w:vanish w:val="false"/>
                <w:sz w:val="24"/>
                <w:szCs w:val="24"/>
              </w:rPr>
              <w:t>18.</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sz w:val="24"/>
                <w:szCs w:val="24"/>
              </w:rPr>
              <w:tab/>
              <w:t>13</w:t>
            </w:r>
            <w:r>
              <w:rPr>
                <w:webHidden/>
              </w:rPr>
              <w:fldChar w:fldCharType="end"/>
            </w:r>
          </w:hyperlink>
        </w:p>
        <w:p>
          <w:pPr>
            <w:pStyle w:val="TOC1"/>
            <w:rPr/>
          </w:pPr>
          <w:hyperlink w:anchor="_Toc126263066">
            <w:r>
              <w:rPr>
                <w:webHidden/>
                <w:rStyle w:val="IndexLink"/>
                <w:rFonts w:eastAsia="Times New Roman" w:cs="Times New Roman" w:ascii="Times New Roman" w:hAnsi="Times New Roman"/>
                <w:b w:val="false"/>
                <w:bCs w:val="false"/>
                <w:vanish w:val="false"/>
                <w:sz w:val="24"/>
                <w:szCs w:val="24"/>
              </w:rPr>
              <w:t>19.</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sz w:val="24"/>
                <w:szCs w:val="24"/>
              </w:rPr>
              <w:tab/>
              <w:t>14</w:t>
            </w:r>
            <w:r>
              <w:rPr>
                <w:webHidden/>
              </w:rPr>
              <w:fldChar w:fldCharType="end"/>
            </w:r>
          </w:hyperlink>
        </w:p>
        <w:p>
          <w:pPr>
            <w:pStyle w:val="TOC1"/>
            <w:rPr/>
          </w:pPr>
          <w:hyperlink w:anchor="_Toc126263067">
            <w:r>
              <w:rPr>
                <w:webHidden/>
                <w:rStyle w:val="IndexLink"/>
                <w:rFonts w:eastAsia="Times New Roman" w:cs="Times New Roman" w:ascii="Times New Roman" w:hAnsi="Times New Roman"/>
                <w:b w:val="false"/>
                <w:bCs w:val="false"/>
                <w:vanish w:val="false"/>
                <w:sz w:val="24"/>
                <w:szCs w:val="24"/>
              </w:rPr>
              <w:t>20.</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sz w:val="24"/>
                <w:szCs w:val="24"/>
              </w:rPr>
              <w:tab/>
              <w:t>15</w:t>
            </w:r>
            <w:r>
              <w:rPr>
                <w:webHidden/>
              </w:rPr>
              <w:fldChar w:fldCharType="end"/>
            </w:r>
          </w:hyperlink>
        </w:p>
        <w:p>
          <w:pPr>
            <w:pStyle w:val="TOC1"/>
            <w:rPr/>
          </w:pPr>
          <w:hyperlink w:anchor="_Toc126263068">
            <w:r>
              <w:rPr>
                <w:webHidden/>
                <w:rStyle w:val="IndexLink"/>
                <w:rFonts w:eastAsia="Times New Roman" w:cs="Times New Roman" w:ascii="Times New Roman" w:hAnsi="Times New Roman"/>
                <w:b w:val="false"/>
                <w:bCs w:val="false"/>
                <w:vanish w:val="false"/>
                <w:sz w:val="24"/>
                <w:szCs w:val="24"/>
              </w:rPr>
              <w:t>21.</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sz w:val="24"/>
                <w:szCs w:val="24"/>
              </w:rPr>
              <w:tab/>
              <w:t>15</w:t>
            </w:r>
            <w:r>
              <w:rPr>
                <w:webHidden/>
              </w:rPr>
              <w:fldChar w:fldCharType="end"/>
            </w:r>
          </w:hyperlink>
        </w:p>
        <w:p>
          <w:pPr>
            <w:pStyle w:val="TOC1"/>
            <w:rPr/>
          </w:pPr>
          <w:hyperlink w:anchor="_Toc126263069">
            <w:r>
              <w:rPr>
                <w:webHidden/>
                <w:rStyle w:val="IndexLink"/>
                <w:rFonts w:eastAsia="Times New Roman" w:cs="Times New Roman" w:ascii="Times New Roman" w:hAnsi="Times New Roman"/>
                <w:b w:val="false"/>
                <w:bCs w:val="false"/>
                <w:vanish w:val="false"/>
                <w:sz w:val="24"/>
                <w:szCs w:val="24"/>
              </w:rPr>
              <w:t>22.</w:t>
            </w:r>
            <w:r>
              <w:rPr>
                <w:rStyle w:val="IndexLink"/>
                <w:rFonts w:eastAsia="" w:cs="Times New Roman" w:ascii="Times New Roman" w:hAnsi="Times New Roman" w:eastAsiaTheme="minorEastAsia"/>
                <w:sz w:val="24"/>
                <w:szCs w:val="24"/>
                <w:lang w:val="en-US"/>
              </w:rPr>
              <w:tab/>
            </w:r>
            <w:r>
              <w:rPr>
                <w:rStyle w:val="IndexLink"/>
                <w:rFonts w:cs="Times New Roman" w:ascii="Times New Roman" w:hAnsi="Times New Roman"/>
                <w:b w:val="false"/>
                <w:bCs w:val="false"/>
                <w:sz w:val="24"/>
                <w:szCs w:val="24"/>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sz w:val="24"/>
                <w:szCs w:val="24"/>
              </w:rPr>
              <w:tab/>
              <w:t>16</w:t>
            </w:r>
            <w:r>
              <w:rPr>
                <w:webHidden/>
              </w:rPr>
              <w:fldChar w:fldCharType="end"/>
            </w:r>
          </w:hyperlink>
          <w:r>
            <w:rPr>
              <w:rStyle w:val="IndexLink"/>
              <w:sz w:val="24"/>
              <w:szCs w:val="24"/>
              <w:rFonts w:cs="Times New Roman" w:ascii="Times New Roman" w:hAnsi="Times New Roman"/>
            </w:rPr>
            <w:fldChar w:fldCharType="end"/>
          </w:r>
        </w:p>
      </w:sdtContent>
    </w:sdt>
    <w:p>
      <w:pPr>
        <w:pStyle w:val="Normal"/>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rPr>
          <w:rFonts w:ascii="Times New Roman" w:hAnsi="Times New Roman" w:cs="Times New Roman"/>
          <w:sz w:val="24"/>
          <w:szCs w:val="24"/>
          <w:lang w:val="lt-LT"/>
        </w:rPr>
      </w:pPr>
      <w:r>
        <w:rPr>
          <w:rFonts w:cs="Times New Roman" w:ascii="Times New Roman" w:hAnsi="Times New Roman"/>
          <w:sz w:val="24"/>
          <w:szCs w:val="24"/>
          <w:lang w:val="lt-LT"/>
        </w:rPr>
      </w:r>
      <w:r>
        <w:br w:type="page"/>
      </w:r>
    </w:p>
    <w:p>
      <w:pPr>
        <w:pStyle w:val="Heading1"/>
        <w:numPr>
          <w:ilvl w:val="0"/>
          <w:numId w:val="1"/>
        </w:numPr>
        <w:spacing w:before="0" w:after="120"/>
        <w:rPr>
          <w:rFonts w:ascii="Times New Roman" w:hAnsi="Times New Roman"/>
          <w:sz w:val="24"/>
          <w:szCs w:val="24"/>
        </w:rPr>
      </w:pPr>
      <w:bookmarkStart w:id="0" w:name="_Toc126263048"/>
      <w:r>
        <w:rPr>
          <w:rFonts w:cs="Times New Roman" w:ascii="Times New Roman" w:hAnsi="Times New Roman"/>
          <w:color w:val="auto"/>
          <w:sz w:val="24"/>
          <w:szCs w:val="24"/>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lang w:val="pt-BR"/>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3">
        <w:r>
          <w:rPr>
            <w:rStyle w:val="Hyperlink"/>
            <w:rFonts w:cs="Times New Roman" w:ascii="Times New Roman" w:hAnsi="Times New Roman"/>
            <w:color w:val="0070C0"/>
            <w:sz w:val="24"/>
            <w:szCs w:val="24"/>
            <w:lang w:val="pt-BR"/>
          </w:rPr>
          <w:t>https://viesiejipirkimai.lt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4">
        <w:r>
          <w:rPr>
            <w:rStyle w:val="Hyperlink"/>
            <w:rFonts w:cs="Times New Roman" w:ascii="Times New Roman" w:hAnsi="Times New Roman"/>
            <w:color w:val="0070C0"/>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
          <w:bCs/>
          <w:sz w:val="24"/>
          <w:szCs w:val="24"/>
          <w:lang w:val="lt-LT"/>
        </w:rPr>
        <w:t xml:space="preserve">Įgaliotoji organizacija </w:t>
      </w:r>
      <w:r>
        <w:rPr>
          <w:rFonts w:cs="Times New Roman" w:ascii="Times New Roman" w:hAnsi="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4"/>
          <w:szCs w:val="24"/>
          <w:lang w:val="lt-LT"/>
        </w:rPr>
        <w:t xml:space="preserve"> </w:t>
      </w:r>
      <w:r>
        <w:rPr>
          <w:rFonts w:cs="Times New Roman" w:ascii="Times New Roman" w:hAnsi="Times New Roman"/>
          <w:sz w:val="24"/>
          <w:szCs w:val="24"/>
          <w:lang w:val="lt-LT"/>
        </w:rPr>
        <w:t>perkančiosios organizacijos įgaliota organizacija, nurodyta specialiosiose pirkimo sąlygose</w:t>
      </w:r>
      <w:r>
        <w:rPr>
          <w:rFonts w:cs="Times New Roman" w:ascii="Times New Roman" w:hAnsi="Times New Roman"/>
          <w:i/>
          <w:iCs/>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sz w:val="24"/>
          <w:szCs w:val="24"/>
          <w:lang w:val="pt-BR"/>
        </w:rPr>
      </w:pPr>
      <w:r>
        <w:rPr>
          <w:rFonts w:cs="Times New Roman" w:ascii="Times New Roman" w:hAnsi="Times New Roman"/>
          <w:b/>
          <w:sz w:val="24"/>
          <w:szCs w:val="24"/>
          <w:lang w:val="lt-LT"/>
        </w:rPr>
        <w:t>Pirkimas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b/>
          <w:bCs/>
          <w:sz w:val="24"/>
          <w:szCs w:val="24"/>
          <w:lang w:val="lt-LT"/>
        </w:rPr>
        <w:t>Preliminarioji sutartis</w:t>
      </w:r>
      <w:r>
        <w:rPr>
          <w:rFonts w:cs="Times New Roman" w:ascii="Times New Roman" w:hAnsi="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ascii="Times New Roman" w:hAnsi="Times New Roman"/>
          <w:sz w:val="24"/>
          <w:szCs w:val="24"/>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sz w:val="24"/>
          <w:szCs w:val="24"/>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bCs/>
          <w:sz w:val="24"/>
          <w:szCs w:val="24"/>
          <w:lang w:val="lt-LT"/>
        </w:rPr>
        <w:t xml:space="preserve">Tiekėjas </w:t>
      </w:r>
      <w:r>
        <w:rPr>
          <w:rFonts w:cs="Times New Roman" w:ascii="Times New Roman" w:hAnsi="Times New Roman"/>
          <w:sz w:val="24"/>
          <w:szCs w:val="24"/>
          <w:lang w:val="lt-LT"/>
        </w:rPr>
        <w:t xml:space="preserve">– </w:t>
      </w:r>
      <w:r>
        <w:rPr>
          <w:rFonts w:cs="Times New Roman" w:ascii="Times New Roman" w:hAnsi="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b/>
          <w:sz w:val="24"/>
          <w:szCs w:val="24"/>
          <w:lang w:val="lt-LT"/>
        </w:rPr>
        <w:t xml:space="preserve">Kvazisubtiekėjas </w:t>
      </w:r>
      <w:r>
        <w:rPr>
          <w:rFonts w:cs="Times New Roman" w:ascii="Times New Roman" w:hAnsi="Times New Roman"/>
          <w:sz w:val="24"/>
          <w:szCs w:val="24"/>
          <w:lang w:val="lt-LT"/>
        </w:rPr>
        <w:t>–</w:t>
      </w:r>
      <w:r>
        <w:rPr>
          <w:rFonts w:cs="Times New Roman" w:ascii="Times New Roman" w:hAnsi="Times New Roman"/>
          <w:b/>
          <w:sz w:val="24"/>
          <w:szCs w:val="24"/>
          <w:lang w:val="lt-LT"/>
        </w:rPr>
        <w:t xml:space="preserve"> </w:t>
      </w:r>
      <w:r>
        <w:rPr>
          <w:rFonts w:cs="Times New Roman" w:ascii="Times New Roman" w:hAnsi="Times New Roman"/>
          <w:color w:themeColor="text1"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sz w:val="24"/>
          <w:szCs w:val="24"/>
        </w:rPr>
      </w:pPr>
      <w:bookmarkStart w:id="1" w:name="_Toc126263049"/>
      <w:r>
        <w:rPr>
          <w:rFonts w:cs="Times New Roman" w:ascii="Times New Roman" w:hAnsi="Times New Roman"/>
          <w:color w:val="auto"/>
          <w:sz w:val="24"/>
          <w:szCs w:val="24"/>
          <w:lang w:val="lt-LT"/>
        </w:rPr>
        <w:t>Bendrosios nuostatos</w:t>
      </w:r>
      <w:bookmarkEnd w:id="1"/>
      <w:r>
        <w:rPr>
          <w:rFonts w:cs="Times New Roman" w:ascii="Times New Roman" w:hAnsi="Times New Roman"/>
          <w:color w:val="auto"/>
          <w:sz w:val="24"/>
          <w:szCs w:val="24"/>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sz w:val="24"/>
          <w:szCs w:val="24"/>
        </w:rPr>
      </w:pPr>
      <w:r>
        <w:rPr>
          <w:rFonts w:eastAsia="Calibri" w:cs="Times New Roman" w:ascii="Times New Roman" w:hAnsi="Times New Roman"/>
          <w:sz w:val="24"/>
          <w:szCs w:val="24"/>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sz w:val="24"/>
          <w:szCs w:val="24"/>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sz w:val="24"/>
          <w:szCs w:val="24"/>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sz w:val="24"/>
          <w:szCs w:val="24"/>
          <w:lang w:val="pt-BR"/>
        </w:rPr>
      </w:pPr>
      <w:r>
        <w:rPr>
          <w:rFonts w:eastAsia="Calibri" w:cs="Times New Roman" w:ascii="Times New Roman" w:hAnsi="Times New Roman"/>
          <w:sz w:val="24"/>
          <w:szCs w:val="24"/>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ascii="Times New Roman" w:hAnsi="Times New Roman"/>
          <w:sz w:val="24"/>
          <w:szCs w:val="24"/>
        </w:rPr>
      </w:pPr>
      <w:r>
        <w:rPr>
          <w:rFonts w:eastAsia="Calibri" w:cs="Times New Roman" w:ascii="Times New Roman" w:hAnsi="Times New Roman"/>
          <w:b/>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sz w:val="24"/>
          <w:szCs w:val="24"/>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sz w:val="24"/>
          <w:szCs w:val="24"/>
          <w:lang w:val="pt-BR"/>
        </w:rPr>
      </w:pPr>
      <w:r>
        <w:rPr>
          <w:rFonts w:eastAsia="Calibri" w:cs="Times New Roman" w:ascii="Times New Roman" w:hAnsi="Times New Roman"/>
          <w:sz w:val="24"/>
          <w:szCs w:val="24"/>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ascii="Times New Roman" w:hAnsi="Times New Roman"/>
          <w:sz w:val="24"/>
          <w:szCs w:val="24"/>
          <w:lang w:val="pt-BR"/>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rFonts w:cs="Times New Roman" w:ascii="Times New Roman" w:hAnsi="Times New Roman"/>
          <w:color w:themeColor="text1"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cs="Times New Roman" w:ascii="Times New Roman" w:hAnsi="Times New Roman"/>
          <w:color w:val="7030A0"/>
          <w:sz w:val="24"/>
          <w:szCs w:val="24"/>
          <w:lang w:val="lt-LT"/>
        </w:rPr>
        <w:t>(</w:t>
      </w:r>
      <w:r>
        <w:rPr>
          <w:rFonts w:cs="Times New Roman" w:ascii="Times New Roman" w:hAnsi="Times New Roman"/>
          <w:i/>
          <w:iCs/>
          <w:color w:val="7030A0"/>
          <w:sz w:val="24"/>
          <w:szCs w:val="24"/>
          <w:lang w:val="lt-LT"/>
        </w:rPr>
        <w:t>išskyrus politinio (asmeninio) pasitikėjimo valstybės tarnautojus ir valstybės politikus</w:t>
      </w:r>
      <w:r>
        <w:rPr>
          <w:rFonts w:cs="Times New Roman" w:ascii="Times New Roman" w:hAnsi="Times New Roman"/>
          <w:color w:val="7030A0"/>
          <w:sz w:val="24"/>
          <w:szCs w:val="24"/>
          <w:lang w:val="lt-LT"/>
        </w:rPr>
        <w:t>)</w:t>
      </w:r>
      <w:r>
        <w:rPr>
          <w:rFonts w:cs="Times New Roman" w:ascii="Times New Roman" w:hAnsi="Times New Roman"/>
          <w:color w:themeColor="text1" w:val="000000"/>
          <w:sz w:val="24"/>
          <w:szCs w:val="24"/>
          <w:lang w:val="lt-LT"/>
        </w:rPr>
        <w:t xml:space="preserve">, pateikę atstovaujamo subjekto įgaliojimą (toliau – stebėtojai). Stebėtojai </w:t>
      </w:r>
      <w:r>
        <w:rPr>
          <w:rFonts w:cs="Times New Roman" w:ascii="Times New Roman" w:hAnsi="Times New Roman"/>
          <w:sz w:val="24"/>
          <w:szCs w:val="24"/>
          <w:lang w:val="lt-LT"/>
        </w:rPr>
        <w:t xml:space="preserve">pirkimo procedūrose galės dalyvauti tik prieš tai pasirašę konfidencialumo pasižadėjimą, </w:t>
      </w:r>
      <w:r>
        <w:rPr>
          <w:rStyle w:val="HeaderChar"/>
          <w:rFonts w:cs="Times New Roman" w:ascii="Times New Roman" w:hAnsi="Times New Roman"/>
          <w:sz w:val="24"/>
          <w:szCs w:val="24"/>
        </w:rPr>
        <w:t xml:space="preserve"> </w:t>
      </w:r>
      <w:r>
        <w:rPr>
          <w:rStyle w:val="Cf01"/>
          <w:rFonts w:eastAsia="" w:cs="Times New Roman" w:ascii="Times New Roman" w:hAnsi="Times New Roman" w:eastAsiaTheme="majorEastAsia"/>
          <w:sz w:val="24"/>
          <w:szCs w:val="24"/>
          <w:lang w:val="lt-LT"/>
        </w:rPr>
        <w:t>Viešųjų ir privačių interesų derinimo įstatymo</w:t>
      </w:r>
      <w:r>
        <w:rPr>
          <w:rStyle w:val="Cf11"/>
          <w:rFonts w:cs="Times New Roman" w:ascii="Times New Roman" w:hAnsi="Times New Roman"/>
          <w:sz w:val="24"/>
          <w:szCs w:val="24"/>
          <w:lang w:val="lt-LT"/>
        </w:rPr>
        <w:t xml:space="preserve"> nustatyta tvarka deklaravę privačius interesus, </w:t>
      </w:r>
      <w:r>
        <w:rPr>
          <w:rStyle w:val="Cf21"/>
          <w:rFonts w:cs="Times New Roman" w:ascii="Times New Roman" w:hAnsi="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4"/>
          <w:szCs w:val="24"/>
          <w:lang w:val="lt-LT"/>
        </w:rPr>
        <w:t>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rFonts w:ascii="Times New Roman" w:hAnsi="Times New Roman"/>
          <w:sz w:val="24"/>
          <w:szCs w:val="24"/>
          <w:lang w:val="pt-BR"/>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sz w:val="24"/>
          <w:szCs w:val="24"/>
        </w:rPr>
      </w:pPr>
      <w:bookmarkStart w:id="2" w:name="_Toc126263050"/>
      <w:r>
        <w:rPr>
          <w:rFonts w:cs="Times New Roman" w:ascii="Times New Roman" w:hAnsi="Times New Roman"/>
          <w:color w:val="auto"/>
          <w:sz w:val="24"/>
          <w:szCs w:val="24"/>
          <w:lang w:val="lt-LT"/>
        </w:rPr>
        <w:t>Pirkimo objektas</w:t>
      </w:r>
      <w:bookmarkEnd w:id="2"/>
    </w:p>
    <w:p>
      <w:pPr>
        <w:pStyle w:val="NoSpacing"/>
        <w:numPr>
          <w:ilvl w:val="1"/>
          <w:numId w:val="5"/>
        </w:numPr>
        <w:spacing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Times New Roman" w:ascii="Times New Roman" w:hAnsi="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3"/>
        </w:numPr>
        <w:tabs>
          <w:tab w:val="clear" w:pos="720"/>
          <w:tab w:val="left" w:pos="567" w:leader="none"/>
        </w:tabs>
        <w:jc w:val="both"/>
        <w:rPr>
          <w:rFonts w:ascii="Times New Roman" w:hAnsi="Times New Roman"/>
          <w:sz w:val="24"/>
          <w:szCs w:val="24"/>
          <w:lang w:val="pt-BR"/>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color w:val="auto"/>
          <w:sz w:val="24"/>
          <w:szCs w:val="24"/>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sz w:val="24"/>
          <w:szCs w:val="24"/>
          <w:lang w:val="lt-LT"/>
        </w:rPr>
        <w:t xml:space="preserve"> </w:t>
      </w:r>
    </w:p>
    <w:p>
      <w:pPr>
        <w:pStyle w:val="ListParagraph"/>
        <w:numPr>
          <w:ilvl w:val="1"/>
          <w:numId w:val="3"/>
        </w:numPr>
        <w:spacing w:lineRule="auto" w:line="240" w:before="0" w:after="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rFonts w:cs="Times New Roman" w:ascii="Times New Roman" w:hAnsi="Times New Roman"/>
          <w:sz w:val="24"/>
          <w:szCs w:val="24"/>
          <w:lang w:val="lt-LT"/>
        </w:rPr>
        <w:t xml:space="preserve">Pirkimo dokumentai ir jų paaiškinimai bei papildymai skelbiami CVP IS adresu </w:t>
      </w:r>
      <w:hyperlink r:id="rId5">
        <w:r>
          <w:rPr>
            <w:rStyle w:val="Hyperlink"/>
            <w:rFonts w:cs="Times New Roman" w:ascii="Times New Roman" w:hAnsi="Times New Roman"/>
            <w:color w:val="0070C0"/>
            <w:sz w:val="24"/>
            <w:szCs w:val="24"/>
            <w:lang w:val="pt-BR"/>
          </w:rPr>
          <w:t>https://viesiejipirkimai.lt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6">
        <w:r>
          <w:rPr>
            <w:rStyle w:val="Hyperlink"/>
            <w:rFonts w:cs="Times New Roman" w:ascii="Times New Roman" w:hAnsi="Times New Roman"/>
            <w:color w:val="0070C0"/>
            <w:sz w:val="24"/>
            <w:szCs w:val="24"/>
          </w:rPr>
          <w:t>https://viesiejipirkimai.lt</w:t>
        </w:r>
      </w:hyperlink>
      <w:r>
        <w:rPr>
          <w:rFonts w:cs="Times New Roman" w:ascii="Times New Roman" w:hAnsi="Times New Roman"/>
          <w:sz w:val="24"/>
          <w:szCs w:val="24"/>
          <w:lang w:val="lt-LT"/>
        </w:rPr>
        <w:t xml:space="preserve">. </w:t>
      </w:r>
    </w:p>
    <w:p>
      <w:pPr>
        <w:pStyle w:val="ListParagraph"/>
        <w:numPr>
          <w:ilvl w:val="1"/>
          <w:numId w:val="3"/>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Perkančiosios organizacijos ir tiekėjų bendravimas ir keitimasis informacija</w:t>
      </w:r>
      <w:r>
        <w:rPr>
          <w:rFonts w:cs="Times New Roman" w:ascii="Times New Roman" w:hAnsi="Times New Roman"/>
          <w:color w:val="00B050"/>
          <w:sz w:val="24"/>
          <w:szCs w:val="24"/>
          <w:lang w:val="lt-LT"/>
        </w:rPr>
        <w:t xml:space="preserve"> </w:t>
      </w:r>
      <w:r>
        <w:rPr>
          <w:rFonts w:cs="Times New Roman" w:ascii="Times New Roman" w:hAnsi="Times New Roman"/>
          <w:sz w:val="24"/>
          <w:szCs w:val="24"/>
          <w:lang w:val="lt-LT"/>
        </w:rPr>
        <w:t>vyksta naudojantis CVP IS priemonėmis, išskyrus:</w:t>
      </w:r>
    </w:p>
    <w:p>
      <w:pPr>
        <w:pStyle w:val="ListParagraph"/>
        <w:numPr>
          <w:ilvl w:val="2"/>
          <w:numId w:val="3"/>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color w:themeColor="text1" w:val="000000"/>
          <w:sz w:val="24"/>
          <w:szCs w:val="24"/>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color w:val="000000"/>
          <w:sz w:val="24"/>
          <w:szCs w:val="24"/>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ascii="Times New Roman" w:hAnsi="Times New Roman"/>
          <w:sz w:val="24"/>
          <w:szCs w:val="24"/>
          <w:lang w:val="lt-LT"/>
        </w:rPr>
      </w:pPr>
      <w:r>
        <w:rPr>
          <w:rFonts w:cs="Times New Roman" w:ascii="Times New Roman" w:hAnsi="Times New Roman"/>
          <w:bCs/>
          <w:sz w:val="24"/>
          <w:szCs w:val="24"/>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sz w:val="24"/>
          <w:szCs w:val="24"/>
        </w:rPr>
      </w:pPr>
      <w:bookmarkStart w:id="16" w:name="_Toc126263052"/>
      <w:bookmarkStart w:id="17" w:name="_Toc48053162"/>
      <w:bookmarkStart w:id="18" w:name="_Ref38446835"/>
      <w:r>
        <w:rPr>
          <w:rFonts w:cs="Times New Roman" w:ascii="Times New Roman" w:hAnsi="Times New Roman"/>
          <w:color w:val="auto"/>
          <w:sz w:val="24"/>
          <w:szCs w:val="24"/>
          <w:lang w:val="lt-LT"/>
        </w:rPr>
        <w:t>Pirkimo dokumentų paaiškinimai ir patikslinimai</w:t>
      </w:r>
      <w:bookmarkEnd w:id="16"/>
      <w:bookmarkEnd w:id="17"/>
      <w:bookmarkEnd w:id="18"/>
      <w:r>
        <w:rPr>
          <w:rFonts w:cs="Times New Roman" w:ascii="Times New Roman" w:hAnsi="Times New Roman"/>
          <w:color w:val="auto"/>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sz w:val="24"/>
          <w:szCs w:val="24"/>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4"/>
          <w:szCs w:val="24"/>
          <w:lang w:val="lt-LT"/>
        </w:rPr>
        <w:t>dokumentus.</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sz w:val="24"/>
          <w:szCs w:val="24"/>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color w:val="auto"/>
          <w:sz w:val="24"/>
          <w:szCs w:val="24"/>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sz w:val="24"/>
          <w:szCs w:val="24"/>
        </w:rPr>
      </w:pP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 xml:space="preserve">Reikalavimai dėl tiekėjo, ūkio subjektų, kurių pajėgumais tiekėjas remiasi ir, jei taikoma, </w:t>
      </w:r>
      <w:bookmarkStart w:id="25" w:name="_Hlk41039660"/>
      <w:r>
        <w:rPr>
          <w:rFonts w:cs="Times New Roman" w:ascii="Times New Roman" w:hAnsi="Times New Roman"/>
          <w:sz w:val="24"/>
          <w:szCs w:val="24"/>
          <w:lang w:val="lt-LT"/>
        </w:rPr>
        <w:t xml:space="preserve">subtiekėjų </w:t>
      </w:r>
      <w:bookmarkEnd w:id="25"/>
      <w:r>
        <w:rPr>
          <w:rFonts w:cs="Times New Roman" w:ascii="Times New Roman" w:hAnsi="Times New Roman"/>
          <w:sz w:val="24"/>
          <w:szCs w:val="24"/>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specialiosiose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Times New Roman" w:hAnsi="Times New Roman"/>
          <w:sz w:val="24"/>
          <w:szCs w:val="24"/>
          <w:lang w:val="lt-LT"/>
        </w:rPr>
      </w:pPr>
      <w:bookmarkStart w:id="26" w:name="_Toc126263054"/>
      <w:bookmarkStart w:id="27" w:name="_Toc48053165"/>
      <w:r>
        <w:rPr>
          <w:rFonts w:cs="Times New Roman" w:ascii="Times New Roman" w:hAnsi="Times New Roman"/>
          <w:color w:val="auto"/>
          <w:sz w:val="24"/>
          <w:szCs w:val="24"/>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sz w:val="24"/>
          <w:szCs w:val="24"/>
        </w:rPr>
      </w:pPr>
      <w:bookmarkStart w:id="28" w:name="_Toc126263055"/>
      <w:bookmarkStart w:id="29" w:name="_Toc48053166"/>
      <w:r>
        <w:rPr>
          <w:rFonts w:cs="Times New Roman" w:ascii="Times New Roman" w:hAnsi="Times New Roman"/>
          <w:color w:val="auto"/>
          <w:sz w:val="24"/>
          <w:szCs w:val="24"/>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sz w:val="24"/>
          <w:szCs w:val="24"/>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sz w:val="24"/>
          <w:szCs w:val="24"/>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sz w:val="24"/>
          <w:szCs w:val="24"/>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sz w:val="24"/>
          <w:szCs w:val="24"/>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rFonts w:ascii="Times New Roman" w:hAnsi="Times New Roman"/>
          <w:sz w:val="24"/>
          <w:szCs w:val="24"/>
        </w:rPr>
      </w:pPr>
      <w:r>
        <w:rPr>
          <w:rFonts w:cs="Times New Roman" w:ascii="Times New Roman" w:hAnsi="Times New Roman"/>
          <w:color w:val="000000"/>
          <w:sz w:val="24"/>
          <w:szCs w:val="24"/>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turi </w:t>
      </w:r>
      <w:r>
        <w:rPr>
          <w:rFonts w:cs="Times New Roman" w:ascii="Times New Roman" w:hAnsi="Times New Roman"/>
          <w:color w:val="000000"/>
          <w:sz w:val="24"/>
          <w:szCs w:val="24"/>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 xml:space="preserve">Tiekėjas, ūkio subjektai, kurių pajėgumais tiekėjas remiasi, ir pasitelkiami subtiekėjai </w:t>
      </w:r>
      <w:r>
        <w:rPr>
          <w:rFonts w:cs="Times New Roman" w:ascii="Times New Roman" w:hAnsi="Times New Roman"/>
          <w:color w:themeColor="text1" w:val="000000"/>
          <w:sz w:val="24"/>
          <w:szCs w:val="24"/>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rFonts w:ascii="Times New Roman" w:hAnsi="Times New Roman"/>
          <w:sz w:val="24"/>
          <w:szCs w:val="24"/>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themeColor="text1"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r>
        <w:rPr>
          <w:rFonts w:cs="Times New Roman" w:ascii="Times New Roman" w:hAnsi="Times New Roman"/>
          <w:sz w:val="24"/>
          <w:szCs w:val="24"/>
          <w:lang w:val="lt-LT"/>
        </w:rPr>
        <w:t xml:space="preserve"> (</w:t>
      </w:r>
    </w:p>
    <w:p>
      <w:pPr>
        <w:pStyle w:val="ListParagraph"/>
        <w:numPr>
          <w:ilvl w:val="2"/>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color w:val="000000"/>
          <w:sz w:val="24"/>
          <w:szCs w:val="24"/>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8.6 punkte nustatytus reikalavimus pateikdamas tiekėjo patvirtintą deklaraciją.</w:t>
      </w:r>
    </w:p>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Heading1"/>
        <w:numPr>
          <w:ilvl w:val="0"/>
          <w:numId w:val="3"/>
        </w:numPr>
        <w:spacing w:lineRule="atLeast" w:line="20" w:before="360" w:after="120"/>
        <w:contextualSpacing/>
        <w:rPr>
          <w:rFonts w:ascii="Times New Roman" w:hAnsi="Times New Roman"/>
          <w:sz w:val="24"/>
          <w:szCs w:val="24"/>
          <w:lang w:val="pt-BR"/>
        </w:rPr>
      </w:pPr>
      <w:bookmarkStart w:id="37" w:name="_Toc126263056"/>
      <w:bookmarkStart w:id="38" w:name="_Toc48053167"/>
      <w:bookmarkStart w:id="39" w:name="_Ref48037709"/>
      <w:bookmarkStart w:id="40" w:name="_Ref48037697"/>
      <w:r>
        <w:rPr>
          <w:rFonts w:cs="Times New Roman" w:ascii="Times New Roman" w:hAnsi="Times New Roman"/>
          <w:color w:val="auto"/>
          <w:sz w:val="24"/>
          <w:szCs w:val="24"/>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ascii="Times New Roman" w:hAnsi="Times New Roman"/>
          <w:sz w:val="24"/>
          <w:szCs w:val="24"/>
          <w:lang w:val="pt-BR"/>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sz w:val="24"/>
          <w:szCs w:val="24"/>
        </w:rPr>
      </w:pPr>
      <w:bookmarkStart w:id="41" w:name="_Ref39744259"/>
      <w:r>
        <w:rPr>
          <w:rFonts w:cs="Times New Roman" w:ascii="Times New Roman" w:hAnsi="Times New Roman"/>
          <w:sz w:val="24"/>
          <w:szCs w:val="24"/>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ascii="Times New Roman" w:hAnsi="Times New Roman"/>
          <w:sz w:val="24"/>
          <w:szCs w:val="24"/>
        </w:rPr>
      </w:pPr>
      <w:bookmarkStart w:id="42" w:name="_Ref39744312"/>
      <w:r>
        <w:rPr>
          <w:rFonts w:cs="Times New Roman" w:ascii="Times New Roman" w:hAnsi="Times New Roman"/>
          <w:sz w:val="24"/>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7">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 nereikalauja tiekėjo pateikti dokumentų kaip nustatyta VPĮ 50 straipsnio 4 ir 6 dalyse, jeigu ji:</w:t>
      </w:r>
    </w:p>
    <w:p>
      <w:pPr>
        <w:pStyle w:val="ListParagraph"/>
        <w:numPr>
          <w:ilvl w:val="2"/>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sz w:val="24"/>
          <w:szCs w:val="24"/>
          <w:lang w:val="lt-LT"/>
        </w:rPr>
      </w:pPr>
      <w:r>
        <w:rPr>
          <w:rFonts w:cs="Times New Roman" w:ascii="Times New Roman" w:hAnsi="Times New Roman"/>
          <w:sz w:val="24"/>
          <w:szCs w:val="24"/>
          <w:lang w:val="lt-LT"/>
        </w:rPr>
        <w:t>šiuos dokumentus jau turi iš ankstesnių pirkimų procedūrų.</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specialiosiose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sz w:val="24"/>
          <w:szCs w:val="24"/>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sz w:val="24"/>
          <w:szCs w:val="24"/>
        </w:rPr>
      </w:pPr>
      <w:bookmarkStart w:id="43" w:name="_Hlk90906609"/>
      <w:bookmarkStart w:id="44" w:name="_Toc126263057"/>
      <w:bookmarkStart w:id="45" w:name="_Toc48053168"/>
      <w:r>
        <w:rPr>
          <w:rFonts w:cs="Times New Roman" w:ascii="Times New Roman" w:hAnsi="Times New Roman"/>
          <w:color w:val="auto"/>
          <w:sz w:val="24"/>
          <w:szCs w:val="24"/>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 (kvazisubtiekėjai).</w:t>
      </w:r>
    </w:p>
    <w:p>
      <w:pPr>
        <w:pStyle w:val="Body2"/>
        <w:numPr>
          <w:ilvl w:val="1"/>
          <w:numId w:val="3"/>
        </w:numPr>
        <w:spacing w:before="0" w:after="0"/>
        <w:ind w:firstLine="567" w:left="0"/>
        <w:rPr>
          <w:sz w:val="24"/>
          <w:szCs w:val="24"/>
          <w:lang w:val="lt-LT"/>
        </w:rPr>
      </w:pPr>
      <w:r>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4"/>
          <w:szCs w:val="24"/>
          <w:lang w:val="lt-LT"/>
        </w:rPr>
        <w:t xml:space="preserve">Tiekėjas, </w:t>
      </w:r>
      <w:r>
        <w:rPr>
          <w:rFonts w:cs="Times New Roman"/>
          <w:spacing w:val="2"/>
          <w:sz w:val="24"/>
          <w:szCs w:val="24"/>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r>
        <w:rPr>
          <w:rFonts w:eastAsia="Calibri" w:cs="Times New Roman" w:ascii="Times New Roman" w:hAnsi="Times New Roman"/>
          <w:sz w:val="24"/>
          <w:szCs w:val="24"/>
          <w:lang w:val="lt-LT"/>
        </w:rPr>
        <w:t xml:space="preserve"> tačiau tai negali sąlygoti draudžiamų susitarimų</w:t>
      </w:r>
      <w:r>
        <w:rPr>
          <w:rFonts w:eastAsia="Calibri" w:cs="Times New Roman" w:ascii="Times New Roman" w:hAnsi="Times New Roman"/>
          <w:bCs/>
          <w:sz w:val="24"/>
          <w:szCs w:val="24"/>
          <w:lang w:val="lt-LT"/>
        </w:rPr>
        <w:t>.</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4"/>
          <w:szCs w:val="24"/>
          <w:lang w:val="lt-LT"/>
        </w:rPr>
        <w:t xml:space="preserve"> </w:t>
      </w:r>
    </w:p>
    <w:p>
      <w:pPr>
        <w:pStyle w:val="Normal"/>
        <w:spacing w:lineRule="atLeast" w:line="2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Heading1"/>
        <w:numPr>
          <w:ilvl w:val="0"/>
          <w:numId w:val="3"/>
        </w:numPr>
        <w:tabs>
          <w:tab w:val="clear" w:pos="720"/>
          <w:tab w:val="left" w:pos="567" w:leader="none"/>
        </w:tabs>
        <w:spacing w:before="360" w:after="120"/>
        <w:contextualSpacing/>
        <w:rPr>
          <w:rFonts w:ascii="Times New Roman" w:hAnsi="Times New Roman"/>
          <w:sz w:val="24"/>
          <w:szCs w:val="24"/>
        </w:rPr>
      </w:pPr>
      <w:bookmarkStart w:id="46" w:name="_Toc126263058"/>
      <w:bookmarkStart w:id="47" w:name="_Toc48053169"/>
      <w:r>
        <w:rPr>
          <w:rFonts w:cs="Times New Roman" w:ascii="Times New Roman" w:hAnsi="Times New Roman"/>
          <w:color w:val="auto"/>
          <w:sz w:val="24"/>
          <w:szCs w:val="24"/>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sz w:val="24"/>
          <w:szCs w:val="24"/>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sz w:val="24"/>
          <w:szCs w:val="24"/>
        </w:rPr>
      </w:pPr>
      <w:r>
        <w:rPr>
          <w:rFonts w:eastAsia="Calibri" w:cs="Times New Roman" w:ascii="Times New Roman" w:hAnsi="Times New Roman"/>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Jeigu pagal specialiųjų pirkimo sąlygų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sz w:val="24"/>
          <w:szCs w:val="24"/>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sz w:val="24"/>
          <w:szCs w:val="24"/>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sz w:val="24"/>
          <w:szCs w:val="24"/>
        </w:rPr>
      </w:pPr>
      <w:bookmarkStart w:id="72" w:name="_Hlk90910113"/>
      <w:bookmarkEnd w:id="72"/>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Times New Roman" w:hAnsi="Times New Roman"/>
          <w:sz w:val="24"/>
          <w:szCs w:val="24"/>
        </w:rPr>
      </w:pPr>
      <w:bookmarkStart w:id="73" w:name="_Toc126263060"/>
      <w:bookmarkStart w:id="74" w:name="_Toc48053171"/>
      <w:bookmarkStart w:id="75" w:name="_Ref39666796"/>
      <w:bookmarkStart w:id="76" w:name="_Ref39666794"/>
      <w:bookmarkStart w:id="77" w:name="_Hlk90910113_Copy_1"/>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Times New Roman" w:ascii="Times New Roman" w:hAnsi="Times New Roman"/>
          <w:color w:val="auto"/>
          <w:sz w:val="24"/>
          <w:szCs w:val="24"/>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sz w:val="24"/>
          <w:szCs w:val="24"/>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sz w:val="24"/>
          <w:szCs w:val="24"/>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4"/>
          <w:szCs w:val="24"/>
          <w:shd w:fill="FFFFFF" w:val="clear"/>
          <w:lang w:val="lt-LT"/>
        </w:rPr>
        <w:t>pasiūlymo aspektų santrauką ir jų technines charakteristikas, taip, kad nebūtų galima nustatyti konfidencialios informacijos)</w:t>
      </w:r>
      <w:r>
        <w:rPr>
          <w:rFonts w:cs="Times New Roman" w:ascii="Times New Roman" w:hAnsi="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specialiosiose </w:t>
      </w:r>
      <w:r>
        <w:rPr>
          <w:rFonts w:cs="Times New Roman" w:ascii="Times New Roman" w:hAnsi="Times New Roman"/>
          <w:sz w:val="24"/>
          <w:szCs w:val="24"/>
          <w:lang w:val="lt-LT"/>
        </w:rPr>
        <w:t>pirkimo sąlygose</w:t>
      </w:r>
      <w:r>
        <w:rPr>
          <w:rFonts w:cs="Times New Roman" w:ascii="Times New Roman" w:hAnsi="Times New Roman"/>
          <w:bCs/>
          <w:sz w:val="24"/>
          <w:szCs w:val="24"/>
          <w:lang w:val="lt-LT"/>
        </w:rPr>
        <w:t>. Jeigu pasiūlyme nenurodytas jo galiojimo laikas, laikoma, kad pasiūlymas galioja tiek, kiek numatyta specialiosiose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sz w:val="24"/>
          <w:szCs w:val="24"/>
          <w:lang w:val="lt-LT"/>
        </w:rPr>
      </w:pPr>
      <w:r>
        <w:rPr>
          <w:rFonts w:cs="Times New Roman" w:ascii="Times New Roman" w:hAnsi="Times New Roman"/>
          <w:sz w:val="24"/>
          <w:szCs w:val="24"/>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rFonts w:ascii="Times New Roman" w:hAnsi="Times New Roman"/>
          <w:sz w:val="24"/>
          <w:szCs w:val="24"/>
          <w:lang w:val="lt-LT"/>
        </w:rPr>
      </w:pPr>
      <w:r>
        <w:rPr>
          <w:rFonts w:cs="Times New Roman" w:ascii="Times New Roman" w:hAnsi="Times New Roman"/>
          <w:sz w:val="24"/>
          <w:szCs w:val="24"/>
          <w:lang w:val="lt-LT"/>
        </w:rPr>
        <w:t>Pasiūlyme kaina nurodoma eurais</w:t>
      </w:r>
      <w:r>
        <w:rPr>
          <w:rFonts w:eastAsia="Calibri" w:cs="Times New Roman" w:ascii="Times New Roman" w:hAnsi="Times New Roman"/>
          <w:sz w:val="24"/>
          <w:szCs w:val="24"/>
          <w:lang w:val="lt-LT"/>
        </w:rPr>
        <w:t>.</w:t>
      </w:r>
      <w:r>
        <w:rPr>
          <w:rFonts w:cs="Times New Roman" w:ascii="Times New Roman" w:hAnsi="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Heading1"/>
        <w:tabs>
          <w:tab w:val="clear" w:pos="720"/>
          <w:tab w:val="left" w:pos="567" w:leader="none"/>
        </w:tabs>
        <w:spacing w:lineRule="atLeast" w:line="20" w:before="360" w:after="120"/>
        <w:contextualSpacing/>
        <w:rPr>
          <w:rFonts w:ascii="Times New Roman" w:hAnsi="Times New Roman"/>
          <w:sz w:val="24"/>
          <w:szCs w:val="24"/>
        </w:rPr>
      </w:pPr>
      <w:bookmarkStart w:id="86" w:name="_Toc126263061"/>
      <w:bookmarkStart w:id="87" w:name="_Toc48053175"/>
      <w:bookmarkStart w:id="88" w:name="_Hlk91497587"/>
      <w:bookmarkEnd w:id="88"/>
      <w:r>
        <w:rPr>
          <w:rFonts w:cs="Times New Roman" w:ascii="Times New Roman" w:hAnsi="Times New Roman"/>
          <w:color w:val="auto"/>
          <w:sz w:val="24"/>
          <w:szCs w:val="24"/>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sz w:val="24"/>
          <w:szCs w:val="24"/>
          <w:lang w:val="pt-BR"/>
        </w:rPr>
      </w:pPr>
      <w:bookmarkStart w:id="89" w:name="_Ref39754676"/>
      <w:bookmarkStart w:id="90" w:name="_Hlk91497587_Copy_1"/>
      <w:bookmarkEnd w:id="90"/>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sz w:val="24"/>
          <w:szCs w:val="24"/>
          <w:lang w:val="pt-BR"/>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Instrukciją, kaip tiekėjui užšifruoti pasiūlymą galima rasti </w:t>
      </w:r>
      <w:hyperlink r:id="rId8">
        <w:r>
          <w:rPr>
            <w:rStyle w:val="Hyperlink"/>
            <w:rFonts w:cs="Times New Roman" w:ascii="Times New Roman" w:hAnsi="Times New Roman"/>
            <w:b/>
            <w:bCs/>
            <w:sz w:val="24"/>
            <w:szCs w:val="24"/>
            <w:lang w:val="lt-LT"/>
          </w:rPr>
          <w:t>ČIA</w:t>
        </w:r>
        <w:r>
          <w:rPr>
            <w:rStyle w:val="Hyperlink"/>
            <w:rStyle w:val="FootnoteReference"/>
            <w:rFonts w:cs="Times New Roman" w:ascii="Times New Roman" w:hAnsi="Times New Roman"/>
            <w:b/>
            <w:bCs/>
            <w:sz w:val="24"/>
            <w:szCs w:val="24"/>
            <w:lang w:val="lt-LT"/>
          </w:rPr>
          <w:footnoteReference w:id="3"/>
        </w:r>
      </w:hyperlink>
      <w:r>
        <w:rPr>
          <w:rFonts w:cs="Times New Roman" w:ascii="Times New Roman" w:hAnsi="Times New Roman"/>
          <w:sz w:val="24"/>
          <w:szCs w:val="24"/>
          <w:lang w:val="lt-LT"/>
        </w:rPr>
        <w:t>.</w:t>
      </w:r>
    </w:p>
    <w:p>
      <w:pPr>
        <w:pStyle w:val="ListParagraph"/>
        <w:numPr>
          <w:ilvl w:val="2"/>
          <w:numId w:val="6"/>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b/>
          <w:sz w:val="24"/>
          <w:szCs w:val="24"/>
          <w:lang w:val="lt-LT"/>
        </w:rPr>
        <w:t xml:space="preserve">per 30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sz w:val="24"/>
          <w:szCs w:val="24"/>
          <w:lang w:val="lt-LT"/>
        </w:rPr>
      </w:pPr>
      <w:bookmarkStart w:id="91"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sz w:val="24"/>
          <w:szCs w:val="24"/>
        </w:rPr>
      </w:pPr>
      <w:bookmarkStart w:id="92"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ascii="Times New Roman" w:hAnsi="Times New Roman"/>
          <w:sz w:val="24"/>
          <w:szCs w:val="24"/>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sz w:val="24"/>
          <w:szCs w:val="24"/>
          <w:lang w:val="lt-LT"/>
        </w:rPr>
      </w:pPr>
      <w:bookmarkStart w:id="93"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Times New Roman" w:hAnsi="Times New Roman"/>
          <w:sz w:val="24"/>
          <w:szCs w:val="24"/>
        </w:rPr>
      </w:pPr>
      <w:bookmarkStart w:id="94" w:name="_Toc126263062"/>
      <w:bookmarkStart w:id="95" w:name="_Toc48053176"/>
      <w:bookmarkStart w:id="96" w:name="_Ref38971207"/>
      <w:bookmarkStart w:id="97" w:name="_Ref38971193"/>
      <w:bookmarkStart w:id="98" w:name="_Hlk91497725"/>
      <w:bookmarkEnd w:id="98"/>
      <w:r>
        <w:rPr>
          <w:rFonts w:cs="Times New Roman" w:ascii="Times New Roman" w:hAnsi="Times New Roman"/>
          <w:color w:val="auto"/>
          <w:sz w:val="24"/>
          <w:szCs w:val="24"/>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ascii="Times New Roman" w:hAnsi="Times New Roman"/>
          <w:sz w:val="24"/>
          <w:szCs w:val="24"/>
        </w:rPr>
      </w:pPr>
      <w:bookmarkStart w:id="99" w:name="_Hlk91497725_Copy_1"/>
      <w:bookmarkStart w:id="100" w:name="_Ref39756072"/>
      <w:bookmarkEnd w:id="99"/>
      <w:bookmarkEnd w:id="100"/>
      <w:r>
        <w:rPr>
          <w:rFonts w:cs="Times New Roman" w:ascii="Times New Roman" w:hAnsi="Times New Roman"/>
          <w:color w:themeColor="text1"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specialiosiose </w:t>
      </w:r>
      <w:r>
        <w:rPr>
          <w:rFonts w:cs="Times New Roman" w:ascii="Times New Roman" w:hAnsi="Times New Roman"/>
          <w:sz w:val="24"/>
          <w:szCs w:val="24"/>
          <w:lang w:val="lt-LT"/>
        </w:rPr>
        <w:t>pirkimo sąlygose nustatytą dieną.</w:t>
      </w:r>
    </w:p>
    <w:p>
      <w:pPr>
        <w:pStyle w:val="ListParagraph"/>
        <w:numPr>
          <w:ilvl w:val="1"/>
          <w:numId w:val="8"/>
        </w:numPr>
        <w:spacing w:lineRule="atLeast" w:line="20" w:before="0" w:after="0"/>
        <w:ind w:firstLine="709" w:left="0"/>
        <w:contextualSpacing/>
        <w:jc w:val="both"/>
        <w:rPr>
          <w:rFonts w:ascii="Times New Roman" w:hAnsi="Times New Roman"/>
          <w:sz w:val="24"/>
          <w:szCs w:val="24"/>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sz w:val="24"/>
          <w:szCs w:val="24"/>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vyks specialiosiose p</w:t>
      </w:r>
      <w:r>
        <w:rPr>
          <w:rFonts w:cs="Times New Roman" w:ascii="Times New Roman" w:hAnsi="Times New Roman"/>
          <w:sz w:val="24"/>
          <w:szCs w:val="24"/>
          <w:lang w:val="lt-LT"/>
        </w:rPr>
        <w:t>irkimo sąlygose nustatytą dieną.</w:t>
      </w:r>
    </w:p>
    <w:p>
      <w:pPr>
        <w:pStyle w:val="ListParagraph"/>
        <w:numPr>
          <w:ilvl w:val="2"/>
          <w:numId w:val="8"/>
        </w:numPr>
        <w:spacing w:lineRule="atLeast" w:line="2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ascii="Times New Roman" w:hAnsi="Times New Roman"/>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Times New Roman" w:hAnsi="Times New Roman"/>
          <w:sz w:val="24"/>
          <w:szCs w:val="24"/>
        </w:rPr>
      </w:pPr>
      <w:bookmarkStart w:id="102" w:name="_Toc126263063"/>
      <w:bookmarkStart w:id="103" w:name="_Toc48053177"/>
      <w:bookmarkStart w:id="104" w:name="_Ref39658251"/>
      <w:bookmarkStart w:id="105" w:name="_Ref39658248"/>
      <w:bookmarkStart w:id="106" w:name="_Ref39658226"/>
      <w:bookmarkStart w:id="107" w:name="_Ref39658218"/>
      <w:bookmarkStart w:id="108" w:name="_Ref39756072_Copy_1"/>
      <w:bookmarkEnd w:id="108"/>
      <w:r>
        <w:rPr>
          <w:rFonts w:cs="Times New Roman" w:ascii="Times New Roman" w:hAnsi="Times New Roman"/>
          <w:color w:val="auto"/>
          <w:sz w:val="24"/>
          <w:szCs w:val="24"/>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sz w:val="24"/>
          <w:szCs w:val="24"/>
        </w:rPr>
      </w:pPr>
      <w:bookmarkStart w:id="109" w:name="_Toc126263064"/>
      <w:bookmarkStart w:id="110" w:name="_Toc48053178"/>
      <w:bookmarkStart w:id="111" w:name="_Ref39667308"/>
      <w:bookmarkStart w:id="112" w:name="_Ref39667303"/>
      <w:r>
        <w:rPr>
          <w:rFonts w:cs="Times New Roman" w:ascii="Times New Roman" w:hAnsi="Times New Roman"/>
          <w:color w:val="auto"/>
          <w:sz w:val="24"/>
          <w:szCs w:val="24"/>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4"/>
          <w:szCs w:val="24"/>
          <w:lang w:val="lt-LT"/>
        </w:rPr>
        <w:t xml:space="preserve">tiekėjams ir (ar) jų įgaliotiesiems atstovams </w:t>
      </w:r>
      <w:bookmarkEnd w:id="113"/>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ascii="Times New Roman" w:hAnsi="Times New Roman"/>
          <w:sz w:val="24"/>
          <w:szCs w:val="24"/>
          <w:lang w:val="lt-LT"/>
        </w:rPr>
      </w:pPr>
      <w:r>
        <w:rPr>
          <w:rFonts w:eastAsia="Times New Roman" w:cs="Times New Roman" w:ascii="Times New Roman" w:hAnsi="Times New Roman"/>
          <w:color w:themeColor="text1"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4"/>
          <w:szCs w:val="24"/>
          <w:lang w:val="lt-LT"/>
        </w:rPr>
        <w:t>ir,</w:t>
      </w:r>
      <w:r>
        <w:rPr>
          <w:rFonts w:cs="Times New Roman" w:ascii="Times New Roman" w:hAnsi="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ascii="Times New Roman" w:hAnsi="Times New Roman"/>
          <w:sz w:val="24"/>
          <w:szCs w:val="24"/>
          <w:lang w:val="lt-LT"/>
        </w:rPr>
      </w:pPr>
      <w:r>
        <w:rPr>
          <w:rFonts w:cs="Times New Roman" w:ascii="Times New Roman" w:hAnsi="Times New Roman"/>
          <w:bCs/>
          <w:iCs/>
          <w:sz w:val="24"/>
          <w:szCs w:val="24"/>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4"/>
          <w:szCs w:val="24"/>
          <w:lang w:val="lt-LT"/>
        </w:rPr>
        <w:t>lygiateisiškumo ir skaidrumo principų)</w:t>
      </w:r>
      <w:r>
        <w:rPr>
          <w:rFonts w:cs="Times New Roman" w:ascii="Times New Roman" w:hAnsi="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4"/>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Times New Roman" w:hAnsi="Times New Roman"/>
          <w:sz w:val="24"/>
          <w:szCs w:val="24"/>
        </w:rPr>
      </w:pPr>
      <w:bookmarkStart w:id="114" w:name="_Toc126263065"/>
      <w:bookmarkStart w:id="115" w:name="_Toc48053179"/>
      <w:r>
        <w:rPr>
          <w:rFonts w:cs="Times New Roman" w:ascii="Times New Roman" w:hAnsi="Times New Roman"/>
          <w:color w:val="auto"/>
          <w:sz w:val="24"/>
          <w:szCs w:val="24"/>
          <w:lang w:val="lt-LT"/>
        </w:rPr>
        <w:t xml:space="preserve">Pasiūlymų atmetimo </w:t>
      </w:r>
      <w:bookmarkEnd w:id="115"/>
      <w:r>
        <w:rPr>
          <w:rFonts w:cs="Times New Roman" w:ascii="Times New Roman" w:hAnsi="Times New Roman"/>
          <w:color w:val="auto"/>
          <w:sz w:val="24"/>
          <w:szCs w:val="24"/>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sz w:val="24"/>
          <w:szCs w:val="24"/>
        </w:rPr>
      </w:pPr>
      <w:r>
        <w:rPr>
          <w:rFonts w:cs="Times New Roman" w:ascii="Times New Roman" w:hAnsi="Times New Roman"/>
          <w:sz w:val="24"/>
          <w:szCs w:val="24"/>
          <w:lang w:val="lt-LT"/>
        </w:rPr>
        <w:t>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sz w:val="24"/>
          <w:szCs w:val="24"/>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rFonts w:ascii="Times New Roman" w:hAnsi="Times New Roman"/>
          <w:sz w:val="24"/>
          <w:szCs w:val="24"/>
        </w:rPr>
      </w:pPr>
      <w:r>
        <w:rPr>
          <w:rFonts w:cs="Times New Roman" w:ascii="Times New Roman" w:hAnsi="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rFonts w:ascii="Times New Roman" w:hAnsi="Times New Roman"/>
          <w:sz w:val="24"/>
          <w:szCs w:val="24"/>
        </w:rPr>
      </w:pPr>
      <w:r>
        <w:rPr>
          <w:rFonts w:cs="Times New Roman" w:ascii="Times New Roman" w:hAnsi="Times New Roman"/>
          <w:sz w:val="24"/>
          <w:szCs w:val="24"/>
          <w:lang w:val="lt-LT"/>
        </w:rPr>
        <w:t xml:space="preserve">pasiūlymas neatitinka pirkimo dokumentų reikalavimų ir jo trūkumai negali būti ištaisyti vadovaujantis </w:t>
      </w:r>
      <w:r>
        <w:rPr>
          <w:rFonts w:cs="Times New Roman" w:ascii="Times New Roman" w:hAnsi="Times New Roman"/>
          <w:color w:val="000000"/>
          <w:sz w:val="24"/>
          <w:szCs w:val="24"/>
          <w:lang w:val="lt-LT"/>
        </w:rPr>
        <w:t>Viešųjų pirkimų tarnybos nustatytomis taisyklėmis</w:t>
      </w:r>
      <w:r>
        <w:rPr>
          <w:rStyle w:val="FootnoteReference"/>
          <w:rFonts w:cs="Times New Roman" w:ascii="Times New Roman" w:hAnsi="Times New Roman"/>
          <w:sz w:val="24"/>
          <w:szCs w:val="24"/>
          <w:lang w:val="lt-LT"/>
        </w:rPr>
        <w:footnoteReference w:id="5"/>
      </w:r>
      <w:r>
        <w:rPr>
          <w:rFonts w:cs="Times New Roman" w:ascii="Times New Roman" w:hAnsi="Times New Roman"/>
          <w:color w:val="000000"/>
          <w:sz w:val="24"/>
          <w:szCs w:val="24"/>
          <w:lang w:val="lt-LT"/>
        </w:rPr>
        <w:t>.</w:t>
      </w:r>
    </w:p>
    <w:p>
      <w:pPr>
        <w:pStyle w:val="ListParagraph"/>
        <w:numPr>
          <w:ilvl w:val="2"/>
          <w:numId w:val="10"/>
        </w:numPr>
        <w:spacing w:lineRule="auto" w:line="24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4"/>
          <w:szCs w:val="24"/>
          <w:lang w:val="lt-LT"/>
        </w:rPr>
        <w:t>perkančioji organizacija pirkimo dokumentuose nėra nurodžiusi pirkimui skirtų lėšų sumos,</w:t>
      </w:r>
      <w:r>
        <w:rPr>
          <w:rFonts w:cs="Times New Roman" w:ascii="Times New Roman" w:hAnsi="Times New Roman"/>
          <w:sz w:val="24"/>
          <w:szCs w:val="24"/>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pt-BR"/>
        </w:rPr>
      </w:pPr>
      <w:r>
        <w:rPr>
          <w:rFonts w:cs="Times New Roman" w:ascii="Times New Roman" w:hAnsi="Times New Roman"/>
          <w:color w:val="000000"/>
          <w:sz w:val="24"/>
          <w:szCs w:val="24"/>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pt-BR"/>
        </w:rPr>
      </w:pPr>
      <w:r>
        <w:rPr>
          <w:rFonts w:eastAsia="Arial" w:cs="Times New Roman" w:ascii="Times New Roman" w:hAnsi="Times New Roman"/>
          <w:sz w:val="24"/>
          <w:szCs w:val="24"/>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ascii="Times New Roman" w:hAnsi="Times New Roman"/>
          <w:sz w:val="24"/>
          <w:szCs w:val="24"/>
          <w:lang w:val="pt-BR"/>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sz w:val="24"/>
          <w:szCs w:val="24"/>
        </w:rPr>
      </w:pPr>
      <w:bookmarkStart w:id="116" w:name="_Toc126263066"/>
      <w:bookmarkStart w:id="117" w:name="_Toc48053180"/>
      <w:bookmarkStart w:id="118" w:name="_Ref40443104"/>
      <w:r>
        <w:rPr>
          <w:rFonts w:cs="Times New Roman" w:ascii="Times New Roman" w:hAnsi="Times New Roman"/>
          <w:color w:val="auto"/>
          <w:sz w:val="24"/>
          <w:szCs w:val="24"/>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rFonts w:ascii="Times New Roman" w:hAnsi="Times New Roman"/>
          <w:sz w:val="24"/>
          <w:szCs w:val="24"/>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sz w:val="24"/>
          <w:szCs w:val="24"/>
        </w:rPr>
      </w:pPr>
      <w:bookmarkStart w:id="119" w:name="_Hlk91498524"/>
      <w:bookmarkStart w:id="120" w:name="_Toc126263067"/>
      <w:r>
        <w:rPr>
          <w:rFonts w:cs="Times New Roman" w:ascii="Times New Roman" w:hAnsi="Times New Roman"/>
          <w:color w:val="auto"/>
          <w:sz w:val="24"/>
          <w:szCs w:val="24"/>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4"/>
          <w:szCs w:val="24"/>
          <w:lang w:val="lt-LT"/>
        </w:rPr>
        <w:t>iimtas sprendimas nesudaryti sutarties.</w:t>
      </w:r>
    </w:p>
    <w:p>
      <w:pPr>
        <w:pStyle w:val="ListParagraph"/>
        <w:numPr>
          <w:ilvl w:val="1"/>
          <w:numId w:val="10"/>
        </w:numPr>
        <w:spacing w:lineRule="atLeast" w:line="20" w:before="0" w:after="0"/>
        <w:ind w:firstLine="709" w:left="0"/>
        <w:contextualSpacing/>
        <w:jc w:val="both"/>
        <w:rPr>
          <w:lang w:val="lt-LT"/>
        </w:rPr>
      </w:pPr>
      <w:r>
        <w:rPr>
          <w:rStyle w:val="Cf01"/>
          <w:rFonts w:cs="Times New Roman" w:ascii="Times New Roman" w:hAnsi="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Times New Roman" w:hAnsi="Times New Roman"/>
          <w:sz w:val="24"/>
          <w:szCs w:val="24"/>
        </w:rPr>
      </w:pPr>
      <w:bookmarkStart w:id="121" w:name="_Toc126263068"/>
      <w:bookmarkStart w:id="122" w:name="_Toc48053182"/>
      <w:bookmarkStart w:id="123" w:name="_Ref39426005"/>
      <w:bookmarkStart w:id="124" w:name="_Ref39425999"/>
      <w:r>
        <w:rPr>
          <w:rFonts w:cs="Times New Roman" w:ascii="Times New Roman" w:hAnsi="Times New Roman"/>
          <w:color w:val="auto"/>
          <w:sz w:val="24"/>
          <w:szCs w:val="24"/>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specialiosiose </w:t>
      </w:r>
      <w:r>
        <w:rPr>
          <w:rFonts w:cs="Times New Roman" w:ascii="Times New Roman" w:hAnsi="Times New Roman"/>
          <w:sz w:val="24"/>
          <w:szCs w:val="24"/>
          <w:lang w:val="lt-LT"/>
        </w:rPr>
        <w:t>pirkimo sąlygose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ascii="Times New Roman" w:hAnsi="Times New Roman"/>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ascii="Times New Roman" w:hAnsi="Times New Roman"/>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ascii="Times New Roman" w:hAnsi="Times New Roman"/>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ascii="Times New Roman" w:hAnsi="Times New Roman"/>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ascii="Times New Roman" w:hAnsi="Times New Roman"/>
          <w:sz w:val="24"/>
          <w:szCs w:val="24"/>
          <w:lang w:val="lt-LT"/>
        </w:rPr>
      </w:pPr>
      <w:r>
        <w:rPr>
          <w:rFonts w:cs="Times New Roman" w:ascii="Times New Roman" w:hAnsi="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4"/>
          <w:szCs w:val="24"/>
          <w:lang w:val="lt-LT"/>
        </w:rPr>
        <w:t xml:space="preserve"> </w:t>
      </w:r>
      <w:r>
        <w:rPr>
          <w:rFonts w:cs="Times New Roman" w:ascii="Times New Roman" w:hAnsi="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ascii="Times New Roman" w:hAnsi="Times New Roman"/>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cs="Times New Roman" w:ascii="Times New Roman" w:hAnsi="Times New Roman"/>
          <w:color w:val="000000"/>
          <w:sz w:val="24"/>
          <w:szCs w:val="24"/>
          <w:lang w:val="lt-LT"/>
        </w:rPr>
        <w:t xml:space="preserve">Informaciją apie žodžiu sudarytas sutartis </w:t>
      </w:r>
      <w:r>
        <w:rPr>
          <w:rFonts w:cs="Times New Roman" w:ascii="Times New Roman" w:hAnsi="Times New Roman"/>
          <w:i/>
          <w:iCs/>
          <w:color w:val="7030A0"/>
          <w:sz w:val="24"/>
          <w:szCs w:val="24"/>
          <w:lang w:val="lt-LT"/>
        </w:rPr>
        <w:t>(supaprastintų pirkimų atveju)</w:t>
      </w:r>
      <w:r>
        <w:rPr>
          <w:rFonts w:cs="Times New Roman" w:ascii="Times New Roman" w:hAnsi="Times New Roman"/>
          <w:color w:val="7030A0"/>
          <w:sz w:val="24"/>
          <w:szCs w:val="24"/>
          <w:lang w:val="lt-LT"/>
        </w:rPr>
        <w:t xml:space="preserve"> </w:t>
      </w:r>
      <w:r>
        <w:rPr>
          <w:rFonts w:cs="Times New Roman" w:ascii="Times New Roman" w:hAnsi="Times New Roman"/>
          <w:color w:val="000000"/>
          <w:sz w:val="24"/>
          <w:szCs w:val="24"/>
          <w:lang w:val="lt-LT"/>
        </w:rPr>
        <w:t>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sz w:val="24"/>
          <w:szCs w:val="24"/>
          <w:lang w:val="pt-BR"/>
        </w:rPr>
      </w:pPr>
      <w:bookmarkStart w:id="125" w:name="_Hlk91498650"/>
      <w:r>
        <w:rPr>
          <w:rFonts w:cs="Times New Roman" w:ascii="Times New Roman" w:hAnsi="Times New Roman"/>
          <w:color w:val="auto"/>
          <w:sz w:val="24"/>
          <w:szCs w:val="24"/>
          <w:lang w:val="lt-LT"/>
        </w:rPr>
        <w:t xml:space="preserve"> </w:t>
      </w:r>
      <w:bookmarkStart w:id="126" w:name="_Toc126263069"/>
      <w:r>
        <w:rPr>
          <w:rFonts w:cs="Times New Roman" w:ascii="Times New Roman" w:hAnsi="Times New Roman"/>
          <w:color w:val="auto"/>
          <w:sz w:val="24"/>
          <w:szCs w:val="24"/>
          <w:lang w:val="lt-LT"/>
        </w:rPr>
        <w:t>Teisė ginčyti perkančiosios organizacijos veiksmus ar priimtus sprendimus</w:t>
      </w:r>
      <w:bookmarkEnd w:id="126"/>
      <w:r>
        <w:rPr>
          <w:rFonts w:cs="Times New Roman" w:ascii="Times New Roman" w:hAnsi="Times New Roman"/>
          <w:color w:val="auto"/>
          <w:sz w:val="24"/>
          <w:szCs w:val="24"/>
          <w:lang w:val="lt-LT"/>
        </w:rPr>
        <w:tab/>
      </w:r>
      <w:bookmarkEnd w:id="125"/>
    </w:p>
    <w:p>
      <w:pPr>
        <w:pStyle w:val="ListParagraph"/>
        <w:numPr>
          <w:ilvl w:val="1"/>
          <w:numId w:val="10"/>
        </w:numPr>
        <w:spacing w:lineRule="atLeast" w:line="20" w:before="0" w:after="120"/>
        <w:ind w:firstLine="567" w:left="0"/>
        <w:contextualSpacing/>
        <w:jc w:val="both"/>
        <w:rPr>
          <w:rFonts w:ascii="Times New Roman" w:hAnsi="Times New Roman"/>
          <w:sz w:val="24"/>
          <w:szCs w:val="24"/>
          <w:lang w:val="pt-BR"/>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sz w:val="24"/>
          <w:szCs w:val="24"/>
          <w:lang w:val="pt-BR"/>
        </w:rPr>
      </w:pPr>
      <w:r>
        <w:rPr>
          <w:rFonts w:eastAsia="Arial" w:cs="Times New Roman" w:ascii="Times New Roman" w:hAnsi="Times New Roman"/>
          <w:sz w:val="24"/>
          <w:szCs w:val="24"/>
          <w:lang w:val="lt-LT"/>
        </w:rPr>
        <w:t xml:space="preserve">Tiekėjas, norėdamas iki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sz w:val="24"/>
          <w:szCs w:val="24"/>
          <w:lang w:val="pt-BR"/>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sz w:val="24"/>
          <w:szCs w:val="24"/>
        </w:rPr>
      </w:pPr>
      <w:r>
        <w:rPr>
          <w:rFonts w:cs="Times New Roman" w:ascii="Times New Roman" w:hAnsi="Times New Roman"/>
          <w:sz w:val="24"/>
          <w:szCs w:val="24"/>
          <w:lang w:val="lt-LT"/>
        </w:rPr>
        <w:t>_____________</w:t>
      </w:r>
    </w:p>
    <w:sectPr>
      <w:headerReference w:type="default" r:id="rId9"/>
      <w:headerReference w:type="first" r:id="rId10"/>
      <w:footerReference w:type="default" r:id="rId11"/>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18</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iesiejipirkimai.lt/" TargetMode="External"/><Relationship Id="rId4" Type="http://schemas.openxmlformats.org/officeDocument/2006/relationships/hyperlink" Target="http://ebvpd.eviesiejipirkimai.lt/espd-web/" TargetMode="External"/><Relationship Id="rId5" Type="http://schemas.openxmlformats.org/officeDocument/2006/relationships/hyperlink" Target="https://viesiejipirkimai.lt/" TargetMode="External"/><Relationship Id="rId6" Type="http://schemas.openxmlformats.org/officeDocument/2006/relationships/hyperlink" Target="https://viesiejipirkimai.lt/" TargetMode="External"/><Relationship Id="rId7" Type="http://schemas.openxmlformats.org/officeDocument/2006/relationships/hyperlink" Target="http://ebvpd.eviesiejipirkimai.lt/espd-web/" TargetMode="External"/><Relationship Id="rId8" Type="http://schemas.openxmlformats.org/officeDocument/2006/relationships/hyperlink" Target="https://vpt.lrv.lt/uploads/vpt/documents/files/LT_versija/CVP_IS/Mokymu_medziaga/Tiekejams/Uzsifravimo_instrukcija.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19</Pages>
  <Words>7486</Words>
  <Characters>54665</Characters>
  <CharactersWithSpaces>61817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2026-01-16T11:38:00Z</dcterms:created>
  <dc:creator>Arūnė Andrulionienė</dc:creator>
  <dc:description/>
  <dc:language>en-US</dc:language>
  <cp:lastModifiedBy/>
  <dcterms:modified xsi:type="dcterms:W3CDTF">2026-03-03T23:24:25Z</dcterms:modified>
  <cp:revision>3</cp:revision>
  <dc:subject>2024-11-26 versija, skelbiama https://vpt.lrv.lt/</dc:subject>
  <dc:title>Viešojo pirkimo atviro konkurso „Kalbų laboratorinė įranga“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