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113F0E"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8AC268F" w:rsidR="00B757D3" w:rsidRPr="00455D9F" w:rsidRDefault="00B757D3" w:rsidP="00B757D3">
      <w:pPr>
        <w:jc w:val="center"/>
        <w:rPr>
          <w:b/>
          <w:bCs/>
          <w:caps/>
          <w:smallCaps/>
          <w:color w:val="000000"/>
          <w:lang w:val="lt-LT" w:eastAsia="en-US"/>
        </w:rPr>
      </w:pPr>
      <w:r w:rsidRPr="00455D9F">
        <w:rPr>
          <w:b/>
          <w:color w:val="000000"/>
          <w:lang w:val="lt-LT" w:eastAsia="en-US"/>
        </w:rPr>
        <w:t>„</w:t>
      </w:r>
      <w:r w:rsidR="00113F0E">
        <w:rPr>
          <w:b/>
          <w:color w:val="000000"/>
          <w:lang w:val="lt-LT" w:eastAsia="en-US"/>
        </w:rPr>
        <w:t>TELEVIZORIAI</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Default="00B757D3" w:rsidP="00A96B4A">
      <w:pPr>
        <w:rPr>
          <w:b/>
          <w:lang w:val="lt-LT"/>
        </w:rPr>
      </w:pPr>
    </w:p>
    <w:p w14:paraId="430C8255" w14:textId="77777777" w:rsidR="00113F0E" w:rsidRDefault="00113F0E" w:rsidP="00A96B4A">
      <w:pPr>
        <w:rPr>
          <w:b/>
          <w:lang w:val="lt-LT"/>
        </w:rPr>
      </w:pPr>
    </w:p>
    <w:p w14:paraId="1B8D16A9" w14:textId="77777777" w:rsidR="00113F0E" w:rsidRDefault="00113F0E" w:rsidP="00A96B4A">
      <w:pPr>
        <w:rPr>
          <w:b/>
          <w:lang w:val="lt-LT"/>
        </w:rPr>
      </w:pPr>
    </w:p>
    <w:p w14:paraId="53E659AA" w14:textId="77777777" w:rsidR="00113F0E" w:rsidRDefault="00113F0E" w:rsidP="00A96B4A">
      <w:pPr>
        <w:rPr>
          <w:b/>
          <w:lang w:val="lt-LT"/>
        </w:rPr>
      </w:pPr>
    </w:p>
    <w:p w14:paraId="7E2F500B" w14:textId="77777777" w:rsidR="00113F0E" w:rsidRPr="00455D9F" w:rsidRDefault="00113F0E"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3180CA06"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113F0E">
        <w:rPr>
          <w:rFonts w:eastAsia="Calibri"/>
          <w:color w:val="000000"/>
          <w:lang w:val="lt-LT" w:eastAsia="lt-LT"/>
        </w:rPr>
        <w:t>televizoriams</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113F0E" w:rsidRPr="00113F0E">
        <w:rPr>
          <w:lang w:val="lt-LT" w:eastAsia="lt-LT"/>
        </w:rPr>
        <w:t>32324000-0 – „Televizoriai“</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 xml:space="preserve">+370349 69042, adresas: Žeimių g. 19, Jonava; el. paštas: </w:t>
      </w:r>
      <w:proofErr w:type="spellStart"/>
      <w:r w:rsidR="00C10636" w:rsidRPr="00455D9F">
        <w:rPr>
          <w:color w:val="000000"/>
          <w:lang w:val="lt-LT" w:eastAsia="lt-LT"/>
        </w:rPr>
        <w:t>tatjana.seliugina@jonavospspc.lt</w:t>
      </w:r>
      <w:proofErr w:type="spellEnd"/>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5D6092C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9B0CBF">
        <w:rPr>
          <w:lang w:val="lt-LT" w:eastAsia="lt-LT"/>
        </w:rPr>
        <w:t>10</w:t>
      </w:r>
      <w:r w:rsidR="00455D9F" w:rsidRPr="00455D9F">
        <w:rPr>
          <w:lang w:val="lt-LT" w:eastAsia="lt-LT"/>
        </w:rPr>
        <w:t xml:space="preserve"> </w:t>
      </w:r>
      <w:r w:rsidR="009B0CBF">
        <w:rPr>
          <w:lang w:val="lt-LT" w:eastAsia="lt-LT"/>
        </w:rPr>
        <w:t>darbo dienų</w:t>
      </w:r>
      <w:r w:rsidR="00455D9F" w:rsidRPr="00455D9F">
        <w:rPr>
          <w:lang w:val="lt-LT" w:eastAsia="lt-LT"/>
        </w:rPr>
        <w:t xml:space="preserve">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9"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1E941C1E"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9B0CBF">
        <w:rPr>
          <w:b/>
          <w:bCs/>
          <w:iCs/>
          <w:color w:val="000000"/>
          <w:u w:val="single"/>
          <w:lang w:val="lt-LT" w:eastAsia="en-US"/>
        </w:rPr>
        <w:t xml:space="preserve">kovo </w:t>
      </w:r>
      <w:r w:rsidR="00DB28EF">
        <w:rPr>
          <w:b/>
          <w:bCs/>
          <w:iCs/>
          <w:color w:val="000000"/>
          <w:u w:val="single"/>
          <w:lang w:val="lt-LT" w:eastAsia="en-US"/>
        </w:rPr>
        <w:t>1</w:t>
      </w:r>
      <w:r w:rsidR="00113F0E">
        <w:rPr>
          <w:b/>
          <w:bCs/>
          <w:iCs/>
          <w:color w:val="000000"/>
          <w:u w:val="single"/>
          <w:lang w:val="lt-LT" w:eastAsia="en-US"/>
        </w:rPr>
        <w:t>9</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0"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673B87BA"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w:t>
      </w:r>
      <w:r w:rsidR="009B0CBF">
        <w:rPr>
          <w:b/>
          <w:bCs/>
          <w:color w:val="000000"/>
          <w:lang w:val="lt-LT" w:eastAsia="en-US"/>
        </w:rPr>
        <w:t>03-</w:t>
      </w:r>
      <w:r w:rsidR="00DB28EF">
        <w:rPr>
          <w:b/>
          <w:bCs/>
          <w:color w:val="000000"/>
          <w:lang w:val="lt-LT" w:eastAsia="en-US"/>
        </w:rPr>
        <w:t>1</w:t>
      </w:r>
      <w:r w:rsidR="00113F0E">
        <w:rPr>
          <w:b/>
          <w:bCs/>
          <w:color w:val="000000"/>
          <w:lang w:val="lt-LT" w:eastAsia="en-US"/>
        </w:rPr>
        <w:t>9</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w:t>
      </w:r>
      <w:r w:rsidR="009B0CBF">
        <w:rPr>
          <w:b/>
          <w:bCs/>
          <w:color w:val="000000"/>
          <w:lang w:val="lt-LT" w:eastAsia="en-US"/>
        </w:rPr>
        <w:t>03-</w:t>
      </w:r>
      <w:r w:rsidR="00DB28EF">
        <w:rPr>
          <w:b/>
          <w:bCs/>
          <w:color w:val="000000"/>
          <w:lang w:val="lt-LT" w:eastAsia="en-US"/>
        </w:rPr>
        <w:t>1</w:t>
      </w:r>
      <w:r w:rsidR="00113F0E">
        <w:rPr>
          <w:b/>
          <w:bCs/>
          <w:color w:val="000000"/>
          <w:lang w:val="lt-LT" w:eastAsia="en-US"/>
        </w:rPr>
        <w:t>9</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9B0CBF">
        <w:rPr>
          <w:b/>
          <w:iCs/>
          <w:u w:val="single"/>
          <w:lang w:val="lt-LT" w:eastAsia="en-US"/>
        </w:rPr>
        <w:t xml:space="preserve">kovo </w:t>
      </w:r>
      <w:r w:rsidR="00DB28EF">
        <w:rPr>
          <w:b/>
          <w:iCs/>
          <w:u w:val="single"/>
          <w:lang w:val="lt-LT" w:eastAsia="en-US"/>
        </w:rPr>
        <w:t>1</w:t>
      </w:r>
      <w:r w:rsidR="00113F0E">
        <w:rPr>
          <w:b/>
          <w:iCs/>
          <w:u w:val="single"/>
          <w:lang w:val="lt-LT" w:eastAsia="en-US"/>
        </w:rPr>
        <w:t>9</w:t>
      </w:r>
      <w:r w:rsidR="00AF7325">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587180B9" w14:textId="7083774A" w:rsidR="00455D9F" w:rsidRPr="00455D9F" w:rsidRDefault="00B757D3" w:rsidP="00113F0E">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w:t>
      </w: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455D9F">
        <w:rPr>
          <w:lang w:val="lt-LT" w:eastAsia="en-US"/>
        </w:rPr>
        <w:lastRenderedPageBreak/>
        <w:t>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1"/>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7C99B4AB" w:rsidR="00787D50" w:rsidRPr="00455D9F" w:rsidRDefault="00113F0E" w:rsidP="00787D50">
      <w:pPr>
        <w:jc w:val="center"/>
        <w:rPr>
          <w:b/>
          <w:color w:val="000000"/>
          <w:lang w:val="lt-LT" w:eastAsia="en-US"/>
        </w:rPr>
      </w:pPr>
      <w:r>
        <w:rPr>
          <w:b/>
          <w:color w:val="000000"/>
          <w:lang w:val="lt-LT" w:eastAsia="en-US"/>
        </w:rPr>
        <w:t>TELEVIZORIŲ</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113F0E"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113F0E"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113F0E"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113F0E"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113F0E"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2214"/>
        <w:gridCol w:w="899"/>
        <w:gridCol w:w="747"/>
        <w:gridCol w:w="996"/>
        <w:gridCol w:w="996"/>
        <w:gridCol w:w="1744"/>
        <w:gridCol w:w="1744"/>
      </w:tblGrid>
      <w:tr w:rsidR="00AF7325" w:rsidRPr="00113F0E" w14:paraId="405AD1A5" w14:textId="77777777" w:rsidTr="00113F0E">
        <w:trPr>
          <w:trHeight w:val="316"/>
        </w:trPr>
        <w:tc>
          <w:tcPr>
            <w:tcW w:w="622" w:type="dxa"/>
            <w:tcBorders>
              <w:top w:val="single" w:sz="6" w:space="0" w:color="auto"/>
              <w:left w:val="single" w:sz="6" w:space="0" w:color="auto"/>
              <w:bottom w:val="single" w:sz="6" w:space="0" w:color="auto"/>
              <w:right w:val="single" w:sz="6" w:space="0" w:color="auto"/>
            </w:tcBorders>
          </w:tcPr>
          <w:p w14:paraId="0B5ED972" w14:textId="77777777" w:rsidR="00AF7325" w:rsidRPr="00455D9F" w:rsidRDefault="00AF7325" w:rsidP="007F4AA8">
            <w:pPr>
              <w:jc w:val="center"/>
              <w:rPr>
                <w:b/>
                <w:sz w:val="18"/>
                <w:szCs w:val="18"/>
                <w:lang w:val="lt-LT"/>
              </w:rPr>
            </w:pPr>
            <w:r w:rsidRPr="00455D9F">
              <w:rPr>
                <w:b/>
                <w:sz w:val="18"/>
                <w:szCs w:val="18"/>
                <w:lang w:val="lt-LT"/>
              </w:rPr>
              <w:t>Eil.</w:t>
            </w:r>
          </w:p>
          <w:p w14:paraId="50C89619" w14:textId="77777777" w:rsidR="00AF7325" w:rsidRPr="00455D9F" w:rsidRDefault="00AF7325" w:rsidP="007F4AA8">
            <w:pPr>
              <w:jc w:val="center"/>
              <w:rPr>
                <w:b/>
                <w:sz w:val="18"/>
                <w:szCs w:val="18"/>
                <w:lang w:val="lt-LT"/>
              </w:rPr>
            </w:pPr>
            <w:r w:rsidRPr="00455D9F">
              <w:rPr>
                <w:b/>
                <w:sz w:val="18"/>
                <w:szCs w:val="18"/>
                <w:lang w:val="lt-LT"/>
              </w:rPr>
              <w:t>Nr.</w:t>
            </w:r>
          </w:p>
        </w:tc>
        <w:tc>
          <w:tcPr>
            <w:tcW w:w="2214" w:type="dxa"/>
            <w:tcBorders>
              <w:top w:val="single" w:sz="6" w:space="0" w:color="auto"/>
              <w:left w:val="single" w:sz="6" w:space="0" w:color="auto"/>
              <w:bottom w:val="single" w:sz="6" w:space="0" w:color="auto"/>
              <w:right w:val="single" w:sz="6" w:space="0" w:color="auto"/>
            </w:tcBorders>
          </w:tcPr>
          <w:p w14:paraId="3A3312F3" w14:textId="77777777" w:rsidR="00AF7325" w:rsidRPr="00455D9F" w:rsidRDefault="00AF7325" w:rsidP="007F4AA8">
            <w:pPr>
              <w:jc w:val="center"/>
              <w:rPr>
                <w:b/>
                <w:sz w:val="18"/>
                <w:szCs w:val="18"/>
                <w:lang w:val="lt-LT"/>
              </w:rPr>
            </w:pPr>
            <w:r w:rsidRPr="00455D9F">
              <w:rPr>
                <w:b/>
                <w:sz w:val="18"/>
                <w:szCs w:val="18"/>
                <w:lang w:val="lt-LT"/>
              </w:rPr>
              <w:t>Pavadinimas</w:t>
            </w:r>
          </w:p>
        </w:tc>
        <w:tc>
          <w:tcPr>
            <w:tcW w:w="899" w:type="dxa"/>
            <w:tcBorders>
              <w:top w:val="single" w:sz="6" w:space="0" w:color="auto"/>
              <w:left w:val="single" w:sz="6" w:space="0" w:color="auto"/>
              <w:bottom w:val="single" w:sz="6" w:space="0" w:color="auto"/>
              <w:right w:val="single" w:sz="6" w:space="0" w:color="auto"/>
            </w:tcBorders>
          </w:tcPr>
          <w:p w14:paraId="546AD442" w14:textId="77777777" w:rsidR="00AF7325" w:rsidRPr="00455D9F" w:rsidRDefault="00AF7325" w:rsidP="007F4AA8">
            <w:pPr>
              <w:jc w:val="center"/>
              <w:rPr>
                <w:b/>
                <w:sz w:val="18"/>
                <w:szCs w:val="18"/>
                <w:lang w:val="lt-LT"/>
              </w:rPr>
            </w:pPr>
            <w:r w:rsidRPr="00455D9F">
              <w:rPr>
                <w:b/>
                <w:sz w:val="18"/>
                <w:szCs w:val="18"/>
                <w:lang w:val="lt-LT"/>
              </w:rPr>
              <w:t>Mato vienetas</w:t>
            </w:r>
          </w:p>
        </w:tc>
        <w:tc>
          <w:tcPr>
            <w:tcW w:w="747" w:type="dxa"/>
            <w:tcBorders>
              <w:top w:val="single" w:sz="6" w:space="0" w:color="auto"/>
              <w:left w:val="single" w:sz="6" w:space="0" w:color="auto"/>
              <w:bottom w:val="single" w:sz="6" w:space="0" w:color="auto"/>
              <w:right w:val="single" w:sz="6" w:space="0" w:color="auto"/>
            </w:tcBorders>
          </w:tcPr>
          <w:p w14:paraId="215DDBF8" w14:textId="77777777" w:rsidR="00AF7325" w:rsidRPr="00455D9F" w:rsidRDefault="00AF7325" w:rsidP="007F4AA8">
            <w:pPr>
              <w:jc w:val="center"/>
              <w:rPr>
                <w:b/>
                <w:sz w:val="18"/>
                <w:szCs w:val="18"/>
                <w:lang w:val="lt-LT"/>
              </w:rPr>
            </w:pPr>
            <w:r w:rsidRPr="00455D9F">
              <w:rPr>
                <w:b/>
                <w:sz w:val="18"/>
                <w:szCs w:val="18"/>
                <w:lang w:val="lt-LT"/>
              </w:rPr>
              <w:t>Kiekis</w:t>
            </w:r>
          </w:p>
        </w:tc>
        <w:tc>
          <w:tcPr>
            <w:tcW w:w="996" w:type="dxa"/>
            <w:tcBorders>
              <w:top w:val="single" w:sz="6" w:space="0" w:color="auto"/>
              <w:left w:val="single" w:sz="6" w:space="0" w:color="auto"/>
              <w:bottom w:val="single" w:sz="6" w:space="0" w:color="auto"/>
              <w:right w:val="single" w:sz="6" w:space="0" w:color="auto"/>
            </w:tcBorders>
          </w:tcPr>
          <w:p w14:paraId="467662D0" w14:textId="77777777" w:rsidR="00AF7325" w:rsidRPr="00455D9F" w:rsidRDefault="00AF7325" w:rsidP="007F4AA8">
            <w:pPr>
              <w:jc w:val="center"/>
              <w:rPr>
                <w:b/>
                <w:sz w:val="18"/>
                <w:szCs w:val="18"/>
                <w:lang w:val="lt-LT"/>
              </w:rPr>
            </w:pPr>
            <w:r w:rsidRPr="00455D9F">
              <w:rPr>
                <w:b/>
                <w:sz w:val="18"/>
                <w:szCs w:val="18"/>
                <w:lang w:val="lt-LT"/>
              </w:rPr>
              <w:t>Mato vieneto kaina, € (be PVM)</w:t>
            </w:r>
          </w:p>
        </w:tc>
        <w:tc>
          <w:tcPr>
            <w:tcW w:w="996" w:type="dxa"/>
            <w:tcBorders>
              <w:top w:val="single" w:sz="6" w:space="0" w:color="auto"/>
              <w:left w:val="single" w:sz="6" w:space="0" w:color="auto"/>
              <w:bottom w:val="single" w:sz="6" w:space="0" w:color="auto"/>
              <w:right w:val="single" w:sz="6" w:space="0" w:color="auto"/>
            </w:tcBorders>
          </w:tcPr>
          <w:p w14:paraId="46B9A373" w14:textId="77777777" w:rsidR="00AF7325" w:rsidRPr="00455D9F" w:rsidRDefault="00AF7325" w:rsidP="007F4AA8">
            <w:pPr>
              <w:jc w:val="center"/>
              <w:rPr>
                <w:b/>
                <w:sz w:val="18"/>
                <w:szCs w:val="18"/>
                <w:lang w:val="lt-LT"/>
              </w:rPr>
            </w:pPr>
            <w:r w:rsidRPr="00455D9F">
              <w:rPr>
                <w:b/>
                <w:sz w:val="18"/>
                <w:szCs w:val="18"/>
                <w:lang w:val="lt-LT"/>
              </w:rPr>
              <w:t>Mato vieneto kaina, €  (su PVM)</w:t>
            </w:r>
          </w:p>
        </w:tc>
        <w:tc>
          <w:tcPr>
            <w:tcW w:w="1744" w:type="dxa"/>
            <w:tcBorders>
              <w:top w:val="single" w:sz="6" w:space="0" w:color="auto"/>
              <w:left w:val="single" w:sz="6" w:space="0" w:color="auto"/>
              <w:bottom w:val="single" w:sz="6" w:space="0" w:color="auto"/>
              <w:right w:val="single" w:sz="6" w:space="0" w:color="auto"/>
            </w:tcBorders>
          </w:tcPr>
          <w:p w14:paraId="4F53F74E" w14:textId="35C27030" w:rsidR="00AF7325" w:rsidRPr="00455D9F" w:rsidRDefault="00AF7325" w:rsidP="007F4AA8">
            <w:pPr>
              <w:jc w:val="center"/>
              <w:rPr>
                <w:b/>
                <w:sz w:val="18"/>
                <w:szCs w:val="18"/>
                <w:highlight w:val="yellow"/>
                <w:lang w:val="lt-LT"/>
              </w:rPr>
            </w:pPr>
            <w:r>
              <w:rPr>
                <w:b/>
                <w:sz w:val="18"/>
                <w:szCs w:val="18"/>
                <w:lang w:val="lt-LT"/>
              </w:rPr>
              <w:t>Pasiūlymo kaina</w:t>
            </w:r>
            <w:r w:rsidRPr="00AF7325">
              <w:rPr>
                <w:b/>
                <w:sz w:val="18"/>
                <w:szCs w:val="18"/>
                <w:lang w:val="lt-LT"/>
              </w:rPr>
              <w:t>, €  (su PVM)</w:t>
            </w:r>
          </w:p>
        </w:tc>
        <w:tc>
          <w:tcPr>
            <w:tcW w:w="1744" w:type="dxa"/>
            <w:tcBorders>
              <w:top w:val="single" w:sz="6" w:space="0" w:color="auto"/>
              <w:left w:val="single" w:sz="6" w:space="0" w:color="auto"/>
              <w:bottom w:val="single" w:sz="6" w:space="0" w:color="auto"/>
              <w:right w:val="single" w:sz="6" w:space="0" w:color="auto"/>
            </w:tcBorders>
            <w:shd w:val="clear" w:color="auto" w:fill="FFFF00"/>
          </w:tcPr>
          <w:p w14:paraId="2453BB90" w14:textId="6DAE35D4" w:rsidR="00AF7325" w:rsidRPr="00455D9F" w:rsidRDefault="00AF7325" w:rsidP="007F4AA8">
            <w:pPr>
              <w:jc w:val="center"/>
              <w:rPr>
                <w:b/>
                <w:sz w:val="18"/>
                <w:szCs w:val="18"/>
                <w:highlight w:val="yellow"/>
                <w:lang w:val="lt-LT"/>
              </w:rPr>
            </w:pPr>
            <w:r w:rsidRPr="00455D9F">
              <w:rPr>
                <w:b/>
                <w:sz w:val="18"/>
                <w:szCs w:val="18"/>
                <w:highlight w:val="yellow"/>
                <w:lang w:val="lt-LT"/>
              </w:rPr>
              <w:t>Kaina eurais su PVM žodžiu</w:t>
            </w:r>
          </w:p>
        </w:tc>
      </w:tr>
      <w:tr w:rsidR="00AF7325" w:rsidRPr="00455D9F" w14:paraId="12819322" w14:textId="77777777" w:rsidTr="00113F0E">
        <w:trPr>
          <w:trHeight w:val="575"/>
        </w:trPr>
        <w:tc>
          <w:tcPr>
            <w:tcW w:w="622" w:type="dxa"/>
            <w:tcBorders>
              <w:right w:val="single" w:sz="6" w:space="0" w:color="auto"/>
            </w:tcBorders>
          </w:tcPr>
          <w:p w14:paraId="0C624479" w14:textId="3DD42973" w:rsidR="00AF7325" w:rsidRPr="00455D9F" w:rsidRDefault="00AF7325" w:rsidP="00E03748">
            <w:pPr>
              <w:overflowPunct w:val="0"/>
              <w:autoSpaceDE w:val="0"/>
              <w:autoSpaceDN w:val="0"/>
              <w:adjustRightInd w:val="0"/>
              <w:textAlignment w:val="baseline"/>
              <w:rPr>
                <w:lang w:val="lt-LT"/>
              </w:rPr>
            </w:pPr>
            <w:r w:rsidRPr="00455D9F">
              <w:rPr>
                <w:lang w:val="lt-LT"/>
              </w:rPr>
              <w:t>1.</w:t>
            </w:r>
          </w:p>
        </w:tc>
        <w:tc>
          <w:tcPr>
            <w:tcW w:w="2214" w:type="dxa"/>
          </w:tcPr>
          <w:p w14:paraId="0B52AD1A" w14:textId="0B2FC529" w:rsidR="00AF7325" w:rsidRPr="00AF7325" w:rsidRDefault="00113F0E" w:rsidP="00E03748">
            <w:pPr>
              <w:rPr>
                <w:sz w:val="20"/>
                <w:szCs w:val="20"/>
                <w:lang w:val="lt-LT"/>
              </w:rPr>
            </w:pPr>
            <w:r>
              <w:rPr>
                <w:b/>
                <w:bCs/>
                <w:i/>
                <w:iCs/>
                <w:lang w:val="lt-LT"/>
              </w:rPr>
              <w:t>Televizorius</w:t>
            </w:r>
          </w:p>
        </w:tc>
        <w:tc>
          <w:tcPr>
            <w:tcW w:w="899" w:type="dxa"/>
          </w:tcPr>
          <w:p w14:paraId="7DC775F7" w14:textId="3D1B6490" w:rsidR="00AF7325" w:rsidRPr="00455D9F" w:rsidRDefault="00AF7325" w:rsidP="00E03748">
            <w:pPr>
              <w:spacing w:after="200" w:line="276" w:lineRule="auto"/>
              <w:jc w:val="center"/>
              <w:rPr>
                <w:rFonts w:eastAsia="Calibri"/>
                <w:lang w:val="lt-LT" w:eastAsia="en-US"/>
              </w:rPr>
            </w:pPr>
            <w:r w:rsidRPr="00455D9F">
              <w:rPr>
                <w:sz w:val="20"/>
                <w:szCs w:val="20"/>
                <w:lang w:val="lt-LT"/>
              </w:rPr>
              <w:t>Vnt.</w:t>
            </w:r>
          </w:p>
        </w:tc>
        <w:tc>
          <w:tcPr>
            <w:tcW w:w="747" w:type="dxa"/>
          </w:tcPr>
          <w:p w14:paraId="6805756C" w14:textId="47ADD3E3" w:rsidR="00AF7325" w:rsidRPr="00455D9F" w:rsidRDefault="00113F0E" w:rsidP="00E03748">
            <w:pPr>
              <w:spacing w:after="200" w:line="276" w:lineRule="auto"/>
              <w:jc w:val="center"/>
              <w:rPr>
                <w:rFonts w:eastAsia="Calibri"/>
                <w:lang w:val="lt-LT" w:eastAsia="en-US"/>
              </w:rPr>
            </w:pPr>
            <w:r>
              <w:rPr>
                <w:color w:val="000000"/>
                <w:sz w:val="22"/>
                <w:szCs w:val="22"/>
                <w:lang w:val="lt-LT"/>
              </w:rPr>
              <w:t>2</w:t>
            </w:r>
          </w:p>
        </w:tc>
        <w:tc>
          <w:tcPr>
            <w:tcW w:w="996" w:type="dxa"/>
          </w:tcPr>
          <w:p w14:paraId="76A63694" w14:textId="77777777" w:rsidR="00AF7325" w:rsidRPr="00455D9F" w:rsidRDefault="00AF7325" w:rsidP="00E03748">
            <w:pPr>
              <w:rPr>
                <w:lang w:val="lt-LT"/>
              </w:rPr>
            </w:pPr>
          </w:p>
        </w:tc>
        <w:tc>
          <w:tcPr>
            <w:tcW w:w="996" w:type="dxa"/>
          </w:tcPr>
          <w:p w14:paraId="6188CEF7" w14:textId="77777777" w:rsidR="00AF7325" w:rsidRPr="00455D9F" w:rsidRDefault="00AF7325" w:rsidP="00E03748">
            <w:pPr>
              <w:rPr>
                <w:lang w:val="lt-LT"/>
              </w:rPr>
            </w:pPr>
          </w:p>
        </w:tc>
        <w:tc>
          <w:tcPr>
            <w:tcW w:w="1744" w:type="dxa"/>
          </w:tcPr>
          <w:p w14:paraId="2A70769A" w14:textId="77777777" w:rsidR="00AF7325" w:rsidRPr="00455D9F" w:rsidRDefault="00AF7325" w:rsidP="00E03748">
            <w:pPr>
              <w:rPr>
                <w:lang w:val="lt-LT"/>
              </w:rPr>
            </w:pPr>
          </w:p>
        </w:tc>
        <w:tc>
          <w:tcPr>
            <w:tcW w:w="1744" w:type="dxa"/>
            <w:shd w:val="clear" w:color="auto" w:fill="FFFF00"/>
          </w:tcPr>
          <w:p w14:paraId="29DE3617" w14:textId="63435DC0" w:rsidR="00AF7325" w:rsidRPr="00455D9F" w:rsidRDefault="00AF7325"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Default="00E03748" w:rsidP="00E03748">
      <w:pPr>
        <w:jc w:val="both"/>
        <w:rPr>
          <w:lang w:val="lt-LT"/>
        </w:rPr>
      </w:pPr>
      <w:r w:rsidRPr="00455D9F">
        <w:rPr>
          <w:b/>
          <w:lang w:val="lt-LT"/>
        </w:rPr>
        <w:t>Reikalavimai prietaisui:</w:t>
      </w:r>
      <w:r w:rsidRPr="00455D9F">
        <w:rPr>
          <w:lang w:val="lt-LT"/>
        </w:rPr>
        <w:t xml:space="preserve"> </w:t>
      </w:r>
    </w:p>
    <w:tbl>
      <w:tblPr>
        <w:tblStyle w:val="Lentelstinklelis"/>
        <w:tblW w:w="0" w:type="auto"/>
        <w:tblLook w:val="04A0" w:firstRow="1" w:lastRow="0" w:firstColumn="1" w:lastColumn="0" w:noHBand="0" w:noVBand="1"/>
      </w:tblPr>
      <w:tblGrid>
        <w:gridCol w:w="4927"/>
        <w:gridCol w:w="4927"/>
      </w:tblGrid>
      <w:tr w:rsidR="00113F0E" w14:paraId="37BCD954" w14:textId="77777777" w:rsidTr="00A0380A">
        <w:tc>
          <w:tcPr>
            <w:tcW w:w="4927" w:type="dxa"/>
            <w:vAlign w:val="center"/>
          </w:tcPr>
          <w:p w14:paraId="6BABDD02" w14:textId="10C52FCC" w:rsidR="00113F0E" w:rsidRDefault="00113F0E" w:rsidP="00113F0E">
            <w:pPr>
              <w:jc w:val="both"/>
              <w:rPr>
                <w:lang w:val="lt-LT"/>
              </w:rPr>
            </w:pPr>
            <w:r w:rsidRPr="00AF7325">
              <w:rPr>
                <w:b/>
                <w:lang w:val="lt-LT"/>
              </w:rPr>
              <w:t>Reikalaujamos parametrų reikšmės</w:t>
            </w:r>
          </w:p>
        </w:tc>
        <w:tc>
          <w:tcPr>
            <w:tcW w:w="4927" w:type="dxa"/>
            <w:vAlign w:val="center"/>
          </w:tcPr>
          <w:p w14:paraId="77C74CBE" w14:textId="77777777" w:rsidR="00113F0E" w:rsidRDefault="00113F0E" w:rsidP="00113F0E">
            <w:pPr>
              <w:jc w:val="center"/>
              <w:rPr>
                <w:b/>
                <w:lang w:val="lt-LT"/>
              </w:rPr>
            </w:pPr>
            <w:r w:rsidRPr="00AF7325">
              <w:rPr>
                <w:b/>
                <w:lang w:val="lt-LT"/>
              </w:rPr>
              <w:t>Atitikimas charakteristikoms</w:t>
            </w:r>
          </w:p>
          <w:p w14:paraId="33D81899" w14:textId="77777777" w:rsidR="00113F0E" w:rsidRPr="00455D9F" w:rsidRDefault="00113F0E" w:rsidP="00113F0E">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3B4A982D" w14:textId="04347DED" w:rsidR="00113F0E" w:rsidRDefault="00113F0E" w:rsidP="00113F0E">
            <w:pPr>
              <w:jc w:val="both"/>
              <w:rPr>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113F0E" w14:paraId="59710546" w14:textId="77777777" w:rsidTr="00113F0E">
        <w:tc>
          <w:tcPr>
            <w:tcW w:w="4927" w:type="dxa"/>
          </w:tcPr>
          <w:p w14:paraId="76FAE297" w14:textId="77777777" w:rsidR="00113F0E" w:rsidRDefault="00113F0E" w:rsidP="00113F0E">
            <w:pPr>
              <w:jc w:val="both"/>
              <w:rPr>
                <w:b/>
                <w:bCs/>
                <w:lang w:val="en-GB"/>
              </w:rPr>
            </w:pPr>
            <w:r>
              <w:rPr>
                <w:b/>
                <w:bCs/>
                <w:lang w:val="en-GB"/>
              </w:rPr>
              <w:t>TELEVIZORIUS:</w:t>
            </w:r>
          </w:p>
          <w:p w14:paraId="11D3C447" w14:textId="77777777" w:rsidR="00113F0E" w:rsidRDefault="00113F0E" w:rsidP="00113F0E">
            <w:pPr>
              <w:rPr>
                <w:lang w:val="lt-LT" w:eastAsia="lt-LT"/>
              </w:rPr>
            </w:pPr>
            <w:r>
              <w:rPr>
                <w:lang w:val="lt-LT" w:eastAsia="lt-LT"/>
              </w:rPr>
              <w:t>Televizorius turi būti naujas, nenaudotas, gamyklinės komplektacijos.</w:t>
            </w:r>
          </w:p>
          <w:p w14:paraId="041D905E" w14:textId="77777777" w:rsidR="00113F0E" w:rsidRDefault="00113F0E" w:rsidP="00113F0E">
            <w:pPr>
              <w:rPr>
                <w:lang w:val="lt-LT" w:eastAsia="lt-LT"/>
              </w:rPr>
            </w:pPr>
            <w:r>
              <w:rPr>
                <w:lang w:val="lt-LT" w:eastAsia="lt-LT"/>
              </w:rPr>
              <w:t>Įrenginys turi būti pagamintas laikantis Europos Sąjungos saugos reikalavimų ir pažymėtas CE ženklu.</w:t>
            </w:r>
          </w:p>
          <w:p w14:paraId="7D381EF1" w14:textId="77777777" w:rsidR="00113F0E" w:rsidRDefault="00113F0E" w:rsidP="00113F0E">
            <w:pPr>
              <w:rPr>
                <w:lang w:val="lt-LT" w:eastAsia="lt-LT"/>
              </w:rPr>
            </w:pPr>
            <w:r>
              <w:rPr>
                <w:lang w:val="lt-LT" w:eastAsia="lt-LT"/>
              </w:rPr>
              <w:t>Ekrano įstrižainė – ne mažesnė kaip 120 cm.</w:t>
            </w:r>
          </w:p>
          <w:p w14:paraId="6D07F79D" w14:textId="77777777" w:rsidR="00113F0E" w:rsidRDefault="00113F0E" w:rsidP="00113F0E">
            <w:pPr>
              <w:rPr>
                <w:lang w:val="lt-LT" w:eastAsia="lt-LT"/>
              </w:rPr>
            </w:pPr>
            <w:r>
              <w:rPr>
                <w:lang w:val="lt-LT" w:eastAsia="lt-LT"/>
              </w:rPr>
              <w:t>Ekrano tipas – LED, LCD arba kita lygiavertė technologija.</w:t>
            </w:r>
          </w:p>
          <w:p w14:paraId="65B329CF" w14:textId="77777777" w:rsidR="00113F0E" w:rsidRDefault="00113F0E" w:rsidP="00113F0E">
            <w:pPr>
              <w:rPr>
                <w:lang w:val="lt-LT" w:eastAsia="lt-LT"/>
              </w:rPr>
            </w:pPr>
            <w:r>
              <w:rPr>
                <w:lang w:val="lt-LT" w:eastAsia="lt-LT"/>
              </w:rPr>
              <w:t>Ekrano raiška – ne mažesnė kaip 1920 × 1080.</w:t>
            </w:r>
          </w:p>
          <w:p w14:paraId="2557DA12" w14:textId="77777777" w:rsidR="00113F0E" w:rsidRDefault="00113F0E" w:rsidP="00113F0E">
            <w:pPr>
              <w:rPr>
                <w:lang w:val="lt-LT" w:eastAsia="lt-LT"/>
              </w:rPr>
            </w:pPr>
            <w:r>
              <w:rPr>
                <w:lang w:val="lt-LT" w:eastAsia="lt-LT"/>
              </w:rPr>
              <w:t>Ekrano forma – plokščias.</w:t>
            </w:r>
          </w:p>
          <w:p w14:paraId="36559F49" w14:textId="77777777" w:rsidR="00113F0E" w:rsidRDefault="00113F0E" w:rsidP="00113F0E">
            <w:pPr>
              <w:rPr>
                <w:lang w:val="lt-LT" w:eastAsia="lt-LT"/>
              </w:rPr>
            </w:pPr>
            <w:r>
              <w:rPr>
                <w:lang w:val="lt-LT" w:eastAsia="lt-LT"/>
              </w:rPr>
              <w:t>Integruota garso sistema.</w:t>
            </w:r>
          </w:p>
          <w:p w14:paraId="0DCC7695" w14:textId="77777777" w:rsidR="00113F0E" w:rsidRDefault="00113F0E" w:rsidP="00113F0E">
            <w:pPr>
              <w:rPr>
                <w:lang w:val="lt-LT" w:eastAsia="lt-LT"/>
              </w:rPr>
            </w:pPr>
            <w:r>
              <w:rPr>
                <w:lang w:val="lt-LT" w:eastAsia="lt-LT"/>
              </w:rPr>
              <w:t>Garso galia – ne mažesnė kaip 8 W arba lygiavertė.</w:t>
            </w:r>
          </w:p>
          <w:p w14:paraId="77EDFB68" w14:textId="77777777" w:rsidR="00113F0E" w:rsidRDefault="00113F0E" w:rsidP="00113F0E">
            <w:pPr>
              <w:rPr>
                <w:lang w:val="lt-LT" w:eastAsia="lt-LT"/>
              </w:rPr>
            </w:pPr>
            <w:r>
              <w:rPr>
                <w:lang w:val="lt-LT" w:eastAsia="lt-LT"/>
              </w:rPr>
              <w:t>Televizorius turi turėti ne mažiau kaip 1 HDMI jungtį, ne mažiau kaip 1 USB jungtį</w:t>
            </w:r>
          </w:p>
          <w:p w14:paraId="7FD2B758" w14:textId="77777777" w:rsidR="00113F0E" w:rsidRDefault="00113F0E" w:rsidP="00113F0E">
            <w:pPr>
              <w:rPr>
                <w:lang w:val="lt-LT" w:eastAsia="lt-LT"/>
              </w:rPr>
            </w:pPr>
            <w:r>
              <w:rPr>
                <w:lang w:val="lt-LT" w:eastAsia="lt-LT"/>
              </w:rPr>
              <w:t>Integruotas skaitmeninis televizijos imtuvas DVB-T2 arba lygiavertis, leidžiantis priimti skaitmeninį antžeminės televizijos signalą.</w:t>
            </w:r>
          </w:p>
          <w:p w14:paraId="51D0A0D5" w14:textId="77777777" w:rsidR="00113F0E" w:rsidRDefault="00113F0E" w:rsidP="00113F0E">
            <w:pPr>
              <w:rPr>
                <w:lang w:val="lt-LT" w:eastAsia="lt-LT"/>
              </w:rPr>
            </w:pPr>
            <w:r>
              <w:rPr>
                <w:lang w:val="lt-LT" w:eastAsia="lt-LT"/>
              </w:rPr>
              <w:t>Televizorius turi būti su stovu pastatymui ant paviršiaus arba turėti galimybę tvirtinti prie sienos (pvz., VESA arba lygiavertis sprendimas).</w:t>
            </w:r>
          </w:p>
          <w:p w14:paraId="4BB6DA94" w14:textId="77777777" w:rsidR="00113F0E" w:rsidRDefault="00113F0E" w:rsidP="00113F0E">
            <w:pPr>
              <w:rPr>
                <w:lang w:val="lt-LT" w:eastAsia="lt-LT"/>
              </w:rPr>
            </w:pPr>
            <w:r>
              <w:rPr>
                <w:lang w:val="lt-LT" w:eastAsia="lt-LT"/>
              </w:rPr>
              <w:t>Komplekte turi būti: nuotolinio valdymo pultas, maitinimo kabelis, gamintojo dokumentacija.</w:t>
            </w:r>
          </w:p>
          <w:p w14:paraId="40EC3961" w14:textId="77777777" w:rsidR="00113F0E" w:rsidRDefault="00113F0E" w:rsidP="00113F0E">
            <w:pPr>
              <w:rPr>
                <w:lang w:val="lt-LT" w:eastAsia="lt-LT"/>
              </w:rPr>
            </w:pPr>
            <w:r>
              <w:rPr>
                <w:lang w:val="lt-LT" w:eastAsia="lt-LT"/>
              </w:rPr>
              <w:t>Energinio efektyvumo klasė ne žemesnė nei E</w:t>
            </w:r>
          </w:p>
          <w:p w14:paraId="4162215E" w14:textId="77777777" w:rsidR="00113F0E" w:rsidRDefault="00113F0E" w:rsidP="00113F0E">
            <w:pPr>
              <w:rPr>
                <w:lang w:val="lt-LT" w:eastAsia="lt-LT"/>
              </w:rPr>
            </w:pPr>
            <w:r>
              <w:rPr>
                <w:lang w:val="lt-LT" w:eastAsia="lt-LT"/>
              </w:rPr>
              <w:t>Maitinimo įtampa – 220–240 V arba 100–240 V.</w:t>
            </w:r>
          </w:p>
          <w:p w14:paraId="62EA4354" w14:textId="283F7C96" w:rsidR="00113F0E" w:rsidRDefault="00113F0E" w:rsidP="00113F0E">
            <w:pPr>
              <w:rPr>
                <w:lang w:val="lt-LT" w:eastAsia="lt-LT"/>
              </w:rPr>
            </w:pPr>
            <w:r>
              <w:rPr>
                <w:lang w:val="lt-LT" w:eastAsia="lt-LT"/>
              </w:rPr>
              <w:t>Garantija – ne trumpesnė kaip 24 mėnesiai.</w:t>
            </w:r>
          </w:p>
        </w:tc>
        <w:tc>
          <w:tcPr>
            <w:tcW w:w="4927" w:type="dxa"/>
          </w:tcPr>
          <w:p w14:paraId="5025E939" w14:textId="77777777" w:rsidR="00113F0E" w:rsidRDefault="00113F0E" w:rsidP="00113F0E">
            <w:pPr>
              <w:jc w:val="both"/>
              <w:rPr>
                <w:lang w:val="lt-LT"/>
              </w:rPr>
            </w:pPr>
          </w:p>
        </w:tc>
      </w:tr>
    </w:tbl>
    <w:p w14:paraId="2E3957AE" w14:textId="77777777" w:rsidR="00113F0E" w:rsidRDefault="00113F0E" w:rsidP="00EB723C">
      <w:pPr>
        <w:jc w:val="both"/>
        <w:rPr>
          <w:lang w:val="lt-LT"/>
        </w:rPr>
      </w:pPr>
    </w:p>
    <w:p w14:paraId="14DBCB8E" w14:textId="269B4882" w:rsidR="00682941" w:rsidRPr="00455D9F" w:rsidRDefault="009476FC" w:rsidP="00EB723C">
      <w:pPr>
        <w:jc w:val="both"/>
        <w:rPr>
          <w:lang w:val="lt-LT"/>
        </w:rPr>
      </w:pPr>
      <w:r w:rsidRPr="00455D9F">
        <w:rPr>
          <w:lang w:val="lt-LT"/>
        </w:rPr>
        <w:lastRenderedPageBreak/>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113F0E"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113F0E"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113F0E"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113F0E"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113F0E"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113F0E"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113F0E"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2F706E82" w14:textId="1A449FC1"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 xml:space="preserve">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04AD3E6E" w14:textId="55B17372" w:rsidR="00A265C8" w:rsidRPr="00113F0E" w:rsidRDefault="00A265C8" w:rsidP="00113F0E">
      <w:pPr>
        <w:ind w:left="5040"/>
        <w:textAlignment w:val="center"/>
        <w:rPr>
          <w:color w:val="000000"/>
          <w:lang w:val="lt-LT"/>
        </w:rPr>
      </w:pPr>
      <w:r w:rsidRPr="00455D9F">
        <w:rPr>
          <w:color w:val="000000"/>
          <w:lang w:val="lt-LT"/>
        </w:rPr>
        <w:t>redakcija)</w:t>
      </w: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2F1DC52B" w14:textId="77777777" w:rsidR="00A265C8" w:rsidRPr="00455D9F" w:rsidRDefault="00A265C8" w:rsidP="00113F0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2D501A50"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113F0E">
              <w:rPr>
                <w:b/>
                <w:bCs/>
                <w:lang w:val="lt-LT"/>
              </w:rPr>
              <w:t>TELEVIZORIAI</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903D74" w:rsidRPr="00113F0E" w14:paraId="0C455293" w14:textId="77777777" w:rsidTr="003C53E3">
        <w:tc>
          <w:tcPr>
            <w:tcW w:w="2808" w:type="dxa"/>
            <w:vMerge w:val="restart"/>
          </w:tcPr>
          <w:p w14:paraId="64B95ECC" w14:textId="77777777" w:rsidR="00903D74" w:rsidRPr="00455D9F" w:rsidRDefault="00903D74" w:rsidP="00903D74">
            <w:pPr>
              <w:rPr>
                <w:b/>
                <w:bCs/>
                <w:kern w:val="2"/>
                <w:lang w:val="lt-LT"/>
              </w:rPr>
            </w:pPr>
            <w:r w:rsidRPr="00455D9F">
              <w:rPr>
                <w:b/>
                <w:bCs/>
                <w:kern w:val="2"/>
                <w:lang w:val="lt-LT"/>
              </w:rPr>
              <w:t>1.1. Pirkėjas</w:t>
            </w:r>
          </w:p>
        </w:tc>
        <w:tc>
          <w:tcPr>
            <w:tcW w:w="3240" w:type="dxa"/>
          </w:tcPr>
          <w:p w14:paraId="3676AA00" w14:textId="77777777" w:rsidR="00903D74" w:rsidRPr="00455D9F" w:rsidRDefault="00903D74" w:rsidP="00903D74">
            <w:pPr>
              <w:rPr>
                <w:kern w:val="2"/>
                <w:lang w:val="lt-LT"/>
              </w:rPr>
            </w:pPr>
            <w:r w:rsidRPr="00455D9F">
              <w:rPr>
                <w:kern w:val="2"/>
                <w:lang w:val="lt-LT"/>
              </w:rPr>
              <w:t>1.1.1. Pavadinimas</w:t>
            </w:r>
          </w:p>
        </w:tc>
        <w:tc>
          <w:tcPr>
            <w:tcW w:w="3510" w:type="dxa"/>
          </w:tcPr>
          <w:p w14:paraId="01649F71" w14:textId="1DAC0DEB" w:rsidR="00903D74" w:rsidRPr="00455D9F" w:rsidRDefault="00903D74" w:rsidP="00903D74">
            <w:pPr>
              <w:jc w:val="center"/>
              <w:rPr>
                <w:kern w:val="2"/>
                <w:lang w:val="lt-LT"/>
              </w:rPr>
            </w:pPr>
            <w:proofErr w:type="spellStart"/>
            <w:r w:rsidRPr="00836274">
              <w:rPr>
                <w:rFonts w:eastAsia="Calibri"/>
                <w:b/>
                <w:sz w:val="22"/>
                <w:szCs w:val="22"/>
                <w:lang w:val="en-GB"/>
              </w:rPr>
              <w:t>VšĮ</w:t>
            </w:r>
            <w:proofErr w:type="spellEnd"/>
            <w:r w:rsidRPr="00836274">
              <w:rPr>
                <w:rFonts w:eastAsia="Calibri"/>
                <w:b/>
                <w:sz w:val="22"/>
                <w:szCs w:val="22"/>
                <w:lang w:val="en-GB"/>
              </w:rPr>
              <w:t xml:space="preserve"> </w:t>
            </w:r>
            <w:proofErr w:type="spellStart"/>
            <w:r w:rsidRPr="00836274">
              <w:rPr>
                <w:rFonts w:eastAsia="Calibri"/>
                <w:b/>
                <w:sz w:val="22"/>
                <w:szCs w:val="22"/>
                <w:lang w:val="en-GB"/>
              </w:rPr>
              <w:t>Jonavos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pirminės</w:t>
            </w:r>
            <w:proofErr w:type="spellEnd"/>
            <w:r w:rsidRPr="00836274">
              <w:rPr>
                <w:rFonts w:eastAsia="Calibri"/>
                <w:b/>
                <w:sz w:val="22"/>
                <w:szCs w:val="22"/>
                <w:lang w:val="en-GB"/>
              </w:rPr>
              <w:t xml:space="preserve"> </w:t>
            </w:r>
            <w:proofErr w:type="spellStart"/>
            <w:r w:rsidRPr="00836274">
              <w:rPr>
                <w:rFonts w:eastAsia="Calibri"/>
                <w:b/>
                <w:sz w:val="22"/>
                <w:szCs w:val="22"/>
                <w:lang w:val="en-GB"/>
              </w:rPr>
              <w:t>sveikatos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priežiūros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centras</w:t>
            </w:r>
            <w:proofErr w:type="spellEnd"/>
          </w:p>
        </w:tc>
      </w:tr>
      <w:tr w:rsidR="00903D74" w:rsidRPr="00455D9F" w14:paraId="3F77B8D7" w14:textId="77777777" w:rsidTr="003C53E3">
        <w:tc>
          <w:tcPr>
            <w:tcW w:w="2808" w:type="dxa"/>
            <w:vMerge/>
          </w:tcPr>
          <w:p w14:paraId="5A7D7E6F" w14:textId="77777777" w:rsidR="00903D74" w:rsidRPr="00455D9F" w:rsidRDefault="00903D74" w:rsidP="00903D74">
            <w:pPr>
              <w:rPr>
                <w:kern w:val="2"/>
                <w:lang w:val="lt-LT"/>
              </w:rPr>
            </w:pPr>
          </w:p>
        </w:tc>
        <w:tc>
          <w:tcPr>
            <w:tcW w:w="3240" w:type="dxa"/>
          </w:tcPr>
          <w:p w14:paraId="1B685409" w14:textId="77777777" w:rsidR="00903D74" w:rsidRPr="00455D9F" w:rsidRDefault="00903D74" w:rsidP="00903D74">
            <w:pPr>
              <w:rPr>
                <w:kern w:val="2"/>
                <w:lang w:val="lt-LT"/>
              </w:rPr>
            </w:pPr>
            <w:r w:rsidRPr="00455D9F">
              <w:rPr>
                <w:kern w:val="2"/>
                <w:lang w:val="lt-LT"/>
              </w:rPr>
              <w:t>1.1.2. Juridinio asmens kodas</w:t>
            </w:r>
          </w:p>
        </w:tc>
        <w:tc>
          <w:tcPr>
            <w:tcW w:w="3510" w:type="dxa"/>
          </w:tcPr>
          <w:p w14:paraId="0C6CA80D" w14:textId="6C9EC4BD" w:rsidR="00903D74" w:rsidRPr="00455D9F" w:rsidRDefault="00903D74" w:rsidP="00903D74">
            <w:pPr>
              <w:jc w:val="center"/>
              <w:rPr>
                <w:kern w:val="2"/>
                <w:lang w:val="lt-LT"/>
              </w:rPr>
            </w:pPr>
            <w:r w:rsidRPr="00836274">
              <w:rPr>
                <w:rFonts w:eastAsia="Calibri"/>
                <w:sz w:val="22"/>
                <w:szCs w:val="22"/>
              </w:rPr>
              <w:t>256739230</w:t>
            </w:r>
          </w:p>
        </w:tc>
      </w:tr>
      <w:tr w:rsidR="00903D74" w:rsidRPr="00455D9F" w14:paraId="6D3A619A" w14:textId="77777777" w:rsidTr="003C53E3">
        <w:tc>
          <w:tcPr>
            <w:tcW w:w="2808" w:type="dxa"/>
            <w:vMerge/>
          </w:tcPr>
          <w:p w14:paraId="6EFAD9D5" w14:textId="77777777" w:rsidR="00903D74" w:rsidRPr="00455D9F" w:rsidRDefault="00903D74" w:rsidP="00903D74">
            <w:pPr>
              <w:rPr>
                <w:kern w:val="2"/>
                <w:lang w:val="lt-LT"/>
              </w:rPr>
            </w:pPr>
          </w:p>
        </w:tc>
        <w:tc>
          <w:tcPr>
            <w:tcW w:w="3240" w:type="dxa"/>
          </w:tcPr>
          <w:p w14:paraId="2883B665" w14:textId="77777777" w:rsidR="00903D74" w:rsidRPr="00455D9F" w:rsidRDefault="00903D74" w:rsidP="00903D74">
            <w:pPr>
              <w:rPr>
                <w:kern w:val="2"/>
                <w:lang w:val="lt-LT"/>
              </w:rPr>
            </w:pPr>
            <w:r w:rsidRPr="00455D9F">
              <w:rPr>
                <w:kern w:val="2"/>
                <w:lang w:val="lt-LT"/>
              </w:rPr>
              <w:t>1.1.3. Adresas</w:t>
            </w:r>
          </w:p>
        </w:tc>
        <w:tc>
          <w:tcPr>
            <w:tcW w:w="3510" w:type="dxa"/>
          </w:tcPr>
          <w:p w14:paraId="5FF8F776" w14:textId="21EE74BB" w:rsidR="00903D74" w:rsidRPr="00455D9F" w:rsidRDefault="00903D74" w:rsidP="00903D74">
            <w:pPr>
              <w:jc w:val="center"/>
              <w:rPr>
                <w:kern w:val="2"/>
                <w:lang w:val="lt-LT"/>
              </w:rPr>
            </w:pPr>
            <w:proofErr w:type="spellStart"/>
            <w:r w:rsidRPr="00836274">
              <w:rPr>
                <w:rFonts w:eastAsia="Calibri"/>
                <w:sz w:val="22"/>
                <w:szCs w:val="22"/>
              </w:rPr>
              <w:t>Žeimių</w:t>
            </w:r>
            <w:proofErr w:type="spellEnd"/>
            <w:r w:rsidRPr="00836274">
              <w:rPr>
                <w:rFonts w:eastAsia="Calibri"/>
                <w:sz w:val="22"/>
                <w:szCs w:val="22"/>
              </w:rPr>
              <w:t xml:space="preserve"> g. 19, LT-55134 </w:t>
            </w:r>
            <w:proofErr w:type="spellStart"/>
            <w:r w:rsidRPr="00836274">
              <w:rPr>
                <w:rFonts w:eastAsia="Calibri"/>
                <w:sz w:val="22"/>
                <w:szCs w:val="22"/>
              </w:rPr>
              <w:t>Jonava</w:t>
            </w:r>
            <w:proofErr w:type="spellEnd"/>
          </w:p>
        </w:tc>
      </w:tr>
      <w:tr w:rsidR="00903D74" w:rsidRPr="00455D9F" w14:paraId="4A3C5E75" w14:textId="77777777" w:rsidTr="003C53E3">
        <w:tc>
          <w:tcPr>
            <w:tcW w:w="2808" w:type="dxa"/>
            <w:vMerge/>
          </w:tcPr>
          <w:p w14:paraId="73BF34D2" w14:textId="77777777" w:rsidR="00903D74" w:rsidRPr="00455D9F" w:rsidRDefault="00903D74" w:rsidP="00903D74">
            <w:pPr>
              <w:rPr>
                <w:kern w:val="2"/>
                <w:lang w:val="lt-LT"/>
              </w:rPr>
            </w:pPr>
          </w:p>
        </w:tc>
        <w:tc>
          <w:tcPr>
            <w:tcW w:w="3240" w:type="dxa"/>
          </w:tcPr>
          <w:p w14:paraId="095A6171" w14:textId="77777777" w:rsidR="00903D74" w:rsidRPr="00455D9F" w:rsidRDefault="00903D74" w:rsidP="00903D74">
            <w:pPr>
              <w:rPr>
                <w:kern w:val="2"/>
                <w:lang w:val="lt-LT"/>
              </w:rPr>
            </w:pPr>
            <w:r w:rsidRPr="00455D9F">
              <w:rPr>
                <w:kern w:val="2"/>
                <w:lang w:val="lt-LT"/>
              </w:rPr>
              <w:t>1.1.4. PVM mokėtojo kodas</w:t>
            </w:r>
          </w:p>
        </w:tc>
        <w:tc>
          <w:tcPr>
            <w:tcW w:w="3510" w:type="dxa"/>
          </w:tcPr>
          <w:p w14:paraId="6B58D6FB" w14:textId="5400FD54" w:rsidR="00903D74" w:rsidRPr="00455D9F" w:rsidRDefault="00903D74" w:rsidP="00903D74">
            <w:pPr>
              <w:jc w:val="center"/>
              <w:rPr>
                <w:kern w:val="2"/>
                <w:lang w:val="lt-LT"/>
              </w:rPr>
            </w:pPr>
            <w:r w:rsidRPr="00836274">
              <w:rPr>
                <w:kern w:val="2"/>
                <w:sz w:val="22"/>
                <w:szCs w:val="22"/>
              </w:rPr>
              <w:t>-</w:t>
            </w:r>
          </w:p>
        </w:tc>
      </w:tr>
      <w:tr w:rsidR="00903D74" w:rsidRPr="00455D9F" w14:paraId="7A023DB9" w14:textId="77777777" w:rsidTr="003C53E3">
        <w:tc>
          <w:tcPr>
            <w:tcW w:w="2808" w:type="dxa"/>
            <w:vMerge/>
          </w:tcPr>
          <w:p w14:paraId="09009157" w14:textId="77777777" w:rsidR="00903D74" w:rsidRPr="00455D9F" w:rsidRDefault="00903D74" w:rsidP="00903D74">
            <w:pPr>
              <w:rPr>
                <w:kern w:val="2"/>
                <w:lang w:val="lt-LT"/>
              </w:rPr>
            </w:pPr>
          </w:p>
        </w:tc>
        <w:tc>
          <w:tcPr>
            <w:tcW w:w="3240" w:type="dxa"/>
          </w:tcPr>
          <w:p w14:paraId="75D45A1E" w14:textId="77777777" w:rsidR="00903D74" w:rsidRPr="00455D9F" w:rsidRDefault="00903D74" w:rsidP="00903D74">
            <w:pPr>
              <w:rPr>
                <w:kern w:val="2"/>
                <w:lang w:val="lt-LT"/>
              </w:rPr>
            </w:pPr>
            <w:r w:rsidRPr="00455D9F">
              <w:rPr>
                <w:kern w:val="2"/>
                <w:lang w:val="lt-LT"/>
              </w:rPr>
              <w:t>1.1.5. Atsiskaitomoji sąskaita</w:t>
            </w:r>
          </w:p>
        </w:tc>
        <w:tc>
          <w:tcPr>
            <w:tcW w:w="3510" w:type="dxa"/>
          </w:tcPr>
          <w:p w14:paraId="6E9234D8" w14:textId="45035FB9" w:rsidR="00903D74" w:rsidRPr="00455D9F" w:rsidRDefault="00903D74" w:rsidP="00903D74">
            <w:pPr>
              <w:jc w:val="center"/>
              <w:rPr>
                <w:kern w:val="2"/>
                <w:lang w:val="lt-LT"/>
              </w:rPr>
            </w:pPr>
            <w:r w:rsidRPr="00836274">
              <w:rPr>
                <w:rFonts w:eastAsia="Calibri"/>
                <w:sz w:val="22"/>
                <w:szCs w:val="22"/>
              </w:rPr>
              <w:t>LT394010043900040074</w:t>
            </w:r>
          </w:p>
        </w:tc>
      </w:tr>
      <w:tr w:rsidR="00903D74" w:rsidRPr="00113F0E" w14:paraId="2C9B24DC" w14:textId="77777777" w:rsidTr="003C53E3">
        <w:tc>
          <w:tcPr>
            <w:tcW w:w="2808" w:type="dxa"/>
            <w:vMerge/>
          </w:tcPr>
          <w:p w14:paraId="4306DAC4" w14:textId="77777777" w:rsidR="00903D74" w:rsidRPr="00455D9F" w:rsidRDefault="00903D74" w:rsidP="00903D74">
            <w:pPr>
              <w:rPr>
                <w:kern w:val="2"/>
                <w:lang w:val="lt-LT"/>
              </w:rPr>
            </w:pPr>
          </w:p>
        </w:tc>
        <w:tc>
          <w:tcPr>
            <w:tcW w:w="3240" w:type="dxa"/>
          </w:tcPr>
          <w:p w14:paraId="79037514" w14:textId="77777777" w:rsidR="00903D74" w:rsidRPr="00455D9F" w:rsidRDefault="00903D74" w:rsidP="00903D74">
            <w:pPr>
              <w:rPr>
                <w:kern w:val="2"/>
                <w:lang w:val="lt-LT"/>
              </w:rPr>
            </w:pPr>
            <w:r w:rsidRPr="00455D9F">
              <w:rPr>
                <w:kern w:val="2"/>
                <w:lang w:val="lt-LT"/>
              </w:rPr>
              <w:t>1.1.6. Bankas, banko kodas</w:t>
            </w:r>
          </w:p>
        </w:tc>
        <w:tc>
          <w:tcPr>
            <w:tcW w:w="3510" w:type="dxa"/>
          </w:tcPr>
          <w:p w14:paraId="14AF8557" w14:textId="2D7C1EBD" w:rsidR="00903D74" w:rsidRPr="00455D9F" w:rsidRDefault="00903D74" w:rsidP="00903D74">
            <w:pPr>
              <w:jc w:val="center"/>
              <w:rPr>
                <w:kern w:val="2"/>
                <w:lang w:val="lt-LT"/>
              </w:rPr>
            </w:pPr>
            <w:r w:rsidRPr="00836274">
              <w:rPr>
                <w:rFonts w:eastAsia="Calibri"/>
                <w:sz w:val="22"/>
                <w:szCs w:val="22"/>
                <w:lang w:val="en-GB"/>
              </w:rPr>
              <w:t xml:space="preserve">AB Luminor </w:t>
            </w:r>
            <w:proofErr w:type="spellStart"/>
            <w:r w:rsidRPr="00836274">
              <w:rPr>
                <w:rFonts w:eastAsia="Calibri"/>
                <w:sz w:val="22"/>
                <w:szCs w:val="22"/>
                <w:lang w:val="en-GB"/>
              </w:rPr>
              <w:t>bankas</w:t>
            </w:r>
            <w:proofErr w:type="spellEnd"/>
            <w:r w:rsidRPr="00836274">
              <w:rPr>
                <w:rFonts w:eastAsia="Calibri"/>
                <w:sz w:val="22"/>
                <w:szCs w:val="22"/>
                <w:lang w:val="en-GB"/>
              </w:rPr>
              <w:t xml:space="preserve">, </w:t>
            </w:r>
            <w:proofErr w:type="spellStart"/>
            <w:r w:rsidRPr="00836274">
              <w:rPr>
                <w:rFonts w:eastAsia="Calibri"/>
                <w:sz w:val="22"/>
                <w:szCs w:val="22"/>
                <w:lang w:val="en-GB"/>
              </w:rPr>
              <w:t>banko</w:t>
            </w:r>
            <w:proofErr w:type="spellEnd"/>
            <w:r w:rsidRPr="00836274">
              <w:rPr>
                <w:rFonts w:eastAsia="Calibri"/>
                <w:sz w:val="22"/>
                <w:szCs w:val="22"/>
                <w:lang w:val="en-GB"/>
              </w:rPr>
              <w:t xml:space="preserve"> </w:t>
            </w:r>
            <w:proofErr w:type="spellStart"/>
            <w:r w:rsidRPr="00836274">
              <w:rPr>
                <w:rFonts w:eastAsia="Calibri"/>
                <w:sz w:val="22"/>
                <w:szCs w:val="22"/>
                <w:lang w:val="en-GB"/>
              </w:rPr>
              <w:t>kodas</w:t>
            </w:r>
            <w:proofErr w:type="spellEnd"/>
            <w:r w:rsidRPr="00836274">
              <w:rPr>
                <w:rFonts w:eastAsia="Calibri"/>
                <w:sz w:val="22"/>
                <w:szCs w:val="22"/>
                <w:lang w:val="en-GB"/>
              </w:rPr>
              <w:t xml:space="preserve"> 40100</w:t>
            </w:r>
          </w:p>
        </w:tc>
      </w:tr>
      <w:tr w:rsidR="00903D74" w:rsidRPr="00455D9F" w14:paraId="11B50105" w14:textId="77777777" w:rsidTr="003C53E3">
        <w:tc>
          <w:tcPr>
            <w:tcW w:w="2808" w:type="dxa"/>
            <w:vMerge/>
          </w:tcPr>
          <w:p w14:paraId="56E1E5FC" w14:textId="77777777" w:rsidR="00903D74" w:rsidRPr="00455D9F" w:rsidRDefault="00903D74" w:rsidP="00903D74">
            <w:pPr>
              <w:rPr>
                <w:kern w:val="2"/>
                <w:lang w:val="lt-LT"/>
              </w:rPr>
            </w:pPr>
          </w:p>
        </w:tc>
        <w:tc>
          <w:tcPr>
            <w:tcW w:w="3240" w:type="dxa"/>
          </w:tcPr>
          <w:p w14:paraId="3340DB20" w14:textId="77777777" w:rsidR="00903D74" w:rsidRPr="00455D9F" w:rsidRDefault="00903D74" w:rsidP="00903D74">
            <w:pPr>
              <w:rPr>
                <w:kern w:val="2"/>
                <w:lang w:val="lt-LT"/>
              </w:rPr>
            </w:pPr>
            <w:r w:rsidRPr="00455D9F">
              <w:rPr>
                <w:kern w:val="2"/>
                <w:lang w:val="lt-LT"/>
              </w:rPr>
              <w:t>1.1.7. Telefonas</w:t>
            </w:r>
          </w:p>
        </w:tc>
        <w:tc>
          <w:tcPr>
            <w:tcW w:w="3510" w:type="dxa"/>
          </w:tcPr>
          <w:p w14:paraId="5A2327A6" w14:textId="0DB40D08" w:rsidR="00903D74" w:rsidRPr="00455D9F" w:rsidRDefault="00903D74" w:rsidP="00903D74">
            <w:pPr>
              <w:jc w:val="center"/>
              <w:rPr>
                <w:kern w:val="2"/>
                <w:lang w:val="lt-LT"/>
              </w:rPr>
            </w:pPr>
            <w:r w:rsidRPr="00836274">
              <w:rPr>
                <w:kern w:val="2"/>
                <w:sz w:val="22"/>
                <w:szCs w:val="22"/>
              </w:rPr>
              <w:t>+370 349 69011</w:t>
            </w:r>
          </w:p>
        </w:tc>
      </w:tr>
      <w:tr w:rsidR="00903D74" w:rsidRPr="00455D9F" w14:paraId="2E0E3A2C" w14:textId="77777777" w:rsidTr="003C53E3">
        <w:tc>
          <w:tcPr>
            <w:tcW w:w="2808" w:type="dxa"/>
            <w:vMerge/>
          </w:tcPr>
          <w:p w14:paraId="67F4DE00" w14:textId="77777777" w:rsidR="00903D74" w:rsidRPr="00455D9F" w:rsidRDefault="00903D74" w:rsidP="00903D74">
            <w:pPr>
              <w:rPr>
                <w:kern w:val="2"/>
                <w:lang w:val="lt-LT"/>
              </w:rPr>
            </w:pPr>
          </w:p>
        </w:tc>
        <w:tc>
          <w:tcPr>
            <w:tcW w:w="3240" w:type="dxa"/>
          </w:tcPr>
          <w:p w14:paraId="37F5A741" w14:textId="77777777" w:rsidR="00903D74" w:rsidRPr="00455D9F" w:rsidRDefault="00903D74" w:rsidP="00903D74">
            <w:pPr>
              <w:rPr>
                <w:kern w:val="2"/>
                <w:lang w:val="lt-LT"/>
              </w:rPr>
            </w:pPr>
            <w:r w:rsidRPr="00455D9F">
              <w:rPr>
                <w:kern w:val="2"/>
                <w:lang w:val="lt-LT"/>
              </w:rPr>
              <w:t>1.1.8. El. paštas</w:t>
            </w:r>
          </w:p>
        </w:tc>
        <w:tc>
          <w:tcPr>
            <w:tcW w:w="3510" w:type="dxa"/>
          </w:tcPr>
          <w:p w14:paraId="661E28C0" w14:textId="4F64B39D" w:rsidR="00903D74" w:rsidRPr="00455D9F" w:rsidRDefault="00903D74" w:rsidP="00903D74">
            <w:pPr>
              <w:jc w:val="center"/>
              <w:rPr>
                <w:kern w:val="2"/>
                <w:lang w:val="lt-LT"/>
              </w:rPr>
            </w:pPr>
            <w:hyperlink r:id="rId12" w:history="1">
              <w:r w:rsidRPr="00836274">
                <w:rPr>
                  <w:rStyle w:val="Hipersaitas"/>
                  <w:rFonts w:eastAsia="Calibri"/>
                  <w:sz w:val="22"/>
                  <w:szCs w:val="22"/>
                </w:rPr>
                <w:t>info@jonavospspc.lt</w:t>
              </w:r>
            </w:hyperlink>
          </w:p>
        </w:tc>
      </w:tr>
      <w:tr w:rsidR="00903D74" w:rsidRPr="00455D9F" w14:paraId="3E03E55B" w14:textId="77777777" w:rsidTr="003C53E3">
        <w:tc>
          <w:tcPr>
            <w:tcW w:w="2808" w:type="dxa"/>
            <w:vMerge/>
          </w:tcPr>
          <w:p w14:paraId="72DA7D74" w14:textId="77777777" w:rsidR="00903D74" w:rsidRPr="00455D9F" w:rsidRDefault="00903D74" w:rsidP="00903D74">
            <w:pPr>
              <w:rPr>
                <w:kern w:val="2"/>
                <w:lang w:val="lt-LT"/>
              </w:rPr>
            </w:pPr>
          </w:p>
        </w:tc>
        <w:tc>
          <w:tcPr>
            <w:tcW w:w="3240" w:type="dxa"/>
          </w:tcPr>
          <w:p w14:paraId="430BB251" w14:textId="77777777" w:rsidR="00903D74" w:rsidRPr="00455D9F" w:rsidRDefault="00903D74" w:rsidP="00903D74">
            <w:pPr>
              <w:rPr>
                <w:kern w:val="2"/>
                <w:lang w:val="lt-LT"/>
              </w:rPr>
            </w:pPr>
            <w:r w:rsidRPr="00455D9F">
              <w:rPr>
                <w:kern w:val="2"/>
                <w:lang w:val="lt-LT"/>
              </w:rPr>
              <w:t>1.1.9. Šalies atstovas</w:t>
            </w:r>
          </w:p>
        </w:tc>
        <w:tc>
          <w:tcPr>
            <w:tcW w:w="3510" w:type="dxa"/>
          </w:tcPr>
          <w:p w14:paraId="32C4ABE9" w14:textId="654B615A" w:rsidR="00903D74" w:rsidRPr="00455D9F" w:rsidRDefault="00903D74" w:rsidP="00903D74">
            <w:pPr>
              <w:jc w:val="center"/>
              <w:rPr>
                <w:kern w:val="2"/>
                <w:lang w:val="lt-LT"/>
              </w:rPr>
            </w:pPr>
            <w:proofErr w:type="spellStart"/>
            <w:r w:rsidRPr="00836274">
              <w:rPr>
                <w:kern w:val="2"/>
                <w:sz w:val="22"/>
                <w:szCs w:val="22"/>
              </w:rPr>
              <w:t>Direktorė</w:t>
            </w:r>
            <w:proofErr w:type="spellEnd"/>
            <w:r w:rsidRPr="00836274">
              <w:rPr>
                <w:kern w:val="2"/>
                <w:sz w:val="22"/>
                <w:szCs w:val="22"/>
              </w:rPr>
              <w:t xml:space="preserve"> Asta Sivolovienė</w:t>
            </w:r>
          </w:p>
        </w:tc>
      </w:tr>
      <w:tr w:rsidR="00903D74" w:rsidRPr="00455D9F" w14:paraId="453CF328" w14:textId="77777777" w:rsidTr="003C53E3">
        <w:tc>
          <w:tcPr>
            <w:tcW w:w="2808" w:type="dxa"/>
            <w:vMerge/>
          </w:tcPr>
          <w:p w14:paraId="3682BA7D" w14:textId="77777777" w:rsidR="00903D74" w:rsidRPr="00455D9F" w:rsidRDefault="00903D74" w:rsidP="00903D74">
            <w:pPr>
              <w:rPr>
                <w:kern w:val="2"/>
                <w:lang w:val="lt-LT"/>
              </w:rPr>
            </w:pPr>
          </w:p>
        </w:tc>
        <w:tc>
          <w:tcPr>
            <w:tcW w:w="3240" w:type="dxa"/>
          </w:tcPr>
          <w:p w14:paraId="50390C80" w14:textId="77777777" w:rsidR="00903D74" w:rsidRPr="00455D9F" w:rsidRDefault="00903D74" w:rsidP="00903D74">
            <w:pPr>
              <w:rPr>
                <w:kern w:val="2"/>
                <w:lang w:val="lt-LT"/>
              </w:rPr>
            </w:pPr>
            <w:r w:rsidRPr="00455D9F">
              <w:rPr>
                <w:kern w:val="2"/>
                <w:lang w:val="lt-LT"/>
              </w:rPr>
              <w:t>1.1.10. Atstovavimo pagrindas</w:t>
            </w:r>
          </w:p>
        </w:tc>
        <w:tc>
          <w:tcPr>
            <w:tcW w:w="3510" w:type="dxa"/>
          </w:tcPr>
          <w:p w14:paraId="37A16218" w14:textId="17E2B94D" w:rsidR="00903D74" w:rsidRPr="00455D9F" w:rsidRDefault="00903D74" w:rsidP="00903D74">
            <w:pPr>
              <w:jc w:val="center"/>
              <w:rPr>
                <w:kern w:val="2"/>
                <w:lang w:val="lt-LT"/>
              </w:rPr>
            </w:pPr>
            <w:proofErr w:type="spellStart"/>
            <w:r w:rsidRPr="00836274">
              <w:rPr>
                <w:kern w:val="2"/>
                <w:sz w:val="22"/>
                <w:szCs w:val="22"/>
              </w:rPr>
              <w:t>įstatai</w:t>
            </w:r>
            <w:proofErr w:type="spellEnd"/>
          </w:p>
        </w:tc>
      </w:tr>
      <w:tr w:rsidR="00903D74" w:rsidRPr="00455D9F" w14:paraId="06CDFDDA" w14:textId="77777777" w:rsidTr="003C53E3">
        <w:tc>
          <w:tcPr>
            <w:tcW w:w="2808" w:type="dxa"/>
            <w:vMerge w:val="restart"/>
          </w:tcPr>
          <w:p w14:paraId="4E492776" w14:textId="77777777" w:rsidR="00903D74" w:rsidRPr="00455D9F" w:rsidRDefault="00903D74" w:rsidP="00903D74">
            <w:pPr>
              <w:rPr>
                <w:b/>
                <w:bCs/>
                <w:kern w:val="2"/>
                <w:lang w:val="lt-LT"/>
              </w:rPr>
            </w:pPr>
            <w:r w:rsidRPr="00455D9F">
              <w:rPr>
                <w:b/>
                <w:bCs/>
                <w:kern w:val="2"/>
                <w:lang w:val="lt-LT"/>
              </w:rPr>
              <w:t>1.2. Tiekėjas</w:t>
            </w:r>
          </w:p>
          <w:p w14:paraId="677BC337" w14:textId="77777777" w:rsidR="00903D74" w:rsidRPr="00455D9F" w:rsidRDefault="00903D74" w:rsidP="00903D74">
            <w:pPr>
              <w:rPr>
                <w:color w:val="0070C0"/>
                <w:kern w:val="2"/>
                <w:lang w:val="lt-LT"/>
              </w:rPr>
            </w:pPr>
            <w:r w:rsidRPr="00455D9F">
              <w:rPr>
                <w:color w:val="0070C0"/>
                <w:kern w:val="2"/>
                <w:lang w:val="lt-LT"/>
              </w:rPr>
              <w:t>(jei Tiekėjas yra fizinis asmuo, skiltys atitinkamai pakoreguojamos.</w:t>
            </w:r>
          </w:p>
          <w:p w14:paraId="11FCFDA9" w14:textId="77777777" w:rsidR="00903D74" w:rsidRPr="00455D9F" w:rsidRDefault="00903D74" w:rsidP="00903D74">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903D74" w:rsidRPr="00455D9F" w:rsidRDefault="00903D74" w:rsidP="00903D74">
            <w:pPr>
              <w:rPr>
                <w:kern w:val="2"/>
                <w:lang w:val="lt-LT"/>
              </w:rPr>
            </w:pPr>
            <w:r w:rsidRPr="00455D9F">
              <w:rPr>
                <w:kern w:val="2"/>
                <w:lang w:val="lt-LT"/>
              </w:rPr>
              <w:t>1.2.1. Pavadinimas</w:t>
            </w:r>
          </w:p>
        </w:tc>
        <w:tc>
          <w:tcPr>
            <w:tcW w:w="3510" w:type="dxa"/>
          </w:tcPr>
          <w:p w14:paraId="44E1001C" w14:textId="77777777" w:rsidR="00903D74" w:rsidRPr="00455D9F" w:rsidRDefault="00903D74" w:rsidP="00903D74">
            <w:pPr>
              <w:jc w:val="center"/>
              <w:rPr>
                <w:kern w:val="2"/>
                <w:lang w:val="lt-LT"/>
              </w:rPr>
            </w:pPr>
          </w:p>
        </w:tc>
      </w:tr>
      <w:tr w:rsidR="00903D74" w:rsidRPr="00455D9F" w14:paraId="7A825167" w14:textId="77777777" w:rsidTr="003C53E3">
        <w:tc>
          <w:tcPr>
            <w:tcW w:w="2808" w:type="dxa"/>
            <w:vMerge/>
          </w:tcPr>
          <w:p w14:paraId="27905935" w14:textId="77777777" w:rsidR="00903D74" w:rsidRPr="00455D9F" w:rsidRDefault="00903D74" w:rsidP="00903D74">
            <w:pPr>
              <w:rPr>
                <w:b/>
                <w:bCs/>
                <w:kern w:val="2"/>
                <w:lang w:val="lt-LT"/>
              </w:rPr>
            </w:pPr>
          </w:p>
        </w:tc>
        <w:tc>
          <w:tcPr>
            <w:tcW w:w="3240" w:type="dxa"/>
          </w:tcPr>
          <w:p w14:paraId="67BB04E4" w14:textId="77777777" w:rsidR="00903D74" w:rsidRPr="00455D9F" w:rsidRDefault="00903D74" w:rsidP="00903D74">
            <w:pPr>
              <w:rPr>
                <w:kern w:val="2"/>
                <w:lang w:val="lt-LT"/>
              </w:rPr>
            </w:pPr>
            <w:r w:rsidRPr="00455D9F">
              <w:rPr>
                <w:kern w:val="2"/>
                <w:lang w:val="lt-LT"/>
              </w:rPr>
              <w:t>1.2.2. Juridinio asmens kodas</w:t>
            </w:r>
          </w:p>
        </w:tc>
        <w:tc>
          <w:tcPr>
            <w:tcW w:w="3510" w:type="dxa"/>
          </w:tcPr>
          <w:p w14:paraId="0CB79957" w14:textId="77777777" w:rsidR="00903D74" w:rsidRPr="00455D9F" w:rsidRDefault="00903D74" w:rsidP="00903D74">
            <w:pPr>
              <w:jc w:val="center"/>
              <w:rPr>
                <w:kern w:val="2"/>
                <w:lang w:val="lt-LT"/>
              </w:rPr>
            </w:pPr>
          </w:p>
        </w:tc>
      </w:tr>
      <w:tr w:rsidR="00903D74" w:rsidRPr="00455D9F" w14:paraId="0B817C4A" w14:textId="77777777" w:rsidTr="003C53E3">
        <w:tc>
          <w:tcPr>
            <w:tcW w:w="2808" w:type="dxa"/>
            <w:vMerge/>
          </w:tcPr>
          <w:p w14:paraId="7479E276" w14:textId="77777777" w:rsidR="00903D74" w:rsidRPr="00455D9F" w:rsidRDefault="00903D74" w:rsidP="00903D74">
            <w:pPr>
              <w:rPr>
                <w:b/>
                <w:bCs/>
                <w:kern w:val="2"/>
                <w:lang w:val="lt-LT"/>
              </w:rPr>
            </w:pPr>
          </w:p>
        </w:tc>
        <w:tc>
          <w:tcPr>
            <w:tcW w:w="3240" w:type="dxa"/>
          </w:tcPr>
          <w:p w14:paraId="02F1C76D" w14:textId="77777777" w:rsidR="00903D74" w:rsidRPr="00455D9F" w:rsidRDefault="00903D74" w:rsidP="00903D74">
            <w:pPr>
              <w:rPr>
                <w:kern w:val="2"/>
                <w:lang w:val="lt-LT"/>
              </w:rPr>
            </w:pPr>
            <w:r w:rsidRPr="00455D9F">
              <w:rPr>
                <w:kern w:val="2"/>
                <w:lang w:val="lt-LT"/>
              </w:rPr>
              <w:t>1.2.3. Adresas</w:t>
            </w:r>
          </w:p>
        </w:tc>
        <w:tc>
          <w:tcPr>
            <w:tcW w:w="3510" w:type="dxa"/>
          </w:tcPr>
          <w:p w14:paraId="107C4C22" w14:textId="77777777" w:rsidR="00903D74" w:rsidRPr="00455D9F" w:rsidRDefault="00903D74" w:rsidP="00903D74">
            <w:pPr>
              <w:jc w:val="center"/>
              <w:rPr>
                <w:kern w:val="2"/>
                <w:lang w:val="lt-LT"/>
              </w:rPr>
            </w:pPr>
          </w:p>
        </w:tc>
      </w:tr>
      <w:tr w:rsidR="00903D74" w:rsidRPr="00455D9F" w14:paraId="604A4443" w14:textId="77777777" w:rsidTr="003C53E3">
        <w:tc>
          <w:tcPr>
            <w:tcW w:w="2808" w:type="dxa"/>
            <w:vMerge/>
          </w:tcPr>
          <w:p w14:paraId="0189D563" w14:textId="77777777" w:rsidR="00903D74" w:rsidRPr="00455D9F" w:rsidRDefault="00903D74" w:rsidP="00903D74">
            <w:pPr>
              <w:rPr>
                <w:b/>
                <w:bCs/>
                <w:kern w:val="2"/>
                <w:lang w:val="lt-LT"/>
              </w:rPr>
            </w:pPr>
          </w:p>
        </w:tc>
        <w:tc>
          <w:tcPr>
            <w:tcW w:w="3240" w:type="dxa"/>
          </w:tcPr>
          <w:p w14:paraId="1FCBFAC7" w14:textId="77777777" w:rsidR="00903D74" w:rsidRPr="00455D9F" w:rsidRDefault="00903D74" w:rsidP="00903D74">
            <w:pPr>
              <w:rPr>
                <w:kern w:val="2"/>
                <w:lang w:val="lt-LT"/>
              </w:rPr>
            </w:pPr>
            <w:r w:rsidRPr="00455D9F">
              <w:rPr>
                <w:kern w:val="2"/>
                <w:lang w:val="lt-LT"/>
              </w:rPr>
              <w:t>1.2.4. PVM mokėtojo kodas</w:t>
            </w:r>
          </w:p>
        </w:tc>
        <w:tc>
          <w:tcPr>
            <w:tcW w:w="3510" w:type="dxa"/>
          </w:tcPr>
          <w:p w14:paraId="6F606687" w14:textId="77777777" w:rsidR="00903D74" w:rsidRPr="00455D9F" w:rsidRDefault="00903D74" w:rsidP="00903D74">
            <w:pPr>
              <w:jc w:val="center"/>
              <w:rPr>
                <w:kern w:val="2"/>
                <w:lang w:val="lt-LT"/>
              </w:rPr>
            </w:pPr>
          </w:p>
        </w:tc>
      </w:tr>
      <w:tr w:rsidR="00903D74" w:rsidRPr="00455D9F" w14:paraId="5BFCFA65" w14:textId="77777777" w:rsidTr="003C53E3">
        <w:tc>
          <w:tcPr>
            <w:tcW w:w="2808" w:type="dxa"/>
            <w:vMerge/>
          </w:tcPr>
          <w:p w14:paraId="1C29A046" w14:textId="77777777" w:rsidR="00903D74" w:rsidRPr="00455D9F" w:rsidRDefault="00903D74" w:rsidP="00903D74">
            <w:pPr>
              <w:rPr>
                <w:b/>
                <w:bCs/>
                <w:kern w:val="2"/>
                <w:lang w:val="lt-LT"/>
              </w:rPr>
            </w:pPr>
          </w:p>
        </w:tc>
        <w:tc>
          <w:tcPr>
            <w:tcW w:w="3240" w:type="dxa"/>
          </w:tcPr>
          <w:p w14:paraId="03F6606B" w14:textId="77777777" w:rsidR="00903D74" w:rsidRPr="00455D9F" w:rsidRDefault="00903D74" w:rsidP="00903D74">
            <w:pPr>
              <w:rPr>
                <w:kern w:val="2"/>
                <w:lang w:val="lt-LT"/>
              </w:rPr>
            </w:pPr>
            <w:r w:rsidRPr="00455D9F">
              <w:rPr>
                <w:kern w:val="2"/>
                <w:lang w:val="lt-LT"/>
              </w:rPr>
              <w:t>1.2.5. Atsiskaitomoji sąskaita</w:t>
            </w:r>
          </w:p>
        </w:tc>
        <w:tc>
          <w:tcPr>
            <w:tcW w:w="3510" w:type="dxa"/>
          </w:tcPr>
          <w:p w14:paraId="1DDDAB2F" w14:textId="77777777" w:rsidR="00903D74" w:rsidRPr="00455D9F" w:rsidRDefault="00903D74" w:rsidP="00903D74">
            <w:pPr>
              <w:jc w:val="center"/>
              <w:rPr>
                <w:kern w:val="2"/>
                <w:lang w:val="lt-LT"/>
              </w:rPr>
            </w:pPr>
          </w:p>
        </w:tc>
      </w:tr>
      <w:tr w:rsidR="00903D74" w:rsidRPr="00455D9F" w14:paraId="1EECCEE0" w14:textId="77777777" w:rsidTr="003C53E3">
        <w:tc>
          <w:tcPr>
            <w:tcW w:w="2808" w:type="dxa"/>
            <w:vMerge/>
          </w:tcPr>
          <w:p w14:paraId="131EEA1B" w14:textId="77777777" w:rsidR="00903D74" w:rsidRPr="00455D9F" w:rsidRDefault="00903D74" w:rsidP="00903D74">
            <w:pPr>
              <w:rPr>
                <w:b/>
                <w:bCs/>
                <w:kern w:val="2"/>
                <w:lang w:val="lt-LT"/>
              </w:rPr>
            </w:pPr>
          </w:p>
        </w:tc>
        <w:tc>
          <w:tcPr>
            <w:tcW w:w="3240" w:type="dxa"/>
          </w:tcPr>
          <w:p w14:paraId="2407D97D" w14:textId="77777777" w:rsidR="00903D74" w:rsidRPr="00455D9F" w:rsidRDefault="00903D74" w:rsidP="00903D74">
            <w:pPr>
              <w:rPr>
                <w:kern w:val="2"/>
                <w:lang w:val="lt-LT"/>
              </w:rPr>
            </w:pPr>
            <w:r w:rsidRPr="00455D9F">
              <w:rPr>
                <w:kern w:val="2"/>
                <w:lang w:val="lt-LT"/>
              </w:rPr>
              <w:t>1.2.6. Bankas, banko kodas</w:t>
            </w:r>
          </w:p>
        </w:tc>
        <w:tc>
          <w:tcPr>
            <w:tcW w:w="3510" w:type="dxa"/>
          </w:tcPr>
          <w:p w14:paraId="5C2F556B" w14:textId="77777777" w:rsidR="00903D74" w:rsidRPr="00455D9F" w:rsidRDefault="00903D74" w:rsidP="00903D74">
            <w:pPr>
              <w:jc w:val="center"/>
              <w:rPr>
                <w:kern w:val="2"/>
                <w:lang w:val="lt-LT"/>
              </w:rPr>
            </w:pPr>
          </w:p>
        </w:tc>
      </w:tr>
      <w:tr w:rsidR="00903D74" w:rsidRPr="00455D9F" w14:paraId="5FC16A01" w14:textId="77777777" w:rsidTr="003C53E3">
        <w:tc>
          <w:tcPr>
            <w:tcW w:w="2808" w:type="dxa"/>
            <w:vMerge/>
          </w:tcPr>
          <w:p w14:paraId="7DC93B84" w14:textId="77777777" w:rsidR="00903D74" w:rsidRPr="00455D9F" w:rsidRDefault="00903D74" w:rsidP="00903D74">
            <w:pPr>
              <w:rPr>
                <w:b/>
                <w:bCs/>
                <w:kern w:val="2"/>
                <w:lang w:val="lt-LT"/>
              </w:rPr>
            </w:pPr>
          </w:p>
        </w:tc>
        <w:tc>
          <w:tcPr>
            <w:tcW w:w="3240" w:type="dxa"/>
          </w:tcPr>
          <w:p w14:paraId="2BFD367C" w14:textId="77777777" w:rsidR="00903D74" w:rsidRPr="00455D9F" w:rsidRDefault="00903D74" w:rsidP="00903D74">
            <w:pPr>
              <w:rPr>
                <w:kern w:val="2"/>
                <w:lang w:val="lt-LT"/>
              </w:rPr>
            </w:pPr>
            <w:r w:rsidRPr="00455D9F">
              <w:rPr>
                <w:kern w:val="2"/>
                <w:lang w:val="lt-LT"/>
              </w:rPr>
              <w:t>1.2.7. Telefonas</w:t>
            </w:r>
          </w:p>
        </w:tc>
        <w:tc>
          <w:tcPr>
            <w:tcW w:w="3510" w:type="dxa"/>
          </w:tcPr>
          <w:p w14:paraId="2C1FEC85" w14:textId="77777777" w:rsidR="00903D74" w:rsidRPr="00455D9F" w:rsidRDefault="00903D74" w:rsidP="00903D74">
            <w:pPr>
              <w:jc w:val="center"/>
              <w:rPr>
                <w:kern w:val="2"/>
                <w:lang w:val="lt-LT"/>
              </w:rPr>
            </w:pPr>
          </w:p>
        </w:tc>
      </w:tr>
      <w:tr w:rsidR="00903D74" w:rsidRPr="00455D9F" w14:paraId="7937AFA5" w14:textId="77777777" w:rsidTr="003C53E3">
        <w:tc>
          <w:tcPr>
            <w:tcW w:w="2808" w:type="dxa"/>
            <w:vMerge/>
          </w:tcPr>
          <w:p w14:paraId="1A0C9157" w14:textId="77777777" w:rsidR="00903D74" w:rsidRPr="00455D9F" w:rsidRDefault="00903D74" w:rsidP="00903D74">
            <w:pPr>
              <w:rPr>
                <w:b/>
                <w:bCs/>
                <w:kern w:val="2"/>
                <w:lang w:val="lt-LT"/>
              </w:rPr>
            </w:pPr>
          </w:p>
        </w:tc>
        <w:tc>
          <w:tcPr>
            <w:tcW w:w="3240" w:type="dxa"/>
          </w:tcPr>
          <w:p w14:paraId="6F307C70" w14:textId="77777777" w:rsidR="00903D74" w:rsidRPr="00455D9F" w:rsidRDefault="00903D74" w:rsidP="00903D74">
            <w:pPr>
              <w:rPr>
                <w:kern w:val="2"/>
                <w:lang w:val="lt-LT"/>
              </w:rPr>
            </w:pPr>
            <w:r w:rsidRPr="00455D9F">
              <w:rPr>
                <w:kern w:val="2"/>
                <w:lang w:val="lt-LT"/>
              </w:rPr>
              <w:t>1.2.8. El. paštas</w:t>
            </w:r>
          </w:p>
        </w:tc>
        <w:tc>
          <w:tcPr>
            <w:tcW w:w="3510" w:type="dxa"/>
          </w:tcPr>
          <w:p w14:paraId="3222B99E" w14:textId="77777777" w:rsidR="00903D74" w:rsidRPr="00455D9F" w:rsidRDefault="00903D74" w:rsidP="00903D74">
            <w:pPr>
              <w:jc w:val="center"/>
              <w:rPr>
                <w:kern w:val="2"/>
                <w:lang w:val="lt-LT"/>
              </w:rPr>
            </w:pPr>
          </w:p>
        </w:tc>
      </w:tr>
      <w:tr w:rsidR="00903D74" w:rsidRPr="00455D9F" w14:paraId="64B10570" w14:textId="77777777" w:rsidTr="003C53E3">
        <w:tc>
          <w:tcPr>
            <w:tcW w:w="2808" w:type="dxa"/>
            <w:vMerge/>
          </w:tcPr>
          <w:p w14:paraId="685A578E" w14:textId="77777777" w:rsidR="00903D74" w:rsidRPr="00455D9F" w:rsidRDefault="00903D74" w:rsidP="00903D74">
            <w:pPr>
              <w:rPr>
                <w:b/>
                <w:bCs/>
                <w:kern w:val="2"/>
                <w:lang w:val="lt-LT"/>
              </w:rPr>
            </w:pPr>
          </w:p>
        </w:tc>
        <w:tc>
          <w:tcPr>
            <w:tcW w:w="3240" w:type="dxa"/>
          </w:tcPr>
          <w:p w14:paraId="6CDDE449" w14:textId="77777777" w:rsidR="00903D74" w:rsidRPr="00455D9F" w:rsidRDefault="00903D74" w:rsidP="00903D74">
            <w:pPr>
              <w:rPr>
                <w:kern w:val="2"/>
                <w:lang w:val="lt-LT"/>
              </w:rPr>
            </w:pPr>
            <w:r w:rsidRPr="00455D9F">
              <w:rPr>
                <w:kern w:val="2"/>
                <w:lang w:val="lt-LT"/>
              </w:rPr>
              <w:t>1.2.9. Šalies atstovas</w:t>
            </w:r>
          </w:p>
        </w:tc>
        <w:tc>
          <w:tcPr>
            <w:tcW w:w="3510" w:type="dxa"/>
          </w:tcPr>
          <w:p w14:paraId="178BAE79" w14:textId="77777777" w:rsidR="00903D74" w:rsidRPr="00455D9F" w:rsidRDefault="00903D74" w:rsidP="00903D74">
            <w:pPr>
              <w:jc w:val="center"/>
              <w:rPr>
                <w:kern w:val="2"/>
                <w:lang w:val="lt-LT"/>
              </w:rPr>
            </w:pPr>
          </w:p>
        </w:tc>
      </w:tr>
      <w:tr w:rsidR="00903D74" w:rsidRPr="00455D9F" w14:paraId="0B97DFAC" w14:textId="77777777" w:rsidTr="003C53E3">
        <w:tc>
          <w:tcPr>
            <w:tcW w:w="2808" w:type="dxa"/>
            <w:vMerge/>
          </w:tcPr>
          <w:p w14:paraId="762A7D57" w14:textId="77777777" w:rsidR="00903D74" w:rsidRPr="00455D9F" w:rsidRDefault="00903D74" w:rsidP="00903D74">
            <w:pPr>
              <w:rPr>
                <w:b/>
                <w:bCs/>
                <w:kern w:val="2"/>
                <w:lang w:val="lt-LT"/>
              </w:rPr>
            </w:pPr>
          </w:p>
        </w:tc>
        <w:tc>
          <w:tcPr>
            <w:tcW w:w="3240" w:type="dxa"/>
          </w:tcPr>
          <w:p w14:paraId="571762C6" w14:textId="77777777" w:rsidR="00903D74" w:rsidRPr="00455D9F" w:rsidRDefault="00903D74" w:rsidP="00903D74">
            <w:pPr>
              <w:rPr>
                <w:kern w:val="2"/>
                <w:lang w:val="lt-LT"/>
              </w:rPr>
            </w:pPr>
            <w:r w:rsidRPr="00455D9F">
              <w:rPr>
                <w:kern w:val="2"/>
                <w:lang w:val="lt-LT"/>
              </w:rPr>
              <w:t>1.2.10. Atstovavimo pagrindas</w:t>
            </w:r>
          </w:p>
        </w:tc>
        <w:tc>
          <w:tcPr>
            <w:tcW w:w="3510" w:type="dxa"/>
          </w:tcPr>
          <w:p w14:paraId="37351C9F" w14:textId="77777777" w:rsidR="00903D74" w:rsidRPr="00455D9F" w:rsidRDefault="00903D74" w:rsidP="00903D74">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113F0E"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113F0E"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t>3. SUTARTIES DALYKAS</w:t>
            </w:r>
          </w:p>
        </w:tc>
      </w:tr>
      <w:tr w:rsidR="00A265C8" w:rsidRPr="00113F0E"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762D1C1C"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113F0E" w:rsidRPr="00113F0E">
              <w:rPr>
                <w:b/>
                <w:bCs/>
                <w:lang w:val="lt-LT"/>
              </w:rPr>
              <w:t>TELEVIZORIAI</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113F0E"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B9C4EA4" w:rsidR="00A265C8" w:rsidRPr="00455D9F" w:rsidRDefault="00A265C8" w:rsidP="003C53E3">
            <w:pPr>
              <w:jc w:val="both"/>
              <w:rPr>
                <w:kern w:val="2"/>
                <w:lang w:val="lt-LT"/>
              </w:rPr>
            </w:pPr>
          </w:p>
        </w:tc>
      </w:tr>
      <w:tr w:rsidR="00A265C8" w:rsidRPr="00113F0E"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113F0E"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002FFEA4"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903D74">
              <w:rPr>
                <w:kern w:val="2"/>
                <w:lang w:val="lt-LT"/>
              </w:rPr>
              <w:t>10</w:t>
            </w:r>
            <w:r w:rsidRPr="00455D9F">
              <w:rPr>
                <w:kern w:val="2"/>
                <w:lang w:val="lt-LT"/>
              </w:rPr>
              <w:t xml:space="preserve"> (</w:t>
            </w:r>
            <w:r w:rsidR="00903D74">
              <w:rPr>
                <w:kern w:val="2"/>
                <w:lang w:val="lt-LT"/>
              </w:rPr>
              <w:t>dešimt</w:t>
            </w:r>
            <w:r w:rsidRPr="00455D9F">
              <w:rPr>
                <w:kern w:val="2"/>
                <w:lang w:val="lt-LT"/>
              </w:rPr>
              <w:t xml:space="preserve">) </w:t>
            </w:r>
            <w:r w:rsidR="00903D74">
              <w:rPr>
                <w:kern w:val="2"/>
                <w:lang w:val="lt-LT"/>
              </w:rPr>
              <w:t>darbo dienų</w:t>
            </w:r>
            <w:r w:rsidRPr="00455D9F">
              <w:rPr>
                <w:kern w:val="2"/>
                <w:lang w:val="lt-LT"/>
              </w:rPr>
              <w:t xml:space="preserve">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113F0E"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113F0E"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113F0E"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113F0E"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113F0E"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w:t>
            </w:r>
            <w:r w:rsidRPr="00455D9F">
              <w:rPr>
                <w:kern w:val="2"/>
                <w:lang w:val="lt-LT"/>
              </w:rPr>
              <w:lastRenderedPageBreak/>
              <w:t xml:space="preserve">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113F0E"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113F0E"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113F0E"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113F0E"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113F0E"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113F0E"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113F0E"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113F0E"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113F0E"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113F0E"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113F0E"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113F0E"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DBF7AD3" w:rsidR="00A265C8" w:rsidRPr="00455D9F" w:rsidRDefault="00A265C8" w:rsidP="003C53E3">
            <w:pPr>
              <w:rPr>
                <w:kern w:val="2"/>
                <w:lang w:val="lt-LT"/>
              </w:rPr>
            </w:pPr>
            <w:r w:rsidRPr="00455D9F">
              <w:rPr>
                <w:kern w:val="2"/>
                <w:lang w:val="lt-LT"/>
              </w:rPr>
              <w:t xml:space="preserve">Netesybų dydis: </w:t>
            </w:r>
            <w:r w:rsidR="00903D74">
              <w:rPr>
                <w:kern w:val="2"/>
                <w:lang w:val="lt-LT"/>
              </w:rPr>
              <w:t>5</w:t>
            </w:r>
            <w:r w:rsidRPr="00455D9F">
              <w:rPr>
                <w:kern w:val="2"/>
                <w:lang w:val="lt-LT"/>
              </w:rPr>
              <w:t>00,00 (</w:t>
            </w:r>
            <w:r w:rsidR="00903D74">
              <w:rPr>
                <w:kern w:val="2"/>
                <w:lang w:val="lt-LT"/>
              </w:rPr>
              <w:t>penki šimtai</w:t>
            </w:r>
            <w:r w:rsidRPr="00455D9F">
              <w:rPr>
                <w:kern w:val="2"/>
                <w:lang w:val="lt-LT"/>
              </w:rPr>
              <w:t>)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113F0E"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113F0E"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113F0E"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33566175"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903D74">
              <w:rPr>
                <w:kern w:val="2"/>
                <w:lang w:val="lt-LT"/>
              </w:rPr>
              <w:t>2</w:t>
            </w:r>
            <w:r w:rsidRPr="00455D9F">
              <w:rPr>
                <w:kern w:val="2"/>
                <w:lang w:val="lt-LT"/>
              </w:rPr>
              <w:t xml:space="preserve"> (</w:t>
            </w:r>
            <w:r w:rsidR="00903D74">
              <w:rPr>
                <w:kern w:val="2"/>
                <w:lang w:val="lt-LT"/>
              </w:rPr>
              <w:t>du</w:t>
            </w:r>
            <w:r w:rsidRPr="00455D9F">
              <w:rPr>
                <w:kern w:val="2"/>
                <w:lang w:val="lt-LT"/>
              </w:rPr>
              <w:t>) mėnesius (įeina Prekių priėmimas  ir apmokėjimas už Prekes).</w:t>
            </w:r>
            <w:r w:rsidR="00903D74">
              <w:rPr>
                <w:kern w:val="2"/>
                <w:lang w:val="lt-LT"/>
              </w:rPr>
              <w:t xml:space="preserve"> </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113F0E"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113F0E"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w:t>
            </w:r>
            <w:r w:rsidRPr="00455D9F">
              <w:rPr>
                <w:kern w:val="2"/>
                <w:lang w:val="lt-LT"/>
              </w:rPr>
              <w:lastRenderedPageBreak/>
              <w:t>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113F0E"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113F0E"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w:t>
            </w:r>
            <w:proofErr w:type="spellStart"/>
            <w:r w:rsidRPr="00455D9F">
              <w:rPr>
                <w:kern w:val="2"/>
                <w:shd w:val="clear" w:color="auto" w:fill="FFFFFF"/>
                <w:lang w:val="lt-LT"/>
              </w:rPr>
              <w:t>iais</w:t>
            </w:r>
            <w:proofErr w:type="spellEnd"/>
            <w:r w:rsidRPr="00455D9F">
              <w:rPr>
                <w:kern w:val="2"/>
                <w:shd w:val="clear" w:color="auto" w:fill="FFFFFF"/>
                <w:lang w:val="lt-LT"/>
              </w:rPr>
              <w:t>).</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55D9F">
              <w:rPr>
                <w:kern w:val="2"/>
                <w:shd w:val="clear" w:color="auto" w:fill="FFFFFF"/>
                <w:lang w:val="lt-LT"/>
              </w:rPr>
              <w:t>perdirbamumą</w:t>
            </w:r>
            <w:proofErr w:type="spellEnd"/>
            <w:r w:rsidRPr="00455D9F">
              <w:rPr>
                <w:kern w:val="2"/>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37D348FA" w14:textId="2F091656" w:rsidR="007C0DC9" w:rsidRPr="007C0DC9" w:rsidRDefault="00A265C8" w:rsidP="007C0DC9">
            <w:pPr>
              <w:jc w:val="both"/>
              <w:rPr>
                <w:kern w:val="2"/>
                <w:shd w:val="clear" w:color="auto" w:fill="FFFFFF"/>
                <w:lang w:val="lt-LT"/>
              </w:rPr>
            </w:pPr>
            <w:r w:rsidRPr="00455D9F">
              <w:rPr>
                <w:kern w:val="2"/>
                <w:lang w:val="lt-LT"/>
              </w:rPr>
              <w:t>13.1.2.</w:t>
            </w:r>
            <w:r w:rsidRPr="00455D9F">
              <w:rPr>
                <w:kern w:val="2"/>
                <w:shd w:val="clear" w:color="auto" w:fill="FFFFFF"/>
                <w:lang w:val="lt-LT"/>
              </w:rPr>
              <w:t xml:space="preserve"> </w:t>
            </w:r>
            <w:r w:rsidR="007C0DC9" w:rsidRPr="007C0DC9">
              <w:rPr>
                <w:kern w:val="2"/>
                <w:shd w:val="clear" w:color="auto" w:fill="FFFFFF"/>
                <w:lang w:val="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53959DC4" w:rsidR="00A265C8" w:rsidRPr="007C0DC9" w:rsidRDefault="007C0DC9" w:rsidP="003C53E3">
            <w:pPr>
              <w:jc w:val="both"/>
              <w:rPr>
                <w:kern w:val="2"/>
                <w:shd w:val="clear" w:color="auto" w:fill="FFFFFF"/>
                <w:lang w:val="lt-LT"/>
              </w:rPr>
            </w:pPr>
            <w:r w:rsidRPr="007C0DC9">
              <w:rPr>
                <w:kern w:val="2"/>
                <w:shd w:val="clear" w:color="auto" w:fill="FFFFFF"/>
                <w:lang w:val="lt-LT"/>
              </w:rPr>
              <w:t>Nustačius, kad Tiekėjas šiame papunktyje nustatyto kriterijaus (-jų)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lastRenderedPageBreak/>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113F0E"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E274" w14:textId="77777777" w:rsidR="007170C9" w:rsidRDefault="007170C9" w:rsidP="000A171B">
      <w:r>
        <w:separator/>
      </w:r>
    </w:p>
  </w:endnote>
  <w:endnote w:type="continuationSeparator" w:id="0">
    <w:p w14:paraId="566E1D0C" w14:textId="77777777" w:rsidR="007170C9" w:rsidRDefault="007170C9"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47AE" w14:textId="77777777" w:rsidR="007170C9" w:rsidRDefault="007170C9" w:rsidP="000A171B">
      <w:r>
        <w:separator/>
      </w:r>
    </w:p>
  </w:footnote>
  <w:footnote w:type="continuationSeparator" w:id="0">
    <w:p w14:paraId="54152C6E" w14:textId="77777777" w:rsidR="007170C9" w:rsidRDefault="007170C9"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13F0E"/>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16826"/>
    <w:rsid w:val="002257A1"/>
    <w:rsid w:val="00241630"/>
    <w:rsid w:val="00256781"/>
    <w:rsid w:val="002808E0"/>
    <w:rsid w:val="00294D38"/>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8799A"/>
    <w:rsid w:val="00590E1C"/>
    <w:rsid w:val="005A1251"/>
    <w:rsid w:val="005A70D4"/>
    <w:rsid w:val="005C18E2"/>
    <w:rsid w:val="005C3C81"/>
    <w:rsid w:val="005C4DFE"/>
    <w:rsid w:val="005D26C7"/>
    <w:rsid w:val="005F4B35"/>
    <w:rsid w:val="00604433"/>
    <w:rsid w:val="00612D54"/>
    <w:rsid w:val="00615AB8"/>
    <w:rsid w:val="006178D8"/>
    <w:rsid w:val="0062572D"/>
    <w:rsid w:val="00640B83"/>
    <w:rsid w:val="006410FB"/>
    <w:rsid w:val="0064580D"/>
    <w:rsid w:val="00647892"/>
    <w:rsid w:val="006519BE"/>
    <w:rsid w:val="006525BC"/>
    <w:rsid w:val="0065296A"/>
    <w:rsid w:val="006634B4"/>
    <w:rsid w:val="00667740"/>
    <w:rsid w:val="006764BE"/>
    <w:rsid w:val="00680133"/>
    <w:rsid w:val="00682941"/>
    <w:rsid w:val="00685473"/>
    <w:rsid w:val="006917A1"/>
    <w:rsid w:val="006939DE"/>
    <w:rsid w:val="0069665D"/>
    <w:rsid w:val="006A79C9"/>
    <w:rsid w:val="006C1332"/>
    <w:rsid w:val="006C586C"/>
    <w:rsid w:val="006D1400"/>
    <w:rsid w:val="006E11A5"/>
    <w:rsid w:val="006E329D"/>
    <w:rsid w:val="006E7D98"/>
    <w:rsid w:val="006F0189"/>
    <w:rsid w:val="006F342B"/>
    <w:rsid w:val="00703271"/>
    <w:rsid w:val="007069A9"/>
    <w:rsid w:val="00713D13"/>
    <w:rsid w:val="007170C9"/>
    <w:rsid w:val="007305C2"/>
    <w:rsid w:val="0073239C"/>
    <w:rsid w:val="0074757C"/>
    <w:rsid w:val="0075334D"/>
    <w:rsid w:val="00774160"/>
    <w:rsid w:val="0078184C"/>
    <w:rsid w:val="00787D50"/>
    <w:rsid w:val="007A3B93"/>
    <w:rsid w:val="007C0DC9"/>
    <w:rsid w:val="007C2B4D"/>
    <w:rsid w:val="007C7C8D"/>
    <w:rsid w:val="007D72EF"/>
    <w:rsid w:val="007E29EF"/>
    <w:rsid w:val="007E6155"/>
    <w:rsid w:val="007F2595"/>
    <w:rsid w:val="007F655F"/>
    <w:rsid w:val="008025BC"/>
    <w:rsid w:val="00803913"/>
    <w:rsid w:val="00804478"/>
    <w:rsid w:val="00807541"/>
    <w:rsid w:val="00816CAA"/>
    <w:rsid w:val="00822F97"/>
    <w:rsid w:val="0083315C"/>
    <w:rsid w:val="0086396D"/>
    <w:rsid w:val="00865577"/>
    <w:rsid w:val="0087294D"/>
    <w:rsid w:val="00874474"/>
    <w:rsid w:val="008756B1"/>
    <w:rsid w:val="008941CF"/>
    <w:rsid w:val="0089754E"/>
    <w:rsid w:val="008A4F32"/>
    <w:rsid w:val="008C4D6C"/>
    <w:rsid w:val="008C5897"/>
    <w:rsid w:val="008D17F1"/>
    <w:rsid w:val="008D1D49"/>
    <w:rsid w:val="008D3DA0"/>
    <w:rsid w:val="008E33EA"/>
    <w:rsid w:val="008F0868"/>
    <w:rsid w:val="008F0897"/>
    <w:rsid w:val="008F6BF6"/>
    <w:rsid w:val="0090399C"/>
    <w:rsid w:val="00903D74"/>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0CBF"/>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C5120"/>
    <w:rsid w:val="00AE0930"/>
    <w:rsid w:val="00AE59CA"/>
    <w:rsid w:val="00AF0FD0"/>
    <w:rsid w:val="00AF15C0"/>
    <w:rsid w:val="00AF55D1"/>
    <w:rsid w:val="00AF7325"/>
    <w:rsid w:val="00AF7399"/>
    <w:rsid w:val="00B0621C"/>
    <w:rsid w:val="00B27857"/>
    <w:rsid w:val="00B44D7D"/>
    <w:rsid w:val="00B6635E"/>
    <w:rsid w:val="00B727CD"/>
    <w:rsid w:val="00B757D3"/>
    <w:rsid w:val="00B77F4E"/>
    <w:rsid w:val="00B8059B"/>
    <w:rsid w:val="00B82B00"/>
    <w:rsid w:val="00B9656A"/>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D3EEF"/>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28EF"/>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2362</TotalTime>
  <Pages>44</Pages>
  <Words>86263</Words>
  <Characters>49170</Characters>
  <Application>Microsoft Office Word</Application>
  <DocSecurity>0</DocSecurity>
  <Lines>409</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171</cp:revision>
  <cp:lastPrinted>2021-02-02T11:57:00Z</cp:lastPrinted>
  <dcterms:created xsi:type="dcterms:W3CDTF">2012-01-17T09:47:00Z</dcterms:created>
  <dcterms:modified xsi:type="dcterms:W3CDTF">2026-03-13T10:52:00Z</dcterms:modified>
</cp:coreProperties>
</file>