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03562919" w:rsidR="001918AF" w:rsidRPr="00A930AE" w:rsidRDefault="001918AF" w:rsidP="001918AF">
      <w:pPr>
        <w:widowControl w:val="0"/>
        <w:ind w:firstLine="562"/>
        <w:jc w:val="right"/>
        <w:rPr>
          <w:bCs/>
          <w:iCs/>
          <w:sz w:val="24"/>
          <w:szCs w:val="24"/>
          <w:lang w:val="lt-LT" w:eastAsia="lt-LT"/>
        </w:rPr>
      </w:pPr>
      <w:r w:rsidRPr="00A930AE">
        <w:rPr>
          <w:bCs/>
          <w:iCs/>
          <w:sz w:val="24"/>
          <w:szCs w:val="24"/>
          <w:lang w:val="lt-LT" w:eastAsia="lt-LT"/>
        </w:rPr>
        <w:t>Specialiųjų sutarties sąlygų priedas Nr. 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0A67480A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F95403">
        <w:rPr>
          <w:sz w:val="23"/>
          <w:szCs w:val="23"/>
          <w:lang w:val="lt-LT"/>
        </w:rPr>
        <w:t>_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130D9E25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F95403">
        <w:rPr>
          <w:color w:val="auto"/>
          <w:sz w:val="23"/>
          <w:szCs w:val="23"/>
          <w:lang w:val="lt-LT"/>
        </w:rPr>
        <w:t>_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51BEC60C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</w:t>
      </w:r>
      <w:r w:rsidR="00584615">
        <w:rPr>
          <w:rFonts w:ascii="Times New Roman" w:hAnsi="Times New Roman"/>
          <w:sz w:val="23"/>
          <w:szCs w:val="23"/>
          <w:lang w:val="lt-LT"/>
        </w:rPr>
        <w:t> </w:t>
      </w:r>
      <w:r w:rsidRPr="006820D3">
        <w:rPr>
          <w:rFonts w:ascii="Times New Roman" w:hAnsi="Times New Roman"/>
          <w:sz w:val="23"/>
          <w:szCs w:val="23"/>
          <w:lang w:val="lt-LT"/>
        </w:rPr>
        <w:t>(-</w:t>
      </w:r>
      <w:proofErr w:type="spellStart"/>
      <w:r w:rsidRPr="006820D3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Pr="006820D3">
        <w:rPr>
          <w:rFonts w:ascii="Times New Roman" w:hAnsi="Times New Roman"/>
          <w:sz w:val="23"/>
          <w:szCs w:val="23"/>
          <w:lang w:val="lt-LT"/>
        </w:rPr>
        <w:t xml:space="preserve">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584615" w:rsidRPr="00584615">
        <w:rPr>
          <w:rFonts w:ascii="Times New Roman" w:hAnsi="Times New Roman"/>
          <w:b/>
          <w:bCs/>
          <w:sz w:val="23"/>
          <w:szCs w:val="23"/>
          <w:lang w:val="lt-LT"/>
        </w:rPr>
        <w:t xml:space="preserve">VšĮ </w:t>
      </w:r>
      <w:r w:rsidR="0006675A">
        <w:rPr>
          <w:rFonts w:ascii="Times New Roman" w:hAnsi="Times New Roman"/>
          <w:b/>
          <w:bCs/>
          <w:sz w:val="23"/>
          <w:szCs w:val="23"/>
          <w:lang w:val="lt-LT"/>
        </w:rPr>
        <w:t xml:space="preserve">Utenos </w:t>
      </w:r>
      <w:r w:rsidR="00584615" w:rsidRPr="00584615">
        <w:rPr>
          <w:rFonts w:ascii="Times New Roman" w:hAnsi="Times New Roman"/>
          <w:b/>
          <w:sz w:val="23"/>
          <w:szCs w:val="23"/>
          <w:lang w:val="lt-LT"/>
        </w:rPr>
        <w:t>ligoninė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</w:t>
      </w:r>
      <w:proofErr w:type="spellStart"/>
      <w:r w:rsidR="00E34F32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="00E34F32">
        <w:rPr>
          <w:rFonts w:ascii="Times New Roman" w:hAnsi="Times New Roman"/>
          <w:sz w:val="23"/>
          <w:szCs w:val="23"/>
          <w:lang w:val="lt-LT"/>
        </w:rPr>
        <w:t>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15C3796B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</w:t>
      </w:r>
      <w:r w:rsidR="000F64C0">
        <w:rPr>
          <w:color w:val="auto"/>
          <w:sz w:val="23"/>
          <w:szCs w:val="23"/>
          <w:lang w:val="lt-LT"/>
        </w:rPr>
        <w:t>: ___________</w:t>
      </w:r>
      <w:r w:rsidR="009B1267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lang w:val="lt-LT"/>
        </w:rPr>
        <w:t xml:space="preserve">Eur. </w:t>
      </w:r>
    </w:p>
    <w:p w14:paraId="0D24D6DA" w14:textId="3AEEFF84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F95403">
        <w:rPr>
          <w:color w:val="auto"/>
          <w:sz w:val="23"/>
          <w:szCs w:val="23"/>
          <w:lang w:val="lt-LT"/>
        </w:rPr>
        <w:t xml:space="preserve">_ </w:t>
      </w:r>
      <w:r w:rsidRPr="006820D3">
        <w:rPr>
          <w:color w:val="auto"/>
          <w:sz w:val="23"/>
          <w:szCs w:val="23"/>
          <w:lang w:val="lt-LT"/>
        </w:rPr>
        <w:t>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lastRenderedPageBreak/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6675A"/>
    <w:rsid w:val="000708AE"/>
    <w:rsid w:val="00076422"/>
    <w:rsid w:val="000F1E3C"/>
    <w:rsid w:val="000F2F83"/>
    <w:rsid w:val="000F64C0"/>
    <w:rsid w:val="00134DD7"/>
    <w:rsid w:val="001918AF"/>
    <w:rsid w:val="0019356E"/>
    <w:rsid w:val="00285A43"/>
    <w:rsid w:val="00362E73"/>
    <w:rsid w:val="00444AF2"/>
    <w:rsid w:val="00467D01"/>
    <w:rsid w:val="004868BA"/>
    <w:rsid w:val="00492032"/>
    <w:rsid w:val="00584615"/>
    <w:rsid w:val="00595392"/>
    <w:rsid w:val="00652D4A"/>
    <w:rsid w:val="006820D3"/>
    <w:rsid w:val="006915BC"/>
    <w:rsid w:val="006E0E1A"/>
    <w:rsid w:val="007048FD"/>
    <w:rsid w:val="00766707"/>
    <w:rsid w:val="0077024D"/>
    <w:rsid w:val="00795756"/>
    <w:rsid w:val="007C20D2"/>
    <w:rsid w:val="00800C02"/>
    <w:rsid w:val="00802A92"/>
    <w:rsid w:val="00820AC5"/>
    <w:rsid w:val="00827B72"/>
    <w:rsid w:val="008D76FF"/>
    <w:rsid w:val="00973E9F"/>
    <w:rsid w:val="00980CC0"/>
    <w:rsid w:val="009A1425"/>
    <w:rsid w:val="009B1267"/>
    <w:rsid w:val="009B60B4"/>
    <w:rsid w:val="00A02379"/>
    <w:rsid w:val="00A930AE"/>
    <w:rsid w:val="00B55405"/>
    <w:rsid w:val="00B64EDF"/>
    <w:rsid w:val="00B65A43"/>
    <w:rsid w:val="00C168E5"/>
    <w:rsid w:val="00C37445"/>
    <w:rsid w:val="00DB5A56"/>
    <w:rsid w:val="00DD20FB"/>
    <w:rsid w:val="00E34F32"/>
    <w:rsid w:val="00E71715"/>
    <w:rsid w:val="00E87E31"/>
    <w:rsid w:val="00E91540"/>
    <w:rsid w:val="00EC23B0"/>
    <w:rsid w:val="00EF591F"/>
    <w:rsid w:val="00F26774"/>
    <w:rsid w:val="00F44E56"/>
    <w:rsid w:val="00F47C53"/>
    <w:rsid w:val="00F47D86"/>
    <w:rsid w:val="00F95403"/>
    <w:rsid w:val="00FE6EB8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Agnė Jarušauskaitė</cp:lastModifiedBy>
  <cp:revision>48</cp:revision>
  <dcterms:created xsi:type="dcterms:W3CDTF">2023-02-09T06:18:00Z</dcterms:created>
  <dcterms:modified xsi:type="dcterms:W3CDTF">2026-03-12T12:03:00Z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