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418" w:type="dxa"/>
        <w:jc w:val="right"/>
        <w:tblLayout w:type="fixed"/>
        <w:tblLook w:val="04A0" w:firstRow="1" w:lastRow="0" w:firstColumn="1" w:lastColumn="0" w:noHBand="0" w:noVBand="1"/>
      </w:tblPr>
      <w:tblGrid>
        <w:gridCol w:w="14418"/>
      </w:tblGrid>
      <w:tr w:rsidR="00FA7CE4" w:rsidRPr="00BC1B0E" w14:paraId="5A474930" w14:textId="77777777" w:rsidTr="00BC1B0E">
        <w:trPr>
          <w:trHeight w:val="1253"/>
          <w:jc w:val="right"/>
        </w:trPr>
        <w:tc>
          <w:tcPr>
            <w:tcW w:w="14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FCB5" w14:textId="68B4339E" w:rsidR="00FA7CE4" w:rsidRPr="00BC1B0E" w:rsidRDefault="00FA7CE4" w:rsidP="00BC1B0E">
            <w:pPr>
              <w:keepNext/>
              <w:keepLines/>
              <w:pBdr>
                <w:bottom w:val="single" w:sz="4" w:space="2" w:color="ED7D31"/>
              </w:pBdr>
              <w:spacing w:after="120"/>
              <w:jc w:val="right"/>
              <w:outlineLvl w:val="0"/>
              <w:rPr>
                <w:rFonts w:eastAsia="Calibri Light"/>
                <w:color w:val="262626"/>
                <w:sz w:val="22"/>
                <w:szCs w:val="22"/>
              </w:rPr>
            </w:pPr>
            <w:bookmarkStart w:id="0" w:name="_Toc182415567"/>
            <w:r w:rsidRPr="00BC1B0E">
              <w:rPr>
                <w:rFonts w:eastAsia="Calibri Light"/>
                <w:color w:val="0070C0"/>
                <w:sz w:val="22"/>
                <w:szCs w:val="22"/>
              </w:rPr>
              <w:t xml:space="preserve">Specialiųjų pirkimo sąlygų </w:t>
            </w:r>
            <w:r w:rsidRPr="00BC1B0E">
              <w:rPr>
                <w:rFonts w:eastAsia="Calibri Light"/>
                <w:color w:val="0070C0"/>
                <w:sz w:val="22"/>
                <w:szCs w:val="22"/>
              </w:rPr>
              <w:t>1</w:t>
            </w:r>
            <w:r w:rsidRPr="00BC1B0E">
              <w:rPr>
                <w:rFonts w:eastAsia="Calibri Light"/>
                <w:color w:val="0070C0"/>
                <w:sz w:val="22"/>
                <w:szCs w:val="22"/>
              </w:rPr>
              <w:t xml:space="preserve"> priedas „Techninė specifikacija“</w:t>
            </w:r>
            <w:bookmarkEnd w:id="0"/>
          </w:p>
          <w:p w14:paraId="0CD17377" w14:textId="77777777" w:rsidR="00FA7CE4" w:rsidRPr="00BC1B0E" w:rsidRDefault="00FA7CE4" w:rsidP="00BC1B0E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1B0E">
              <w:rPr>
                <w:b/>
                <w:b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TECHNINĖ SPECIFIKACIJA</w:t>
            </w:r>
          </w:p>
        </w:tc>
      </w:tr>
    </w:tbl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76"/>
        <w:gridCol w:w="4429"/>
        <w:gridCol w:w="8985"/>
      </w:tblGrid>
      <w:tr w:rsidR="00BC1B0E" w:rsidRPr="00BC1B0E" w14:paraId="76CB1B54" w14:textId="77777777" w:rsidTr="00BC1B0E">
        <w:tc>
          <w:tcPr>
            <w:tcW w:w="339" w:type="pct"/>
            <w:shd w:val="clear" w:color="auto" w:fill="DEEAF6" w:themeFill="accent5" w:themeFillTint="33"/>
            <w:vAlign w:val="center"/>
          </w:tcPr>
          <w:p w14:paraId="12209565" w14:textId="77777777" w:rsidR="00BC1B0E" w:rsidRPr="00BC1B0E" w:rsidRDefault="00BC1B0E" w:rsidP="0041697B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Eil.</w:t>
            </w:r>
          </w:p>
          <w:p w14:paraId="0710046F" w14:textId="77777777" w:rsidR="00BC1B0E" w:rsidRPr="00BC1B0E" w:rsidRDefault="00BC1B0E" w:rsidP="0041697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1539" w:type="pct"/>
            <w:shd w:val="clear" w:color="auto" w:fill="DEEAF6" w:themeFill="accent5" w:themeFillTint="33"/>
            <w:vAlign w:val="center"/>
          </w:tcPr>
          <w:p w14:paraId="0C86C768" w14:textId="77777777" w:rsidR="00BC1B0E" w:rsidRPr="00BC1B0E" w:rsidRDefault="00BC1B0E" w:rsidP="0041697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Pirkimo objektas</w:t>
            </w:r>
          </w:p>
        </w:tc>
        <w:tc>
          <w:tcPr>
            <w:tcW w:w="3122" w:type="pct"/>
            <w:shd w:val="clear" w:color="auto" w:fill="DEEAF6" w:themeFill="accent5" w:themeFillTint="33"/>
            <w:vAlign w:val="center"/>
          </w:tcPr>
          <w:p w14:paraId="299C9349" w14:textId="77777777" w:rsidR="00BC1B0E" w:rsidRPr="00BC1B0E" w:rsidRDefault="00BC1B0E" w:rsidP="0041697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Pirkėjo nustatyti kokybinių ir techninių parametrų reikalavimai pirkimo objektui</w:t>
            </w:r>
          </w:p>
        </w:tc>
      </w:tr>
      <w:tr w:rsidR="00BC1B0E" w:rsidRPr="00BC1B0E" w14:paraId="39DC4853" w14:textId="77777777" w:rsidTr="00BC1B0E">
        <w:trPr>
          <w:trHeight w:val="188"/>
        </w:trPr>
        <w:tc>
          <w:tcPr>
            <w:tcW w:w="339" w:type="pct"/>
            <w:vAlign w:val="center"/>
          </w:tcPr>
          <w:p w14:paraId="68E44E1D" w14:textId="77777777" w:rsidR="00BC1B0E" w:rsidRPr="00BC1B0E" w:rsidRDefault="00BC1B0E" w:rsidP="00BC1B0E">
            <w:pPr>
              <w:tabs>
                <w:tab w:val="left" w:pos="720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39" w:type="pct"/>
            <w:vAlign w:val="center"/>
          </w:tcPr>
          <w:p w14:paraId="19959E42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būti:</w:t>
            </w:r>
          </w:p>
        </w:tc>
        <w:tc>
          <w:tcPr>
            <w:tcW w:w="3122" w:type="pct"/>
            <w:vAlign w:val="center"/>
          </w:tcPr>
          <w:p w14:paraId="1BE4F6C9" w14:textId="77777777" w:rsidR="00BC1B0E" w:rsidRPr="00BC1B0E" w:rsidRDefault="00BC1B0E" w:rsidP="00BC1B0E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Ekologiškas, natūralios biologinės kilmės </w:t>
            </w:r>
            <w:proofErr w:type="spellStart"/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probiotikų</w:t>
            </w:r>
            <w:proofErr w:type="spellEnd"/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mišinys, pagamintas natūralios fermentacijos būdu, nenaudojant cheminių ar genetiškai modifikuotų žaliavų. </w:t>
            </w:r>
          </w:p>
        </w:tc>
      </w:tr>
      <w:tr w:rsidR="00BC1B0E" w:rsidRPr="00BC1B0E" w14:paraId="67C686DF" w14:textId="77777777" w:rsidTr="00BC1B0E">
        <w:tc>
          <w:tcPr>
            <w:tcW w:w="339" w:type="pct"/>
            <w:vAlign w:val="center"/>
          </w:tcPr>
          <w:p w14:paraId="52CF60AF" w14:textId="77777777" w:rsidR="00BC1B0E" w:rsidRPr="00BC1B0E" w:rsidRDefault="00BC1B0E" w:rsidP="00BC1B0E">
            <w:pPr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39" w:type="pct"/>
            <w:vAlign w:val="center"/>
          </w:tcPr>
          <w:p w14:paraId="78BCECD1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būti:</w:t>
            </w:r>
          </w:p>
        </w:tc>
        <w:tc>
          <w:tcPr>
            <w:tcW w:w="3122" w:type="pct"/>
            <w:vAlign w:val="center"/>
          </w:tcPr>
          <w:p w14:paraId="02D60690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Tinkamas naudojimui atliekų tvarkymo srityje bei tinkamas ir saugus naudoti žmonių darbo vietose.</w:t>
            </w:r>
          </w:p>
        </w:tc>
      </w:tr>
      <w:tr w:rsidR="00BC1B0E" w:rsidRPr="00BC1B0E" w14:paraId="66AF8B2D" w14:textId="77777777" w:rsidTr="00BC1B0E">
        <w:tc>
          <w:tcPr>
            <w:tcW w:w="339" w:type="pct"/>
            <w:vAlign w:val="center"/>
          </w:tcPr>
          <w:p w14:paraId="4630FA92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39" w:type="pct"/>
            <w:vAlign w:val="center"/>
          </w:tcPr>
          <w:p w14:paraId="6009908C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pasižymėti savybėmis:</w:t>
            </w:r>
          </w:p>
        </w:tc>
        <w:tc>
          <w:tcPr>
            <w:tcW w:w="3122" w:type="pct"/>
            <w:vAlign w:val="center"/>
          </w:tcPr>
          <w:p w14:paraId="69FB3F12" w14:textId="77777777" w:rsidR="00BC1B0E" w:rsidRPr="00BC1B0E" w:rsidRDefault="00BC1B0E" w:rsidP="00BC1B0E">
            <w:pPr>
              <w:tabs>
                <w:tab w:val="left" w:pos="426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Mažinančiomis toksinų, nuodingų dujų bei kvapų lygius (sieros vandenilio, amoniako) bei blokuoti patogeninių mikroorganizmų dauginimąsi.</w:t>
            </w:r>
          </w:p>
        </w:tc>
      </w:tr>
      <w:tr w:rsidR="00BC1B0E" w:rsidRPr="00BC1B0E" w14:paraId="5B1661C9" w14:textId="77777777" w:rsidTr="00BC1B0E">
        <w:tc>
          <w:tcPr>
            <w:tcW w:w="339" w:type="pct"/>
            <w:vAlign w:val="center"/>
          </w:tcPr>
          <w:p w14:paraId="777B1DED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39" w:type="pct"/>
            <w:vAlign w:val="center"/>
          </w:tcPr>
          <w:p w14:paraId="49381278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Preparato sudėtyje turi būti:</w:t>
            </w:r>
          </w:p>
        </w:tc>
        <w:tc>
          <w:tcPr>
            <w:tcW w:w="3122" w:type="pct"/>
            <w:vAlign w:val="center"/>
          </w:tcPr>
          <w:p w14:paraId="07296BBA" w14:textId="77777777" w:rsidR="00BC1B0E" w:rsidRPr="00BC1B0E" w:rsidRDefault="00BC1B0E" w:rsidP="00BC1B0E">
            <w:pPr>
              <w:tabs>
                <w:tab w:val="left" w:pos="426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mažiau kaip 4 rūšių skirtingų naudingųjų mikroorganizmų, išsilaikančių produkte visą galiojimo laikotarpį.</w:t>
            </w:r>
          </w:p>
        </w:tc>
      </w:tr>
      <w:tr w:rsidR="00BC1B0E" w:rsidRPr="00BC1B0E" w14:paraId="4EB3AF6C" w14:textId="77777777" w:rsidTr="00BC1B0E">
        <w:tc>
          <w:tcPr>
            <w:tcW w:w="339" w:type="pct"/>
            <w:vAlign w:val="center"/>
          </w:tcPr>
          <w:p w14:paraId="04B24419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9" w:type="pct"/>
            <w:vAlign w:val="center"/>
          </w:tcPr>
          <w:p w14:paraId="45EB3206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turi:</w:t>
            </w:r>
          </w:p>
        </w:tc>
        <w:tc>
          <w:tcPr>
            <w:tcW w:w="3122" w:type="pct"/>
            <w:vAlign w:val="center"/>
          </w:tcPr>
          <w:p w14:paraId="6AEAD9D5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Mažinti musių ir kitų vabzdžių kiekį naudojimo zonoje.</w:t>
            </w:r>
          </w:p>
        </w:tc>
      </w:tr>
      <w:tr w:rsidR="00BC1B0E" w:rsidRPr="00BC1B0E" w14:paraId="21687440" w14:textId="77777777" w:rsidTr="00BC1B0E">
        <w:tc>
          <w:tcPr>
            <w:tcW w:w="339" w:type="pct"/>
            <w:vAlign w:val="center"/>
          </w:tcPr>
          <w:p w14:paraId="5E5DA391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39" w:type="pct"/>
            <w:vAlign w:val="center"/>
          </w:tcPr>
          <w:p w14:paraId="4958C9A4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nuo pagaminimo datos turi turėti:</w:t>
            </w:r>
          </w:p>
        </w:tc>
        <w:tc>
          <w:tcPr>
            <w:tcW w:w="3122" w:type="pct"/>
            <w:vAlign w:val="center"/>
          </w:tcPr>
          <w:p w14:paraId="6E3C7BDB" w14:textId="77777777" w:rsidR="00BC1B0E" w:rsidRPr="00BC1B0E" w:rsidRDefault="00BC1B0E" w:rsidP="00BC1B0E">
            <w:pPr>
              <w:tabs>
                <w:tab w:val="left" w:pos="426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mažesnį kaip 12 mėnesių galiojimo laikotarpį.</w:t>
            </w:r>
          </w:p>
        </w:tc>
      </w:tr>
      <w:tr w:rsidR="00BC1B0E" w:rsidRPr="00BC1B0E" w14:paraId="61676446" w14:textId="77777777" w:rsidTr="00BC1B0E">
        <w:tc>
          <w:tcPr>
            <w:tcW w:w="339" w:type="pct"/>
            <w:vAlign w:val="center"/>
          </w:tcPr>
          <w:p w14:paraId="3F40801C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39" w:type="pct"/>
            <w:vAlign w:val="center"/>
          </w:tcPr>
          <w:p w14:paraId="287F893E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būti:</w:t>
            </w:r>
          </w:p>
        </w:tc>
        <w:tc>
          <w:tcPr>
            <w:tcW w:w="3122" w:type="pct"/>
            <w:vAlign w:val="center"/>
          </w:tcPr>
          <w:p w14:paraId="3FC0C58C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Tinkamas naudojimui purškimo įrangoje.</w:t>
            </w:r>
          </w:p>
        </w:tc>
      </w:tr>
      <w:tr w:rsidR="00BC1B0E" w:rsidRPr="00BC1B0E" w14:paraId="19995ED4" w14:textId="77777777" w:rsidTr="00BC1B0E">
        <w:tc>
          <w:tcPr>
            <w:tcW w:w="339" w:type="pct"/>
            <w:vAlign w:val="center"/>
          </w:tcPr>
          <w:p w14:paraId="567EB828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39" w:type="pct"/>
            <w:vAlign w:val="center"/>
          </w:tcPr>
          <w:p w14:paraId="566BB17E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būti:</w:t>
            </w:r>
          </w:p>
        </w:tc>
        <w:tc>
          <w:tcPr>
            <w:tcW w:w="3122" w:type="pct"/>
            <w:vAlign w:val="center"/>
          </w:tcPr>
          <w:p w14:paraId="7C851C3E" w14:textId="77777777" w:rsidR="00BC1B0E" w:rsidRPr="00BC1B0E" w:rsidRDefault="00BC1B0E" w:rsidP="00BC1B0E">
            <w:pPr>
              <w:tabs>
                <w:tab w:val="left" w:pos="426"/>
                <w:tab w:val="left" w:pos="567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Koncentruotas ir tinkamas naudojimui skiedžiant vandeniu santykiu ne mažesniu kaip 1:50 ir ne didesniu kaip 1:100.</w:t>
            </w:r>
          </w:p>
        </w:tc>
      </w:tr>
      <w:tr w:rsidR="00BC1B0E" w:rsidRPr="00BC1B0E" w14:paraId="2736B3D7" w14:textId="77777777" w:rsidTr="00BC1B0E">
        <w:tc>
          <w:tcPr>
            <w:tcW w:w="339" w:type="pct"/>
            <w:vAlign w:val="center"/>
          </w:tcPr>
          <w:p w14:paraId="2BD79880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539" w:type="pct"/>
            <w:vAlign w:val="center"/>
          </w:tcPr>
          <w:p w14:paraId="090223CC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Preparatas turi būti:</w:t>
            </w:r>
          </w:p>
        </w:tc>
        <w:tc>
          <w:tcPr>
            <w:tcW w:w="3122" w:type="pct"/>
            <w:vAlign w:val="center"/>
          </w:tcPr>
          <w:p w14:paraId="3223EC8D" w14:textId="77777777" w:rsidR="00BC1B0E" w:rsidRPr="00BC1B0E" w:rsidRDefault="00BC1B0E" w:rsidP="00BC1B0E">
            <w:pPr>
              <w:tabs>
                <w:tab w:val="left" w:pos="426"/>
                <w:tab w:val="left" w:pos="567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Tinkamas naudojimui ir saugojimui temperatūrų diapazone nesiauresniame kaip nuo +5 iki +40 laipsnių pagal Celsijaus skalę.</w:t>
            </w:r>
          </w:p>
        </w:tc>
      </w:tr>
      <w:tr w:rsidR="00BC1B0E" w:rsidRPr="00BC1B0E" w14:paraId="74A8C5A2" w14:textId="77777777" w:rsidTr="00BC1B0E">
        <w:tc>
          <w:tcPr>
            <w:tcW w:w="339" w:type="pct"/>
            <w:vAlign w:val="center"/>
          </w:tcPr>
          <w:p w14:paraId="789E180B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539" w:type="pct"/>
            <w:vAlign w:val="center"/>
          </w:tcPr>
          <w:p w14:paraId="640D4F23" w14:textId="77777777" w:rsidR="00BC1B0E" w:rsidRPr="00BC1B0E" w:rsidRDefault="00BC1B0E" w:rsidP="00BC1B0E">
            <w:pPr>
              <w:tabs>
                <w:tab w:val="left" w:pos="709"/>
              </w:tabs>
              <w:spacing w:beforeLines="40" w:before="96" w:afterLines="40" w:after="96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Preparatas tiekiamas:</w:t>
            </w:r>
          </w:p>
        </w:tc>
        <w:tc>
          <w:tcPr>
            <w:tcW w:w="3122" w:type="pct"/>
            <w:vAlign w:val="center"/>
          </w:tcPr>
          <w:p w14:paraId="6DA1D657" w14:textId="45AAF98C" w:rsidR="00BC1B0E" w:rsidRPr="00BC1B0E" w:rsidRDefault="00BC1B0E" w:rsidP="00BC1B0E">
            <w:pPr>
              <w:tabs>
                <w:tab w:val="left" w:pos="426"/>
                <w:tab w:val="left" w:pos="567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BC1B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 didesnės kaip 10 l talpos perdirbamoje pakuotėje.</w:t>
            </w:r>
          </w:p>
        </w:tc>
      </w:tr>
    </w:tbl>
    <w:p w14:paraId="467564CC" w14:textId="357C23E0" w:rsidR="00BC1B0E" w:rsidRPr="00BC1B0E" w:rsidRDefault="008F315A" w:rsidP="00BC1B0E">
      <w:pPr>
        <w:spacing w:before="120" w:after="120" w:line="240" w:lineRule="auto"/>
        <w:rPr>
          <w:b/>
          <w:bCs/>
          <w:sz w:val="20"/>
          <w:lang w:val="lt-LT"/>
        </w:rPr>
      </w:pPr>
      <w:r w:rsidRPr="00BC1B0E">
        <w:rPr>
          <w:rFonts w:ascii="Times New Roman" w:hAnsi="Times New Roman" w:cs="Times New Roman"/>
          <w:b/>
          <w:bCs/>
          <w:sz w:val="20"/>
          <w:szCs w:val="20"/>
          <w:lang w:val="lt-LT"/>
        </w:rPr>
        <w:t>SVARBU:</w:t>
      </w:r>
      <w:r w:rsidRPr="00BC1B0E">
        <w:rPr>
          <w:b/>
          <w:bCs/>
          <w:sz w:val="20"/>
          <w:lang w:val="lt-LT"/>
        </w:rPr>
        <w:t xml:space="preserve"> </w:t>
      </w:r>
    </w:p>
    <w:p w14:paraId="55F79921" w14:textId="733FB810" w:rsidR="008F315A" w:rsidRPr="00BC1B0E" w:rsidRDefault="008F315A" w:rsidP="00BC1B0E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Kartu su pasiūlymu </w:t>
      </w:r>
      <w:r w:rsidR="00A8778B"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tiekėjas turi 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pateikti </w:t>
      </w:r>
      <w:r w:rsidR="00A8778B"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ir siūlomo 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preparato medžiagos saugos duomenų lapą</w:t>
      </w:r>
      <w:r w:rsid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;</w:t>
      </w:r>
    </w:p>
    <w:p w14:paraId="694DC400" w14:textId="6E852E94" w:rsidR="00BC1B0E" w:rsidRPr="00BC1B0E" w:rsidRDefault="00BC1B0E" w:rsidP="00BC1B0E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Kartu su pasiūlymu tiekėjas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turi pateikti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 xml:space="preserve">siūlomo </w:t>
      </w: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preparato medžiagos 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>kokybini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>ų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 xml:space="preserve"> ir technini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>ų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 xml:space="preserve"> parametr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 xml:space="preserve">ų atitiktį Pirkėjo 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pirkimo objektui</w:t>
      </w:r>
      <w:r w:rsidRPr="00BC1B0E">
        <w:rPr>
          <w:rFonts w:ascii="Times New Roman" w:eastAsia="SimSun" w:hAnsi="Times New Roman" w:cs="Times New Roman"/>
          <w:sz w:val="20"/>
          <w:szCs w:val="18"/>
          <w:lang w:val="lt-LT" w:eastAsia="zh-CN" w:bidi="hi-IN"/>
          <w14:ligatures w14:val="none"/>
        </w:rPr>
        <w:t xml:space="preserve"> nustatytiems 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kokybini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ams 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ir technini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ams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parametr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ams</w:t>
      </w:r>
      <w:r w:rsidRPr="00BC1B0E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>įrodančius dokumentus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 xml:space="preserve"> (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>produkto aprašymas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 xml:space="preserve">, 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>gamintojo bandymų ataskaita/protokolai/sertifikuotų įstaigų atlikti  bandymo protokolai ar kiti gamintojo objektyvūs lygiaverčiai įrodymai</w:t>
      </w:r>
      <w:r w:rsidRPr="00BC1B0E"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>)</w:t>
      </w:r>
      <w:r>
        <w:rPr>
          <w:rFonts w:ascii="Times New Roman" w:eastAsia="SimSun" w:hAnsi="Times New Roman" w:cs="Times New Roman"/>
          <w:i/>
          <w:iCs/>
          <w:sz w:val="20"/>
          <w:szCs w:val="18"/>
          <w:lang w:val="lt-LT" w:eastAsia="zh-CN" w:bidi="hi-IN"/>
          <w14:ligatures w14:val="none"/>
        </w:rPr>
        <w:t>.</w:t>
      </w:r>
    </w:p>
    <w:p w14:paraId="5E4C06C6" w14:textId="0658CBD8" w:rsidR="008A5D1C" w:rsidRPr="00BC1B0E" w:rsidRDefault="008A5D1C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t-LT"/>
          <w14:ligatures w14:val="none"/>
        </w:rPr>
      </w:pPr>
      <w:r w:rsidRPr="00BC1B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t-LT"/>
          <w14:ligatures w14:val="none"/>
        </w:rPr>
        <w:t xml:space="preserve">KITOS SĄLYGOS: </w:t>
      </w:r>
    </w:p>
    <w:p w14:paraId="48F763AC" w14:textId="4F39701A" w:rsidR="00A8778B" w:rsidRPr="00BC1B0E" w:rsidRDefault="00A8778B" w:rsidP="008C6086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Pirkėjo užsakomas preparato kiekis pirkimo sutarties laikotarpiu turės būti pristatytas adresu Ketvergių g. 2A, </w:t>
      </w:r>
      <w:proofErr w:type="spellStart"/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Dumpių</w:t>
      </w:r>
      <w:proofErr w:type="spellEnd"/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k., Klaipėdos r., per ne ilgesnį kaip 20 kalendorinių dienų laikotarpį nuo užsakymo pateikimo mobiliojo ryšio telefonu ar elektroniniu paštu.</w:t>
      </w:r>
    </w:p>
    <w:p w14:paraId="155813C7" w14:textId="6071ED85" w:rsidR="000A690C" w:rsidRPr="00BC1B0E" w:rsidRDefault="00B87070" w:rsidP="008C608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Pirkimo sutarties laikotarpiu pirkėjo </w:t>
      </w:r>
      <w:r w:rsidR="00342240"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pagal konkretų užsakymą </w:t>
      </w:r>
      <w:r w:rsidRPr="00BC1B0E">
        <w:rPr>
          <w:rFonts w:ascii="Times New Roman" w:hAnsi="Times New Roman" w:cs="Times New Roman"/>
          <w:sz w:val="20"/>
          <w:szCs w:val="20"/>
          <w:lang w:val="lt-LT"/>
        </w:rPr>
        <w:t>užsakytas ir tiekėjo p</w:t>
      </w:r>
      <w:r w:rsidR="000A690C" w:rsidRPr="00BC1B0E">
        <w:rPr>
          <w:rFonts w:ascii="Times New Roman" w:hAnsi="Times New Roman" w:cs="Times New Roman"/>
          <w:sz w:val="20"/>
          <w:szCs w:val="20"/>
          <w:lang w:val="lt-LT"/>
        </w:rPr>
        <w:t>ristatytas preparato kiekis turi turėti ne mažesnį kaip 9 mėnesių galiojimo laikotarpį nuo pristatymo dienos</w:t>
      </w:r>
      <w:r w:rsidR="008A5D1C" w:rsidRPr="00BC1B0E">
        <w:rPr>
          <w:rFonts w:ascii="Times New Roman" w:hAnsi="Times New Roman" w:cs="Times New Roman"/>
          <w:sz w:val="20"/>
          <w:szCs w:val="20"/>
          <w:lang w:val="lt-LT"/>
        </w:rPr>
        <w:t>.</w:t>
      </w:r>
    </w:p>
    <w:p w14:paraId="19DA4DE4" w14:textId="5CA8395C" w:rsidR="003E654C" w:rsidRPr="00BC1B0E" w:rsidRDefault="00EC791D" w:rsidP="008C6086">
      <w:pPr>
        <w:pStyle w:val="Sraopastraip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Pirkimo sutarties laikotarpiu pirkėjo </w:t>
      </w:r>
      <w:r w:rsidR="003E654C" w:rsidRPr="00BC1B0E">
        <w:rPr>
          <w:rFonts w:ascii="Times New Roman" w:hAnsi="Times New Roman" w:cs="Times New Roman"/>
          <w:sz w:val="20"/>
          <w:szCs w:val="20"/>
          <w:lang w:val="lt-LT"/>
        </w:rPr>
        <w:t>užsakymai bus vykdomi kas mėnesį</w:t>
      </w:r>
      <w:r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, </w:t>
      </w:r>
      <w:r w:rsidR="003E654C" w:rsidRPr="00BC1B0E">
        <w:rPr>
          <w:rFonts w:ascii="Times New Roman" w:hAnsi="Times New Roman" w:cs="Times New Roman"/>
          <w:sz w:val="20"/>
          <w:szCs w:val="20"/>
          <w:lang w:val="lt-LT"/>
        </w:rPr>
        <w:t>preliminariai po 300</w:t>
      </w:r>
      <w:r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 – </w:t>
      </w:r>
      <w:r w:rsidR="003E654C" w:rsidRPr="00BC1B0E">
        <w:rPr>
          <w:rFonts w:ascii="Times New Roman" w:hAnsi="Times New Roman" w:cs="Times New Roman"/>
          <w:sz w:val="20"/>
          <w:szCs w:val="20"/>
          <w:lang w:val="lt-LT"/>
        </w:rPr>
        <w:t>500</w:t>
      </w:r>
      <w:r w:rsidRPr="00BC1B0E">
        <w:rPr>
          <w:rFonts w:ascii="Times New Roman" w:hAnsi="Times New Roman" w:cs="Times New Roman"/>
          <w:sz w:val="20"/>
          <w:szCs w:val="20"/>
          <w:lang w:val="lt-LT"/>
        </w:rPr>
        <w:t xml:space="preserve"> litrų preparato.</w:t>
      </w:r>
    </w:p>
    <w:p w14:paraId="065C64D2" w14:textId="3BAF8216" w:rsidR="00A8778B" w:rsidRPr="00BC1B0E" w:rsidRDefault="00F62330" w:rsidP="00F62330">
      <w:pPr>
        <w:jc w:val="center"/>
        <w:rPr>
          <w:lang w:val="lt-LT"/>
        </w:rPr>
      </w:pPr>
      <w:r w:rsidRPr="00BC1B0E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______________________________</w:t>
      </w:r>
    </w:p>
    <w:sectPr w:rsidR="00A8778B" w:rsidRPr="00BC1B0E" w:rsidSect="00F62330">
      <w:pgSz w:w="15840" w:h="12240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1D"/>
    <w:multiLevelType w:val="hybridMultilevel"/>
    <w:tmpl w:val="BEFE9BE6"/>
    <w:lvl w:ilvl="0" w:tplc="24960D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921"/>
    <w:multiLevelType w:val="multilevel"/>
    <w:tmpl w:val="14AB19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4245E0"/>
    <w:multiLevelType w:val="hybridMultilevel"/>
    <w:tmpl w:val="94865E98"/>
    <w:lvl w:ilvl="0" w:tplc="D252547A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C0D"/>
    <w:multiLevelType w:val="hybridMultilevel"/>
    <w:tmpl w:val="35A6773E"/>
    <w:lvl w:ilvl="0" w:tplc="5C72F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F466E"/>
    <w:multiLevelType w:val="hybridMultilevel"/>
    <w:tmpl w:val="5ADAC65E"/>
    <w:lvl w:ilvl="0" w:tplc="AB6E0D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022CE"/>
    <w:multiLevelType w:val="hybridMultilevel"/>
    <w:tmpl w:val="32C4D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61499">
    <w:abstractNumId w:val="5"/>
  </w:num>
  <w:num w:numId="2" w16cid:durableId="854078032">
    <w:abstractNumId w:val="4"/>
  </w:num>
  <w:num w:numId="3" w16cid:durableId="1005127761">
    <w:abstractNumId w:val="1"/>
  </w:num>
  <w:num w:numId="4" w16cid:durableId="423772138">
    <w:abstractNumId w:val="3"/>
  </w:num>
  <w:num w:numId="5" w16cid:durableId="357512288">
    <w:abstractNumId w:val="0"/>
  </w:num>
  <w:num w:numId="6" w16cid:durableId="91050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5A"/>
    <w:rsid w:val="00017F11"/>
    <w:rsid w:val="000218F0"/>
    <w:rsid w:val="000416A6"/>
    <w:rsid w:val="000A690C"/>
    <w:rsid w:val="000C1D4D"/>
    <w:rsid w:val="000F6A8C"/>
    <w:rsid w:val="00163769"/>
    <w:rsid w:val="001A375D"/>
    <w:rsid w:val="001C6DD0"/>
    <w:rsid w:val="002A657F"/>
    <w:rsid w:val="00342240"/>
    <w:rsid w:val="003505D1"/>
    <w:rsid w:val="003E654C"/>
    <w:rsid w:val="00463574"/>
    <w:rsid w:val="004A5196"/>
    <w:rsid w:val="00591528"/>
    <w:rsid w:val="005A6F20"/>
    <w:rsid w:val="005C120B"/>
    <w:rsid w:val="006F77EA"/>
    <w:rsid w:val="00735FEC"/>
    <w:rsid w:val="007E690A"/>
    <w:rsid w:val="00804E7A"/>
    <w:rsid w:val="008320B4"/>
    <w:rsid w:val="008A5D1C"/>
    <w:rsid w:val="008C6086"/>
    <w:rsid w:val="008F315A"/>
    <w:rsid w:val="009105F5"/>
    <w:rsid w:val="00926D3B"/>
    <w:rsid w:val="009571EE"/>
    <w:rsid w:val="00A06D45"/>
    <w:rsid w:val="00A676B6"/>
    <w:rsid w:val="00A8778B"/>
    <w:rsid w:val="00A90993"/>
    <w:rsid w:val="00B87070"/>
    <w:rsid w:val="00BC1B0E"/>
    <w:rsid w:val="00C77394"/>
    <w:rsid w:val="00CD6A8D"/>
    <w:rsid w:val="00D322F2"/>
    <w:rsid w:val="00DF0AD5"/>
    <w:rsid w:val="00DF123D"/>
    <w:rsid w:val="00E74B9F"/>
    <w:rsid w:val="00E82A13"/>
    <w:rsid w:val="00EC791D"/>
    <w:rsid w:val="00ED269D"/>
    <w:rsid w:val="00F62330"/>
    <w:rsid w:val="00FA7CE4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B771"/>
  <w15:chartTrackingRefBased/>
  <w15:docId w15:val="{7EA2203F-46F3-4C49-9D8E-901FC969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3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3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3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3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3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3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3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3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3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3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3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3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31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31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31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31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31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31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3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3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3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3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3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315A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Buletai,lp1,Bullet 1,Use Case List Paragraph,Bullet,Paragraph"/>
    <w:basedOn w:val="prastasis"/>
    <w:link w:val="SraopastraipaDiagrama"/>
    <w:uiPriority w:val="34"/>
    <w:qFormat/>
    <w:rsid w:val="008F31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31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3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31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315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F315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uiPriority w:val="34"/>
    <w:qFormat/>
    <w:rsid w:val="003E654C"/>
  </w:style>
  <w:style w:type="table" w:customStyle="1" w:styleId="TableNormal">
    <w:name w:val="Table Normal"/>
    <w:rsid w:val="00FA7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lt-L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Rudienė</dc:creator>
  <cp:lastModifiedBy>Monika Stonkuvienė</cp:lastModifiedBy>
  <cp:revision>11</cp:revision>
  <dcterms:created xsi:type="dcterms:W3CDTF">2025-02-11T07:48:00Z</dcterms:created>
  <dcterms:modified xsi:type="dcterms:W3CDTF">2026-03-05T09:26:00Z</dcterms:modified>
</cp:coreProperties>
</file>