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0A13" w14:textId="7687EE19" w:rsidR="001B12F9" w:rsidRPr="007454A1" w:rsidRDefault="007454A1" w:rsidP="00F15D57">
      <w:pPr>
        <w:jc w:val="right"/>
      </w:pPr>
      <w:r w:rsidRPr="007454A1">
        <w:t xml:space="preserve">Pirkimo sąlygų 2 </w:t>
      </w:r>
      <w:r w:rsidR="00F15D57" w:rsidRPr="007454A1">
        <w:t>priedas</w:t>
      </w:r>
      <w:r w:rsidRPr="007454A1">
        <w:t xml:space="preserve"> </w:t>
      </w:r>
    </w:p>
    <w:p w14:paraId="571A5446" w14:textId="2D48DFC8" w:rsidR="00BE201B" w:rsidRDefault="007A5C92" w:rsidP="00733A9B">
      <w:pPr>
        <w:jc w:val="center"/>
        <w:rPr>
          <w:b/>
          <w:bCs/>
        </w:rPr>
      </w:pPr>
      <w:r>
        <w:rPr>
          <w:b/>
          <w:bCs/>
        </w:rPr>
        <w:t xml:space="preserve">PASLAUGŲ </w:t>
      </w:r>
      <w:r w:rsidR="00BE201B" w:rsidRPr="002B07FA">
        <w:rPr>
          <w:b/>
          <w:bCs/>
        </w:rPr>
        <w:t xml:space="preserve">TECHNINĖ SPECIFIKACIJA </w:t>
      </w:r>
    </w:p>
    <w:p w14:paraId="7D1458BE" w14:textId="77777777" w:rsidR="007A5C92" w:rsidRDefault="007A5C92" w:rsidP="00733A9B">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740"/>
        <w:gridCol w:w="6171"/>
      </w:tblGrid>
      <w:tr w:rsidR="007A5C92" w:rsidRPr="00095453" w14:paraId="4868AE33" w14:textId="77777777" w:rsidTr="007A5C92">
        <w:trPr>
          <w:trHeight w:val="664"/>
        </w:trPr>
        <w:tc>
          <w:tcPr>
            <w:tcW w:w="657" w:type="dxa"/>
            <w:tcBorders>
              <w:top w:val="single" w:sz="4" w:space="0" w:color="auto"/>
              <w:left w:val="single" w:sz="4" w:space="0" w:color="auto"/>
              <w:bottom w:val="single" w:sz="4" w:space="0" w:color="auto"/>
              <w:right w:val="single" w:sz="4" w:space="0" w:color="auto"/>
            </w:tcBorders>
            <w:vAlign w:val="center"/>
            <w:hideMark/>
          </w:tcPr>
          <w:p w14:paraId="1442C7A3" w14:textId="77777777" w:rsidR="007A5C92" w:rsidRPr="00095453" w:rsidRDefault="007A5C92" w:rsidP="007A5C92">
            <w:pPr>
              <w:spacing w:before="240" w:line="276" w:lineRule="auto"/>
              <w:jc w:val="center"/>
              <w:rPr>
                <w:b/>
                <w:bCs/>
                <w:noProof/>
                <w:lang w:eastAsia="en-US"/>
              </w:rPr>
            </w:pPr>
            <w:r w:rsidRPr="00095453">
              <w:rPr>
                <w:b/>
                <w:bCs/>
                <w:noProof/>
                <w:lang w:eastAsia="en-US"/>
              </w:rPr>
              <w:t>Eil. Nr.</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0F17A86" w14:textId="77777777" w:rsidR="007A5C92" w:rsidRPr="00095453" w:rsidRDefault="007A5C92" w:rsidP="007A5C92">
            <w:pPr>
              <w:spacing w:before="240" w:line="276" w:lineRule="auto"/>
              <w:jc w:val="center"/>
              <w:rPr>
                <w:b/>
                <w:bCs/>
                <w:noProof/>
                <w:lang w:eastAsia="en-US"/>
              </w:rPr>
            </w:pPr>
            <w:r w:rsidRPr="00095453">
              <w:rPr>
                <w:b/>
                <w:bCs/>
                <w:noProof/>
                <w:lang w:eastAsia="en-US"/>
              </w:rPr>
              <w:t>Pirkimo objekto pavadinimas</w:t>
            </w:r>
          </w:p>
        </w:tc>
        <w:tc>
          <w:tcPr>
            <w:tcW w:w="6171" w:type="dxa"/>
            <w:tcBorders>
              <w:top w:val="single" w:sz="4" w:space="0" w:color="auto"/>
              <w:left w:val="single" w:sz="4" w:space="0" w:color="auto"/>
              <w:bottom w:val="single" w:sz="4" w:space="0" w:color="auto"/>
              <w:right w:val="single" w:sz="4" w:space="0" w:color="auto"/>
            </w:tcBorders>
          </w:tcPr>
          <w:p w14:paraId="2AF65D5E" w14:textId="77777777" w:rsidR="007A5C92" w:rsidRPr="00095453" w:rsidRDefault="007A5C92" w:rsidP="007A5C92">
            <w:pPr>
              <w:spacing w:line="276" w:lineRule="auto"/>
              <w:jc w:val="center"/>
              <w:rPr>
                <w:noProof/>
              </w:rPr>
            </w:pPr>
            <w:r w:rsidRPr="00095453">
              <w:rPr>
                <w:b/>
                <w:bCs/>
                <w:noProof/>
                <w:lang w:eastAsia="en-US"/>
              </w:rPr>
              <w:t>Pirkimo objekto techniniai reikalavimai</w:t>
            </w:r>
            <w:r w:rsidRPr="00095453">
              <w:rPr>
                <w:b/>
                <w:bCs/>
                <w:noProof/>
                <w:lang w:eastAsia="en-US"/>
              </w:rPr>
              <w:br/>
            </w:r>
            <w:r w:rsidRPr="007A5C92">
              <w:rPr>
                <w:b/>
                <w:bCs/>
                <w:i/>
                <w:iCs/>
                <w:noProof/>
                <w:sz w:val="18"/>
                <w:szCs w:val="18"/>
                <w:lang w:eastAsia="en-US"/>
              </w:rPr>
              <w:t xml:space="preserve"> </w:t>
            </w:r>
            <w:r w:rsidRPr="007A5C92">
              <w:rPr>
                <w:bCs/>
                <w:i/>
                <w:iCs/>
                <w:noProof/>
                <w:sz w:val="14"/>
                <w:szCs w:val="18"/>
                <w:lang w:eastAsia="en-US"/>
              </w:rPr>
              <w:t>(</w:t>
            </w:r>
            <w:r w:rsidRPr="007A5C92">
              <w:rPr>
                <w:i/>
                <w:iCs/>
                <w:noProof/>
                <w:sz w:val="16"/>
                <w:szCs w:val="16"/>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7A5C92">
              <w:rPr>
                <w:bCs/>
                <w:i/>
                <w:iCs/>
                <w:noProof/>
                <w:sz w:val="14"/>
                <w:szCs w:val="18"/>
                <w:lang w:eastAsia="en-US"/>
              </w:rPr>
              <w:t>)</w:t>
            </w:r>
          </w:p>
        </w:tc>
      </w:tr>
      <w:tr w:rsidR="007A5C92" w:rsidRPr="00095453" w14:paraId="4252B1CD" w14:textId="77777777" w:rsidTr="007A5C92">
        <w:trPr>
          <w:trHeight w:val="1106"/>
        </w:trPr>
        <w:tc>
          <w:tcPr>
            <w:tcW w:w="657" w:type="dxa"/>
            <w:tcBorders>
              <w:top w:val="single" w:sz="4" w:space="0" w:color="auto"/>
              <w:left w:val="single" w:sz="4" w:space="0" w:color="auto"/>
              <w:right w:val="single" w:sz="4" w:space="0" w:color="auto"/>
            </w:tcBorders>
          </w:tcPr>
          <w:p w14:paraId="72EFA634" w14:textId="77777777" w:rsidR="007A5C92" w:rsidRPr="00095453" w:rsidRDefault="007A5C92" w:rsidP="007A5C92">
            <w:pPr>
              <w:spacing w:after="240" w:line="276" w:lineRule="auto"/>
              <w:rPr>
                <w:bCs/>
                <w:noProof/>
                <w:lang w:eastAsia="en-US"/>
              </w:rPr>
            </w:pPr>
            <w:r w:rsidRPr="00095453">
              <w:rPr>
                <w:bCs/>
                <w:noProof/>
                <w:lang w:eastAsia="en-US"/>
              </w:rPr>
              <w:t>1.</w:t>
            </w:r>
          </w:p>
          <w:p w14:paraId="6EC80443" w14:textId="77777777" w:rsidR="007A5C92" w:rsidRPr="00095453" w:rsidRDefault="007A5C92" w:rsidP="007A5C92">
            <w:pPr>
              <w:spacing w:after="240" w:line="276" w:lineRule="auto"/>
              <w:rPr>
                <w:bCs/>
                <w:noProof/>
                <w:lang w:eastAsia="en-US"/>
              </w:rPr>
            </w:pPr>
          </w:p>
        </w:tc>
        <w:tc>
          <w:tcPr>
            <w:tcW w:w="2740" w:type="dxa"/>
            <w:tcBorders>
              <w:top w:val="single" w:sz="4" w:space="0" w:color="auto"/>
              <w:left w:val="single" w:sz="4" w:space="0" w:color="auto"/>
              <w:bottom w:val="single" w:sz="4" w:space="0" w:color="auto"/>
              <w:right w:val="single" w:sz="4" w:space="0" w:color="auto"/>
            </w:tcBorders>
          </w:tcPr>
          <w:p w14:paraId="0A58636C" w14:textId="181D4D80" w:rsidR="007A5C92" w:rsidRPr="004B57D3" w:rsidRDefault="007A5C92" w:rsidP="007A5C92">
            <w:pPr>
              <w:spacing w:line="276" w:lineRule="auto"/>
              <w:jc w:val="center"/>
              <w:rPr>
                <w:bCs/>
                <w:lang w:eastAsia="en-US"/>
              </w:rPr>
            </w:pPr>
            <w:r w:rsidRPr="00F75ADE">
              <w:rPr>
                <w:bCs/>
                <w:lang w:eastAsia="en-US"/>
              </w:rPr>
              <w:t xml:space="preserve">Teisinės informacijos paieškos sistemos </w:t>
            </w:r>
            <w:r>
              <w:rPr>
                <w:bCs/>
                <w:lang w:eastAsia="en-US"/>
              </w:rPr>
              <w:t xml:space="preserve">„Infolex“ prenumeratos </w:t>
            </w:r>
            <w:r w:rsidRPr="00F75ADE">
              <w:rPr>
                <w:bCs/>
                <w:lang w:eastAsia="en-US"/>
              </w:rPr>
              <w:t xml:space="preserve">paslaugos pirkimas 12 mėn. </w:t>
            </w:r>
            <w:r>
              <w:rPr>
                <w:bCs/>
                <w:lang w:eastAsia="en-US"/>
              </w:rPr>
              <w:t xml:space="preserve">95 </w:t>
            </w:r>
            <w:r w:rsidRPr="00F75ADE">
              <w:rPr>
                <w:bCs/>
                <w:lang w:eastAsia="en-US"/>
              </w:rPr>
              <w:t>vartotojams.</w:t>
            </w:r>
          </w:p>
        </w:tc>
        <w:tc>
          <w:tcPr>
            <w:tcW w:w="6171" w:type="dxa"/>
            <w:tcBorders>
              <w:top w:val="single" w:sz="4" w:space="0" w:color="auto"/>
              <w:left w:val="single" w:sz="4" w:space="0" w:color="auto"/>
              <w:bottom w:val="single" w:sz="4" w:space="0" w:color="auto"/>
              <w:right w:val="single" w:sz="4" w:space="0" w:color="auto"/>
            </w:tcBorders>
          </w:tcPr>
          <w:p w14:paraId="7BEADB0E"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Sistemą turi  sudaryti tarpusavyje įvairaus lygio ryšiais susietos ir aktualizuotos teisinės informacijos posistemės, kuriose būtų:</w:t>
            </w:r>
          </w:p>
          <w:p w14:paraId="7BE2AA75"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1. </w:t>
            </w:r>
            <w:r w:rsidRPr="007A5C92">
              <w:rPr>
                <w:rFonts w:eastAsiaTheme="minorHAnsi"/>
                <w:b/>
                <w:bCs/>
                <w:noProof/>
                <w:lang w:eastAsia="en-US"/>
              </w:rPr>
              <w:t>Teisės aktai:</w:t>
            </w:r>
          </w:p>
          <w:p w14:paraId="41B24CCE"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viešuose ir neviešuose šaltiniuose skelbiami LR aktualizuoti norminiai aktai;</w:t>
            </w:r>
          </w:p>
          <w:p w14:paraId="70394FE0"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aktualios teisės aktų redakcijos;</w:t>
            </w:r>
          </w:p>
          <w:p w14:paraId="61BA4ACB"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palyginamosios ir suvestinės redakcijos;</w:t>
            </w:r>
          </w:p>
          <w:p w14:paraId="42D448DA"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galiojantys, greitai įsigaliosiantys, nebegaliojantys teisės aktai;</w:t>
            </w:r>
          </w:p>
          <w:p w14:paraId="64FBBDBE"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teisės aktai turi būti suskirstyti pagal temas;</w:t>
            </w:r>
          </w:p>
          <w:p w14:paraId="28AB071A"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turi būti galimybė automatizuotai versti straipsnius į populiarias užsienio kalbas;</w:t>
            </w:r>
          </w:p>
          <w:p w14:paraId="443C4B8F"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teisės aktų straipsnių lydimoji medžiaga;</w:t>
            </w:r>
          </w:p>
          <w:p w14:paraId="582B81FE"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sąsajos su ES teisės aktų posistemėje esančiais teisės aktais;</w:t>
            </w:r>
          </w:p>
          <w:p w14:paraId="1826CD5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sąsajos su aukštesniųjų teismų procesiniais sprendimais.</w:t>
            </w:r>
          </w:p>
          <w:p w14:paraId="23A00A7A"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2</w:t>
            </w:r>
            <w:r w:rsidRPr="007A5C92">
              <w:rPr>
                <w:rFonts w:eastAsiaTheme="minorHAnsi"/>
                <w:b/>
                <w:bCs/>
                <w:noProof/>
                <w:lang w:eastAsia="en-US"/>
              </w:rPr>
              <w:t>. Teismų praktika:</w:t>
            </w:r>
          </w:p>
          <w:p w14:paraId="4DBEA091"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visų Lietuvos Respublikos teismų viešai skelbiamų dokumentų tekstai;</w:t>
            </w:r>
          </w:p>
          <w:p w14:paraId="2522C800"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specialiosios teisėjų kolegijos teismingumui dokumentai;</w:t>
            </w:r>
          </w:p>
          <w:p w14:paraId="425F5C00"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kitų ginčus nagrinėjančių institucijų: Mokestinių ginčų komisijos, Vyriausiosios administracinių</w:t>
            </w:r>
          </w:p>
          <w:p w14:paraId="5F59481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ginčų komisijos, Konkurencijos tarybos, Seimo kontrolierių, Vyriausiosios tarnybinės etikos komisijos, valstybių prieš korupciją grupės, LR generalinės prokuratūros dokumentai;</w:t>
            </w:r>
          </w:p>
          <w:p w14:paraId="7F2F56E5"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sąsajos su kitomis bylomis ar cituojamais teisės aktais;</w:t>
            </w:r>
          </w:p>
          <w:p w14:paraId="56258667"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gautų paieškos rezultatų analizė pagal įvairius rodiklius;</w:t>
            </w:r>
          </w:p>
          <w:p w14:paraId="78A1F6F4"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Europos žmogaus teisų bylos prieš Lietuvą.</w:t>
            </w:r>
          </w:p>
          <w:p w14:paraId="2BAFC248" w14:textId="1C6A8772"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LR teismų praktikos reikšmingiausi išaiškinimai,  esminės teismų sprendimų motyvacinės dalies ištraukos – citatos, kuriose nusakoma, pildoma, keičiama teismų praktika; citatos  susistemintos pagal temą ir siejamos su pridėtine informacija (įstatymų</w:t>
            </w:r>
            <w:r>
              <w:rPr>
                <w:rFonts w:eastAsiaTheme="minorHAnsi"/>
                <w:noProof/>
                <w:lang w:eastAsia="en-US"/>
              </w:rPr>
              <w:t xml:space="preserve"> </w:t>
            </w:r>
            <w:r w:rsidRPr="00F75ADE">
              <w:rPr>
                <w:rFonts w:eastAsiaTheme="minorHAnsi"/>
                <w:noProof/>
                <w:lang w:eastAsia="en-US"/>
              </w:rPr>
              <w:t>straipsniais, ta tema rašytomis publikacijomis ir pan.).</w:t>
            </w:r>
          </w:p>
          <w:p w14:paraId="10BD1EE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-ES teismų praktika ir teisės aktai, Europos Sąjungos institucijų priimti aktai, kurie būtų pateikiami lietuvių, anglų, vokiečių ir prancūzų kalbomis.</w:t>
            </w:r>
          </w:p>
          <w:p w14:paraId="42570FC2"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 Sistemoje turi būti:</w:t>
            </w:r>
          </w:p>
          <w:p w14:paraId="210453C7"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individualizuota dokumentų katalogavimo sistema;</w:t>
            </w:r>
          </w:p>
          <w:p w14:paraId="3E0ECC04"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automatizuotas straipsnių vertimas į anglų, vokiečių ir prancūzų kalbas;</w:t>
            </w:r>
          </w:p>
          <w:p w14:paraId="58B57D4F"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lastRenderedPageBreak/>
              <w:t>- individualizuota vartotojo užklausų ir stebimų teisės aktų ir jų straipsnių pasikeitimų prenumerata;</w:t>
            </w:r>
          </w:p>
          <w:p w14:paraId="459520F5"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Lietuvos Aukščiausių teismų biuleteniai, lotyniškų ir teisės terminų žodynai;</w:t>
            </w:r>
          </w:p>
          <w:p w14:paraId="051E2801"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skaičiuoklės: advokato paslaugų, antstolio paslaugų, dienpinigių, ieškinio senaties, išeitinės išmokos, kalendorinių/darbo dienų, ligos pašalpos, išeitinės</w:t>
            </w:r>
          </w:p>
          <w:p w14:paraId="70F16F6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išmokos, notaro paslaugų įkainių, paveldėjimo, procesinių terminų trukmės, valstybės tarnautojo darbo užmokesčio, žyminio mokesčio;</w:t>
            </w:r>
          </w:p>
          <w:p w14:paraId="794B8F5E"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teisės aktų, teismų praktikos naujienlaiškiai bei savaitės apžvalga.</w:t>
            </w:r>
          </w:p>
          <w:p w14:paraId="62C7F7F7"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3</w:t>
            </w:r>
            <w:r w:rsidRPr="007A5C92">
              <w:rPr>
                <w:rFonts w:eastAsiaTheme="minorHAnsi"/>
                <w:b/>
                <w:bCs/>
                <w:noProof/>
                <w:lang w:eastAsia="en-US"/>
              </w:rPr>
              <w:t>.Teisėkūra:</w:t>
            </w:r>
            <w:r w:rsidRPr="00F75ADE">
              <w:rPr>
                <w:rFonts w:eastAsiaTheme="minorHAnsi"/>
                <w:noProof/>
                <w:lang w:eastAsia="en-US"/>
              </w:rPr>
              <w:t xml:space="preserve"> </w:t>
            </w:r>
          </w:p>
          <w:p w14:paraId="2C80B172"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 įstatymų projektai, </w:t>
            </w:r>
          </w:p>
          <w:p w14:paraId="60243FC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 įstatymų parengiamoji medžiaga susieta su konkrečiu projektu: aiškinamieji, lydintieji, lyginamieji raštai, komitetų išvados, nuomonės ir kt. </w:t>
            </w:r>
          </w:p>
          <w:p w14:paraId="69AF7534"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 projekto priėmimo tikimybės prognozė; </w:t>
            </w:r>
          </w:p>
          <w:p w14:paraId="0B3049C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 projekto palyginimo vedlys; </w:t>
            </w:r>
          </w:p>
          <w:p w14:paraId="568AEA66" w14:textId="77777777" w:rsidR="007A5C92" w:rsidRPr="00F75ADE"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xml:space="preserve">- projektų būsenos pokyčio prenumerata; </w:t>
            </w:r>
          </w:p>
          <w:p w14:paraId="2A4F311C" w14:textId="77777777" w:rsidR="007A5C92" w:rsidRDefault="007A5C92" w:rsidP="007A5C92">
            <w:pPr>
              <w:autoSpaceDE w:val="0"/>
              <w:autoSpaceDN w:val="0"/>
              <w:adjustRightInd w:val="0"/>
              <w:spacing w:line="276" w:lineRule="auto"/>
              <w:rPr>
                <w:rFonts w:eastAsiaTheme="minorHAnsi"/>
                <w:noProof/>
                <w:lang w:eastAsia="en-US"/>
              </w:rPr>
            </w:pPr>
            <w:r w:rsidRPr="00F75ADE">
              <w:rPr>
                <w:rFonts w:eastAsiaTheme="minorHAnsi"/>
                <w:noProof/>
                <w:lang w:eastAsia="en-US"/>
              </w:rPr>
              <w:t>- pr</w:t>
            </w:r>
            <w:r>
              <w:rPr>
                <w:rFonts w:eastAsiaTheme="minorHAnsi"/>
                <w:noProof/>
                <w:lang w:eastAsia="en-US"/>
              </w:rPr>
              <w:t>ojektų prenumerata pagal temas.</w:t>
            </w:r>
          </w:p>
          <w:p w14:paraId="3B1BC1C9" w14:textId="77777777" w:rsidR="007A5C92" w:rsidRDefault="007A5C92" w:rsidP="007A5C92">
            <w:pPr>
              <w:autoSpaceDE w:val="0"/>
              <w:autoSpaceDN w:val="0"/>
              <w:adjustRightInd w:val="0"/>
              <w:spacing w:line="276" w:lineRule="auto"/>
              <w:rPr>
                <w:rFonts w:eastAsiaTheme="minorHAnsi"/>
                <w:noProof/>
                <w:lang w:eastAsia="en-US"/>
              </w:rPr>
            </w:pPr>
          </w:p>
          <w:p w14:paraId="32E601DB" w14:textId="77777777" w:rsidR="007A5C92" w:rsidRPr="00D96638" w:rsidRDefault="007A5C92" w:rsidP="007A5C92">
            <w:pPr>
              <w:autoSpaceDE w:val="0"/>
              <w:autoSpaceDN w:val="0"/>
              <w:adjustRightInd w:val="0"/>
              <w:spacing w:line="276" w:lineRule="auto"/>
              <w:rPr>
                <w:rFonts w:eastAsiaTheme="minorHAnsi"/>
                <w:noProof/>
                <w:lang w:eastAsia="en-US"/>
              </w:rPr>
            </w:pPr>
            <w:r w:rsidRPr="00D96638">
              <w:rPr>
                <w:rFonts w:eastAsiaTheme="minorHAnsi"/>
                <w:noProof/>
                <w:lang w:eastAsia="en-US"/>
              </w:rPr>
              <w:t>Tiekėjui taikytini aplinkos apsaugos reikalavimai: LR APM 2011-06-28 d. įsakymas Nr. D1-508 „Dėl aplinkos apsaugos kriterijų taikymo, vykdant žaliuosius pirkimus, tvarkos aprašo patvirtinimo“:</w:t>
            </w:r>
          </w:p>
          <w:p w14:paraId="3CE1ED20" w14:textId="77777777" w:rsidR="007A5C92" w:rsidRPr="003F6668" w:rsidRDefault="007A5C92" w:rsidP="007A5C92">
            <w:pPr>
              <w:autoSpaceDE w:val="0"/>
              <w:autoSpaceDN w:val="0"/>
              <w:adjustRightInd w:val="0"/>
              <w:spacing w:line="276" w:lineRule="auto"/>
              <w:rPr>
                <w:rFonts w:eastAsiaTheme="minorHAnsi"/>
                <w:noProof/>
                <w:lang w:eastAsia="en-US"/>
              </w:rPr>
            </w:pPr>
            <w:r w:rsidRPr="00D96638">
              <w:rPr>
                <w:rFonts w:eastAsiaTheme="minorHAnsi"/>
                <w:noProof/>
                <w:lang w:eastAsia="en-US"/>
              </w:rPr>
              <w:t>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7A5C92" w:rsidRPr="00095453" w14:paraId="20B70BCA" w14:textId="77777777" w:rsidTr="007673BF">
        <w:trPr>
          <w:trHeight w:val="254"/>
        </w:trPr>
        <w:tc>
          <w:tcPr>
            <w:tcW w:w="9568" w:type="dxa"/>
            <w:gridSpan w:val="3"/>
            <w:tcBorders>
              <w:top w:val="single" w:sz="4" w:space="0" w:color="auto"/>
              <w:left w:val="single" w:sz="4" w:space="0" w:color="auto"/>
              <w:bottom w:val="single" w:sz="4" w:space="0" w:color="auto"/>
              <w:right w:val="single" w:sz="4" w:space="0" w:color="auto"/>
            </w:tcBorders>
          </w:tcPr>
          <w:p w14:paraId="797BE2C1" w14:textId="1EE18160" w:rsidR="007A5C92" w:rsidRPr="00095453" w:rsidRDefault="007A5C92" w:rsidP="007A5C92">
            <w:pPr>
              <w:spacing w:line="276" w:lineRule="auto"/>
              <w:rPr>
                <w:b/>
                <w:noProof/>
                <w:sz w:val="20"/>
                <w:szCs w:val="20"/>
                <w:lang w:eastAsia="en-US"/>
              </w:rPr>
            </w:pPr>
            <w:r>
              <w:rPr>
                <w:b/>
                <w:noProof/>
                <w:sz w:val="20"/>
                <w:szCs w:val="20"/>
                <w:lang w:eastAsia="en-US"/>
              </w:rPr>
              <w:lastRenderedPageBreak/>
              <w:t xml:space="preserve">Bendrasis reikalavimas: </w:t>
            </w:r>
            <w:r>
              <w:rPr>
                <w:b/>
                <w:noProof/>
                <w:sz w:val="20"/>
                <w:szCs w:val="20"/>
                <w:lang w:eastAsia="en-US"/>
              </w:rPr>
              <w:t>-</w:t>
            </w:r>
          </w:p>
        </w:tc>
      </w:tr>
      <w:tr w:rsidR="007A5C92" w:rsidRPr="00095453" w14:paraId="62B5817D" w14:textId="77777777" w:rsidTr="007673BF">
        <w:trPr>
          <w:trHeight w:val="254"/>
        </w:trPr>
        <w:tc>
          <w:tcPr>
            <w:tcW w:w="9568" w:type="dxa"/>
            <w:gridSpan w:val="3"/>
            <w:tcBorders>
              <w:top w:val="single" w:sz="4" w:space="0" w:color="auto"/>
              <w:left w:val="single" w:sz="4" w:space="0" w:color="auto"/>
              <w:bottom w:val="single" w:sz="4" w:space="0" w:color="auto"/>
              <w:right w:val="single" w:sz="4" w:space="0" w:color="auto"/>
            </w:tcBorders>
          </w:tcPr>
          <w:p w14:paraId="294BF9A9" w14:textId="51FDCD03" w:rsidR="007A5C92" w:rsidRPr="00095453" w:rsidRDefault="007A5C92" w:rsidP="007A5C92">
            <w:pPr>
              <w:spacing w:line="276" w:lineRule="auto"/>
              <w:rPr>
                <w:b/>
                <w:bCs/>
                <w:noProof/>
                <w:lang w:eastAsia="en-US"/>
              </w:rPr>
            </w:pPr>
            <w:r w:rsidRPr="00095453">
              <w:rPr>
                <w:b/>
                <w:i/>
                <w:iCs/>
                <w:noProof/>
                <w:sz w:val="20"/>
                <w:szCs w:val="20"/>
                <w:lang w:eastAsia="en-US"/>
              </w:rPr>
              <w:t>Kiti dokumentai</w:t>
            </w:r>
            <w:r>
              <w:rPr>
                <w:b/>
                <w:i/>
                <w:iCs/>
                <w:noProof/>
                <w:sz w:val="20"/>
                <w:szCs w:val="20"/>
                <w:lang w:eastAsia="en-US"/>
              </w:rPr>
              <w:t>: -</w:t>
            </w:r>
          </w:p>
        </w:tc>
      </w:tr>
    </w:tbl>
    <w:p w14:paraId="10891CC0" w14:textId="77777777" w:rsidR="007A5C92" w:rsidRDefault="007A5C92" w:rsidP="00733A9B">
      <w:pPr>
        <w:jc w:val="center"/>
        <w:rPr>
          <w:b/>
          <w:bCs/>
        </w:rPr>
      </w:pPr>
    </w:p>
    <w:p w14:paraId="3347FA55" w14:textId="77777777" w:rsidR="00DB37B1" w:rsidRPr="002B07FA" w:rsidRDefault="00DB37B1" w:rsidP="00733A9B">
      <w:pPr>
        <w:jc w:val="center"/>
        <w:rPr>
          <w:b/>
          <w:bCs/>
        </w:rPr>
      </w:pPr>
    </w:p>
    <w:p w14:paraId="3EC7C2A5" w14:textId="77777777" w:rsidR="00DB37B1" w:rsidRPr="00DB37B1" w:rsidRDefault="00DB37B1" w:rsidP="00DB37B1"/>
    <w:p w14:paraId="1B55ED2F" w14:textId="77777777" w:rsidR="00BE129C" w:rsidRPr="007454A1" w:rsidRDefault="00BE129C" w:rsidP="00BE129C">
      <w:pPr>
        <w:spacing w:line="276" w:lineRule="auto"/>
      </w:pPr>
    </w:p>
    <w:sectPr w:rsidR="00BE129C" w:rsidRPr="007454A1" w:rsidSect="00DB37B1">
      <w:headerReference w:type="default" r:id="rId8"/>
      <w:pgSz w:w="11906" w:h="16838"/>
      <w:pgMar w:top="993" w:right="566"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B024" w14:textId="77777777" w:rsidR="003551BD" w:rsidRDefault="003551BD" w:rsidP="00453509">
      <w:r>
        <w:separator/>
      </w:r>
    </w:p>
  </w:endnote>
  <w:endnote w:type="continuationSeparator" w:id="0">
    <w:p w14:paraId="0221D3BD" w14:textId="77777777" w:rsidR="003551BD" w:rsidRDefault="003551BD"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1118" w14:textId="77777777" w:rsidR="003551BD" w:rsidRDefault="003551BD" w:rsidP="00453509">
      <w:r>
        <w:separator/>
      </w:r>
    </w:p>
  </w:footnote>
  <w:footnote w:type="continuationSeparator" w:id="0">
    <w:p w14:paraId="659497D4" w14:textId="77777777" w:rsidR="003551BD" w:rsidRDefault="003551BD"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5D7E" w14:textId="77777777"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96C"/>
    <w:multiLevelType w:val="multilevel"/>
    <w:tmpl w:val="04C68BF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2934FD"/>
    <w:multiLevelType w:val="multilevel"/>
    <w:tmpl w:val="FCA4B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7"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3621"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15:restartNumberingAfterBreak="0">
    <w:nsid w:val="48047A01"/>
    <w:multiLevelType w:val="multilevel"/>
    <w:tmpl w:val="BA1C6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8247326">
    <w:abstractNumId w:val="6"/>
  </w:num>
  <w:num w:numId="2" w16cid:durableId="1933512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397587">
    <w:abstractNumId w:val="10"/>
  </w:num>
  <w:num w:numId="4" w16cid:durableId="506095109">
    <w:abstractNumId w:val="3"/>
  </w:num>
  <w:num w:numId="5" w16cid:durableId="346978689">
    <w:abstractNumId w:val="2"/>
  </w:num>
  <w:num w:numId="6" w16cid:durableId="1295914573">
    <w:abstractNumId w:val="9"/>
  </w:num>
  <w:num w:numId="7" w16cid:durableId="1844392133">
    <w:abstractNumId w:val="7"/>
  </w:num>
  <w:num w:numId="8" w16cid:durableId="1520659166">
    <w:abstractNumId w:val="5"/>
  </w:num>
  <w:num w:numId="9" w16cid:durableId="821384132">
    <w:abstractNumId w:val="1"/>
  </w:num>
  <w:num w:numId="10" w16cid:durableId="2034572556">
    <w:abstractNumId w:val="0"/>
  </w:num>
  <w:num w:numId="11" w16cid:durableId="1790008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018"/>
    <w:rsid w:val="00014860"/>
    <w:rsid w:val="0002259D"/>
    <w:rsid w:val="00023C29"/>
    <w:rsid w:val="000305D1"/>
    <w:rsid w:val="00045D11"/>
    <w:rsid w:val="00056542"/>
    <w:rsid w:val="00064063"/>
    <w:rsid w:val="000969E7"/>
    <w:rsid w:val="000A0E19"/>
    <w:rsid w:val="000A4493"/>
    <w:rsid w:val="000B4898"/>
    <w:rsid w:val="000B6973"/>
    <w:rsid w:val="000D7F72"/>
    <w:rsid w:val="000E7A90"/>
    <w:rsid w:val="000F443B"/>
    <w:rsid w:val="000F4736"/>
    <w:rsid w:val="001021C6"/>
    <w:rsid w:val="00111478"/>
    <w:rsid w:val="00124232"/>
    <w:rsid w:val="00125191"/>
    <w:rsid w:val="001347E8"/>
    <w:rsid w:val="00142230"/>
    <w:rsid w:val="001440EA"/>
    <w:rsid w:val="0014426E"/>
    <w:rsid w:val="00147EA5"/>
    <w:rsid w:val="001510FA"/>
    <w:rsid w:val="00151CB4"/>
    <w:rsid w:val="001627F6"/>
    <w:rsid w:val="00165218"/>
    <w:rsid w:val="00186D71"/>
    <w:rsid w:val="001A33FC"/>
    <w:rsid w:val="001A599E"/>
    <w:rsid w:val="001B12F9"/>
    <w:rsid w:val="001C200A"/>
    <w:rsid w:val="001C6312"/>
    <w:rsid w:val="001D1307"/>
    <w:rsid w:val="001D1A38"/>
    <w:rsid w:val="001E6AB2"/>
    <w:rsid w:val="001E6B5C"/>
    <w:rsid w:val="001F26D9"/>
    <w:rsid w:val="002053AA"/>
    <w:rsid w:val="00223836"/>
    <w:rsid w:val="00225B10"/>
    <w:rsid w:val="00236FE4"/>
    <w:rsid w:val="0024301A"/>
    <w:rsid w:val="00243CA3"/>
    <w:rsid w:val="00255A4B"/>
    <w:rsid w:val="00256B71"/>
    <w:rsid w:val="00266367"/>
    <w:rsid w:val="00266D77"/>
    <w:rsid w:val="002A2E66"/>
    <w:rsid w:val="002A4D83"/>
    <w:rsid w:val="002B07FA"/>
    <w:rsid w:val="002D4762"/>
    <w:rsid w:val="002D47E8"/>
    <w:rsid w:val="002F1688"/>
    <w:rsid w:val="002F5191"/>
    <w:rsid w:val="002F635B"/>
    <w:rsid w:val="002F7D0C"/>
    <w:rsid w:val="003027A1"/>
    <w:rsid w:val="00305FC1"/>
    <w:rsid w:val="00310054"/>
    <w:rsid w:val="003122EB"/>
    <w:rsid w:val="00326063"/>
    <w:rsid w:val="003338AD"/>
    <w:rsid w:val="003519B7"/>
    <w:rsid w:val="003551BD"/>
    <w:rsid w:val="00360BB6"/>
    <w:rsid w:val="003779AD"/>
    <w:rsid w:val="00377D3F"/>
    <w:rsid w:val="00383A9D"/>
    <w:rsid w:val="00384170"/>
    <w:rsid w:val="003A63B7"/>
    <w:rsid w:val="003B16C5"/>
    <w:rsid w:val="003B51A5"/>
    <w:rsid w:val="003C4B91"/>
    <w:rsid w:val="003D1614"/>
    <w:rsid w:val="003F0625"/>
    <w:rsid w:val="003F2DBF"/>
    <w:rsid w:val="003F3334"/>
    <w:rsid w:val="0040049A"/>
    <w:rsid w:val="00424B77"/>
    <w:rsid w:val="00435981"/>
    <w:rsid w:val="00444AE3"/>
    <w:rsid w:val="00453509"/>
    <w:rsid w:val="004563B3"/>
    <w:rsid w:val="00457068"/>
    <w:rsid w:val="004602F5"/>
    <w:rsid w:val="00462196"/>
    <w:rsid w:val="00462E95"/>
    <w:rsid w:val="00464AEE"/>
    <w:rsid w:val="00475487"/>
    <w:rsid w:val="00476209"/>
    <w:rsid w:val="0048625B"/>
    <w:rsid w:val="00487B40"/>
    <w:rsid w:val="004934F6"/>
    <w:rsid w:val="004A34EB"/>
    <w:rsid w:val="004A53DE"/>
    <w:rsid w:val="004A7FD1"/>
    <w:rsid w:val="004B72CF"/>
    <w:rsid w:val="004B7C0E"/>
    <w:rsid w:val="004E2046"/>
    <w:rsid w:val="004E268E"/>
    <w:rsid w:val="005115CC"/>
    <w:rsid w:val="00512215"/>
    <w:rsid w:val="00517EB4"/>
    <w:rsid w:val="005344F6"/>
    <w:rsid w:val="00541A25"/>
    <w:rsid w:val="00564480"/>
    <w:rsid w:val="00571EE1"/>
    <w:rsid w:val="00580E54"/>
    <w:rsid w:val="00581CA9"/>
    <w:rsid w:val="00584D5C"/>
    <w:rsid w:val="00590CC1"/>
    <w:rsid w:val="005D2634"/>
    <w:rsid w:val="005D545A"/>
    <w:rsid w:val="005F363B"/>
    <w:rsid w:val="00602DEB"/>
    <w:rsid w:val="006106F4"/>
    <w:rsid w:val="00633B19"/>
    <w:rsid w:val="00641BE6"/>
    <w:rsid w:val="00645780"/>
    <w:rsid w:val="00651698"/>
    <w:rsid w:val="006556EE"/>
    <w:rsid w:val="00661191"/>
    <w:rsid w:val="00664B2F"/>
    <w:rsid w:val="00665A9B"/>
    <w:rsid w:val="00665DD2"/>
    <w:rsid w:val="00670A67"/>
    <w:rsid w:val="0067105A"/>
    <w:rsid w:val="006730E3"/>
    <w:rsid w:val="00676344"/>
    <w:rsid w:val="00694F31"/>
    <w:rsid w:val="00695E0A"/>
    <w:rsid w:val="006A1949"/>
    <w:rsid w:val="006B3E11"/>
    <w:rsid w:val="006B5ACF"/>
    <w:rsid w:val="0071130C"/>
    <w:rsid w:val="00712BF3"/>
    <w:rsid w:val="00720406"/>
    <w:rsid w:val="0073054C"/>
    <w:rsid w:val="00733A9B"/>
    <w:rsid w:val="007454A1"/>
    <w:rsid w:val="00763E61"/>
    <w:rsid w:val="0077511E"/>
    <w:rsid w:val="00787E91"/>
    <w:rsid w:val="00790A09"/>
    <w:rsid w:val="007A5C92"/>
    <w:rsid w:val="007B5FD4"/>
    <w:rsid w:val="007C3089"/>
    <w:rsid w:val="007C78B3"/>
    <w:rsid w:val="007D08C6"/>
    <w:rsid w:val="007D4584"/>
    <w:rsid w:val="007E68A2"/>
    <w:rsid w:val="007F0EBA"/>
    <w:rsid w:val="007F36F7"/>
    <w:rsid w:val="007F522C"/>
    <w:rsid w:val="008046BD"/>
    <w:rsid w:val="00805CE1"/>
    <w:rsid w:val="00814E4E"/>
    <w:rsid w:val="00816857"/>
    <w:rsid w:val="00822E05"/>
    <w:rsid w:val="008457FC"/>
    <w:rsid w:val="00856DD4"/>
    <w:rsid w:val="0085714D"/>
    <w:rsid w:val="008572E7"/>
    <w:rsid w:val="00857543"/>
    <w:rsid w:val="00873582"/>
    <w:rsid w:val="008923E7"/>
    <w:rsid w:val="00892660"/>
    <w:rsid w:val="00893C4A"/>
    <w:rsid w:val="008A4C75"/>
    <w:rsid w:val="008D3139"/>
    <w:rsid w:val="008E4B50"/>
    <w:rsid w:val="008F1EF5"/>
    <w:rsid w:val="0091251D"/>
    <w:rsid w:val="0091575B"/>
    <w:rsid w:val="00920084"/>
    <w:rsid w:val="00926366"/>
    <w:rsid w:val="00944B5C"/>
    <w:rsid w:val="00945E33"/>
    <w:rsid w:val="009460A2"/>
    <w:rsid w:val="00961A81"/>
    <w:rsid w:val="00976773"/>
    <w:rsid w:val="00981779"/>
    <w:rsid w:val="00981E5D"/>
    <w:rsid w:val="00985CD4"/>
    <w:rsid w:val="00992385"/>
    <w:rsid w:val="00997E8A"/>
    <w:rsid w:val="009A6BE1"/>
    <w:rsid w:val="009B3281"/>
    <w:rsid w:val="009B33C5"/>
    <w:rsid w:val="009C0B28"/>
    <w:rsid w:val="009C2D5F"/>
    <w:rsid w:val="009C431A"/>
    <w:rsid w:val="009D04D1"/>
    <w:rsid w:val="009D6247"/>
    <w:rsid w:val="009E1D1E"/>
    <w:rsid w:val="00A07329"/>
    <w:rsid w:val="00A15824"/>
    <w:rsid w:val="00A86542"/>
    <w:rsid w:val="00A912A0"/>
    <w:rsid w:val="00A92B5E"/>
    <w:rsid w:val="00AA577E"/>
    <w:rsid w:val="00AB3D14"/>
    <w:rsid w:val="00AC35B5"/>
    <w:rsid w:val="00AC5087"/>
    <w:rsid w:val="00AF3D5E"/>
    <w:rsid w:val="00AF5B31"/>
    <w:rsid w:val="00AF6B22"/>
    <w:rsid w:val="00AF78BD"/>
    <w:rsid w:val="00B006CA"/>
    <w:rsid w:val="00B068F7"/>
    <w:rsid w:val="00B14605"/>
    <w:rsid w:val="00B162DB"/>
    <w:rsid w:val="00B250E0"/>
    <w:rsid w:val="00B335A0"/>
    <w:rsid w:val="00B353AA"/>
    <w:rsid w:val="00B62F92"/>
    <w:rsid w:val="00B862A4"/>
    <w:rsid w:val="00B97FAE"/>
    <w:rsid w:val="00BA47DC"/>
    <w:rsid w:val="00BC2287"/>
    <w:rsid w:val="00BC5A8B"/>
    <w:rsid w:val="00BD06B2"/>
    <w:rsid w:val="00BE129C"/>
    <w:rsid w:val="00BE201B"/>
    <w:rsid w:val="00C12785"/>
    <w:rsid w:val="00C16FB1"/>
    <w:rsid w:val="00C23C20"/>
    <w:rsid w:val="00C50387"/>
    <w:rsid w:val="00C528EB"/>
    <w:rsid w:val="00C560B0"/>
    <w:rsid w:val="00C66751"/>
    <w:rsid w:val="00C701C0"/>
    <w:rsid w:val="00C71380"/>
    <w:rsid w:val="00C74C18"/>
    <w:rsid w:val="00C77E7E"/>
    <w:rsid w:val="00C97C93"/>
    <w:rsid w:val="00CA0C8D"/>
    <w:rsid w:val="00CA0FC4"/>
    <w:rsid w:val="00CB1E6A"/>
    <w:rsid w:val="00CB7419"/>
    <w:rsid w:val="00CF084A"/>
    <w:rsid w:val="00CF48E3"/>
    <w:rsid w:val="00D04636"/>
    <w:rsid w:val="00D04F9F"/>
    <w:rsid w:val="00D1209B"/>
    <w:rsid w:val="00D238A8"/>
    <w:rsid w:val="00D30817"/>
    <w:rsid w:val="00D356B9"/>
    <w:rsid w:val="00D45F18"/>
    <w:rsid w:val="00D51D92"/>
    <w:rsid w:val="00D55DA8"/>
    <w:rsid w:val="00D56BE9"/>
    <w:rsid w:val="00D73647"/>
    <w:rsid w:val="00D76293"/>
    <w:rsid w:val="00D77333"/>
    <w:rsid w:val="00DA7021"/>
    <w:rsid w:val="00DB37B1"/>
    <w:rsid w:val="00DD6377"/>
    <w:rsid w:val="00DF6F1A"/>
    <w:rsid w:val="00E11DB4"/>
    <w:rsid w:val="00E16D41"/>
    <w:rsid w:val="00E20001"/>
    <w:rsid w:val="00E214D4"/>
    <w:rsid w:val="00E37894"/>
    <w:rsid w:val="00E37C66"/>
    <w:rsid w:val="00E47938"/>
    <w:rsid w:val="00E5077D"/>
    <w:rsid w:val="00E60196"/>
    <w:rsid w:val="00E7131B"/>
    <w:rsid w:val="00E838BC"/>
    <w:rsid w:val="00E87343"/>
    <w:rsid w:val="00EC010F"/>
    <w:rsid w:val="00EE76AB"/>
    <w:rsid w:val="00EF1FD2"/>
    <w:rsid w:val="00EF2F24"/>
    <w:rsid w:val="00F15D57"/>
    <w:rsid w:val="00F23FA7"/>
    <w:rsid w:val="00F40251"/>
    <w:rsid w:val="00F67414"/>
    <w:rsid w:val="00F67B6D"/>
    <w:rsid w:val="00F749E2"/>
    <w:rsid w:val="00F871D1"/>
    <w:rsid w:val="00F919E9"/>
    <w:rsid w:val="00F97AFC"/>
    <w:rsid w:val="00FB0B6B"/>
    <w:rsid w:val="00FC6FC7"/>
    <w:rsid w:val="00FF2CBA"/>
    <w:rsid w:val="00FF4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B52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9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2053A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CommentReference">
    <w:name w:val="annotation reference"/>
    <w:basedOn w:val="DefaultParagraphFont"/>
    <w:uiPriority w:val="99"/>
    <w:semiHidden/>
    <w:unhideWhenUsed/>
    <w:rsid w:val="00981E5D"/>
    <w:rPr>
      <w:sz w:val="16"/>
      <w:szCs w:val="16"/>
    </w:rPr>
  </w:style>
  <w:style w:type="paragraph" w:styleId="CommentText">
    <w:name w:val="annotation text"/>
    <w:basedOn w:val="Normal"/>
    <w:link w:val="CommentTextChar"/>
    <w:uiPriority w:val="99"/>
    <w:semiHidden/>
    <w:unhideWhenUsed/>
    <w:rsid w:val="00981E5D"/>
    <w:rPr>
      <w:sz w:val="20"/>
      <w:szCs w:val="20"/>
    </w:rPr>
  </w:style>
  <w:style w:type="character" w:customStyle="1" w:styleId="CommentTextChar">
    <w:name w:val="Comment Text Char"/>
    <w:basedOn w:val="DefaultParagraphFont"/>
    <w:link w:val="CommentText"/>
    <w:uiPriority w:val="99"/>
    <w:semiHidden/>
    <w:rsid w:val="00981E5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1E5D"/>
    <w:rPr>
      <w:b/>
      <w:bCs/>
    </w:rPr>
  </w:style>
  <w:style w:type="character" w:customStyle="1" w:styleId="CommentSubjectChar">
    <w:name w:val="Comment Subject Char"/>
    <w:basedOn w:val="CommentTextChar"/>
    <w:link w:val="CommentSubject"/>
    <w:uiPriority w:val="99"/>
    <w:semiHidden/>
    <w:rsid w:val="00981E5D"/>
    <w:rPr>
      <w:rFonts w:ascii="Times New Roman" w:eastAsia="Times New Roman" w:hAnsi="Times New Roman" w:cs="Times New Roman"/>
      <w:b/>
      <w:bCs/>
      <w:sz w:val="20"/>
      <w:szCs w:val="20"/>
      <w:lang w:eastAsia="lt-LT"/>
    </w:rPr>
  </w:style>
  <w:style w:type="paragraph" w:styleId="Revision">
    <w:name w:val="Revision"/>
    <w:hidden/>
    <w:uiPriority w:val="99"/>
    <w:semiHidden/>
    <w:rsid w:val="007454A1"/>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locked/>
    <w:rsid w:val="0074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6135">
      <w:bodyDiv w:val="1"/>
      <w:marLeft w:val="0"/>
      <w:marRight w:val="0"/>
      <w:marTop w:val="0"/>
      <w:marBottom w:val="0"/>
      <w:divBdr>
        <w:top w:val="none" w:sz="0" w:space="0" w:color="auto"/>
        <w:left w:val="none" w:sz="0" w:space="0" w:color="auto"/>
        <w:bottom w:val="none" w:sz="0" w:space="0" w:color="auto"/>
        <w:right w:val="none" w:sz="0" w:space="0" w:color="auto"/>
      </w:divBdr>
    </w:div>
    <w:div w:id="159003315">
      <w:bodyDiv w:val="1"/>
      <w:marLeft w:val="0"/>
      <w:marRight w:val="0"/>
      <w:marTop w:val="0"/>
      <w:marBottom w:val="0"/>
      <w:divBdr>
        <w:top w:val="none" w:sz="0" w:space="0" w:color="auto"/>
        <w:left w:val="none" w:sz="0" w:space="0" w:color="auto"/>
        <w:bottom w:val="none" w:sz="0" w:space="0" w:color="auto"/>
        <w:right w:val="none" w:sz="0" w:space="0" w:color="auto"/>
      </w:divBdr>
    </w:div>
    <w:div w:id="282076745">
      <w:bodyDiv w:val="1"/>
      <w:marLeft w:val="0"/>
      <w:marRight w:val="0"/>
      <w:marTop w:val="0"/>
      <w:marBottom w:val="0"/>
      <w:divBdr>
        <w:top w:val="none" w:sz="0" w:space="0" w:color="auto"/>
        <w:left w:val="none" w:sz="0" w:space="0" w:color="auto"/>
        <w:bottom w:val="none" w:sz="0" w:space="0" w:color="auto"/>
        <w:right w:val="none" w:sz="0" w:space="0" w:color="auto"/>
      </w:divBdr>
    </w:div>
    <w:div w:id="435636175">
      <w:bodyDiv w:val="1"/>
      <w:marLeft w:val="0"/>
      <w:marRight w:val="0"/>
      <w:marTop w:val="0"/>
      <w:marBottom w:val="0"/>
      <w:divBdr>
        <w:top w:val="none" w:sz="0" w:space="0" w:color="auto"/>
        <w:left w:val="none" w:sz="0" w:space="0" w:color="auto"/>
        <w:bottom w:val="none" w:sz="0" w:space="0" w:color="auto"/>
        <w:right w:val="none" w:sz="0" w:space="0" w:color="auto"/>
      </w:divBdr>
    </w:div>
    <w:div w:id="456921442">
      <w:bodyDiv w:val="1"/>
      <w:marLeft w:val="0"/>
      <w:marRight w:val="0"/>
      <w:marTop w:val="0"/>
      <w:marBottom w:val="0"/>
      <w:divBdr>
        <w:top w:val="none" w:sz="0" w:space="0" w:color="auto"/>
        <w:left w:val="none" w:sz="0" w:space="0" w:color="auto"/>
        <w:bottom w:val="none" w:sz="0" w:space="0" w:color="auto"/>
        <w:right w:val="none" w:sz="0" w:space="0" w:color="auto"/>
      </w:divBdr>
    </w:div>
    <w:div w:id="488909285">
      <w:bodyDiv w:val="1"/>
      <w:marLeft w:val="0"/>
      <w:marRight w:val="0"/>
      <w:marTop w:val="0"/>
      <w:marBottom w:val="0"/>
      <w:divBdr>
        <w:top w:val="none" w:sz="0" w:space="0" w:color="auto"/>
        <w:left w:val="none" w:sz="0" w:space="0" w:color="auto"/>
        <w:bottom w:val="none" w:sz="0" w:space="0" w:color="auto"/>
        <w:right w:val="none" w:sz="0" w:space="0" w:color="auto"/>
      </w:divBdr>
    </w:div>
    <w:div w:id="651906710">
      <w:bodyDiv w:val="1"/>
      <w:marLeft w:val="0"/>
      <w:marRight w:val="0"/>
      <w:marTop w:val="0"/>
      <w:marBottom w:val="0"/>
      <w:divBdr>
        <w:top w:val="none" w:sz="0" w:space="0" w:color="auto"/>
        <w:left w:val="none" w:sz="0" w:space="0" w:color="auto"/>
        <w:bottom w:val="none" w:sz="0" w:space="0" w:color="auto"/>
        <w:right w:val="none" w:sz="0" w:space="0" w:color="auto"/>
      </w:divBdr>
    </w:div>
    <w:div w:id="657420584">
      <w:bodyDiv w:val="1"/>
      <w:marLeft w:val="0"/>
      <w:marRight w:val="0"/>
      <w:marTop w:val="0"/>
      <w:marBottom w:val="0"/>
      <w:divBdr>
        <w:top w:val="none" w:sz="0" w:space="0" w:color="auto"/>
        <w:left w:val="none" w:sz="0" w:space="0" w:color="auto"/>
        <w:bottom w:val="none" w:sz="0" w:space="0" w:color="auto"/>
        <w:right w:val="none" w:sz="0" w:space="0" w:color="auto"/>
      </w:divBdr>
    </w:div>
    <w:div w:id="741948019">
      <w:bodyDiv w:val="1"/>
      <w:marLeft w:val="0"/>
      <w:marRight w:val="0"/>
      <w:marTop w:val="0"/>
      <w:marBottom w:val="0"/>
      <w:divBdr>
        <w:top w:val="none" w:sz="0" w:space="0" w:color="auto"/>
        <w:left w:val="none" w:sz="0" w:space="0" w:color="auto"/>
        <w:bottom w:val="none" w:sz="0" w:space="0" w:color="auto"/>
        <w:right w:val="none" w:sz="0" w:space="0" w:color="auto"/>
      </w:divBdr>
    </w:div>
    <w:div w:id="986667195">
      <w:bodyDiv w:val="1"/>
      <w:marLeft w:val="0"/>
      <w:marRight w:val="0"/>
      <w:marTop w:val="0"/>
      <w:marBottom w:val="0"/>
      <w:divBdr>
        <w:top w:val="none" w:sz="0" w:space="0" w:color="auto"/>
        <w:left w:val="none" w:sz="0" w:space="0" w:color="auto"/>
        <w:bottom w:val="none" w:sz="0" w:space="0" w:color="auto"/>
        <w:right w:val="none" w:sz="0" w:space="0" w:color="auto"/>
      </w:divBdr>
    </w:div>
    <w:div w:id="1032071919">
      <w:bodyDiv w:val="1"/>
      <w:marLeft w:val="0"/>
      <w:marRight w:val="0"/>
      <w:marTop w:val="0"/>
      <w:marBottom w:val="0"/>
      <w:divBdr>
        <w:top w:val="none" w:sz="0" w:space="0" w:color="auto"/>
        <w:left w:val="none" w:sz="0" w:space="0" w:color="auto"/>
        <w:bottom w:val="none" w:sz="0" w:space="0" w:color="auto"/>
        <w:right w:val="none" w:sz="0" w:space="0" w:color="auto"/>
      </w:divBdr>
    </w:div>
    <w:div w:id="1160732516">
      <w:bodyDiv w:val="1"/>
      <w:marLeft w:val="0"/>
      <w:marRight w:val="0"/>
      <w:marTop w:val="0"/>
      <w:marBottom w:val="0"/>
      <w:divBdr>
        <w:top w:val="none" w:sz="0" w:space="0" w:color="auto"/>
        <w:left w:val="none" w:sz="0" w:space="0" w:color="auto"/>
        <w:bottom w:val="none" w:sz="0" w:space="0" w:color="auto"/>
        <w:right w:val="none" w:sz="0" w:space="0" w:color="auto"/>
      </w:divBdr>
    </w:div>
    <w:div w:id="1177421349">
      <w:bodyDiv w:val="1"/>
      <w:marLeft w:val="0"/>
      <w:marRight w:val="0"/>
      <w:marTop w:val="0"/>
      <w:marBottom w:val="0"/>
      <w:divBdr>
        <w:top w:val="none" w:sz="0" w:space="0" w:color="auto"/>
        <w:left w:val="none" w:sz="0" w:space="0" w:color="auto"/>
        <w:bottom w:val="none" w:sz="0" w:space="0" w:color="auto"/>
        <w:right w:val="none" w:sz="0" w:space="0" w:color="auto"/>
      </w:divBdr>
    </w:div>
    <w:div w:id="1181168496">
      <w:bodyDiv w:val="1"/>
      <w:marLeft w:val="0"/>
      <w:marRight w:val="0"/>
      <w:marTop w:val="0"/>
      <w:marBottom w:val="0"/>
      <w:divBdr>
        <w:top w:val="none" w:sz="0" w:space="0" w:color="auto"/>
        <w:left w:val="none" w:sz="0" w:space="0" w:color="auto"/>
        <w:bottom w:val="none" w:sz="0" w:space="0" w:color="auto"/>
        <w:right w:val="none" w:sz="0" w:space="0" w:color="auto"/>
      </w:divBdr>
    </w:div>
    <w:div w:id="1183979187">
      <w:bodyDiv w:val="1"/>
      <w:marLeft w:val="0"/>
      <w:marRight w:val="0"/>
      <w:marTop w:val="0"/>
      <w:marBottom w:val="0"/>
      <w:divBdr>
        <w:top w:val="none" w:sz="0" w:space="0" w:color="auto"/>
        <w:left w:val="none" w:sz="0" w:space="0" w:color="auto"/>
        <w:bottom w:val="none" w:sz="0" w:space="0" w:color="auto"/>
        <w:right w:val="none" w:sz="0" w:space="0" w:color="auto"/>
      </w:divBdr>
    </w:div>
    <w:div w:id="1253586748">
      <w:bodyDiv w:val="1"/>
      <w:marLeft w:val="0"/>
      <w:marRight w:val="0"/>
      <w:marTop w:val="0"/>
      <w:marBottom w:val="0"/>
      <w:divBdr>
        <w:top w:val="none" w:sz="0" w:space="0" w:color="auto"/>
        <w:left w:val="none" w:sz="0" w:space="0" w:color="auto"/>
        <w:bottom w:val="none" w:sz="0" w:space="0" w:color="auto"/>
        <w:right w:val="none" w:sz="0" w:space="0" w:color="auto"/>
      </w:divBdr>
    </w:div>
    <w:div w:id="1323044148">
      <w:bodyDiv w:val="1"/>
      <w:marLeft w:val="0"/>
      <w:marRight w:val="0"/>
      <w:marTop w:val="0"/>
      <w:marBottom w:val="0"/>
      <w:divBdr>
        <w:top w:val="none" w:sz="0" w:space="0" w:color="auto"/>
        <w:left w:val="none" w:sz="0" w:space="0" w:color="auto"/>
        <w:bottom w:val="none" w:sz="0" w:space="0" w:color="auto"/>
        <w:right w:val="none" w:sz="0" w:space="0" w:color="auto"/>
      </w:divBdr>
    </w:div>
    <w:div w:id="1440947444">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458915677">
      <w:bodyDiv w:val="1"/>
      <w:marLeft w:val="0"/>
      <w:marRight w:val="0"/>
      <w:marTop w:val="0"/>
      <w:marBottom w:val="0"/>
      <w:divBdr>
        <w:top w:val="none" w:sz="0" w:space="0" w:color="auto"/>
        <w:left w:val="none" w:sz="0" w:space="0" w:color="auto"/>
        <w:bottom w:val="none" w:sz="0" w:space="0" w:color="auto"/>
        <w:right w:val="none" w:sz="0" w:space="0" w:color="auto"/>
      </w:divBdr>
    </w:div>
    <w:div w:id="1715346028">
      <w:bodyDiv w:val="1"/>
      <w:marLeft w:val="0"/>
      <w:marRight w:val="0"/>
      <w:marTop w:val="0"/>
      <w:marBottom w:val="0"/>
      <w:divBdr>
        <w:top w:val="none" w:sz="0" w:space="0" w:color="auto"/>
        <w:left w:val="none" w:sz="0" w:space="0" w:color="auto"/>
        <w:bottom w:val="none" w:sz="0" w:space="0" w:color="auto"/>
        <w:right w:val="none" w:sz="0" w:space="0" w:color="auto"/>
      </w:divBdr>
    </w:div>
    <w:div w:id="1747914525">
      <w:bodyDiv w:val="1"/>
      <w:marLeft w:val="0"/>
      <w:marRight w:val="0"/>
      <w:marTop w:val="0"/>
      <w:marBottom w:val="0"/>
      <w:divBdr>
        <w:top w:val="none" w:sz="0" w:space="0" w:color="auto"/>
        <w:left w:val="none" w:sz="0" w:space="0" w:color="auto"/>
        <w:bottom w:val="none" w:sz="0" w:space="0" w:color="auto"/>
        <w:right w:val="none" w:sz="0" w:space="0" w:color="auto"/>
      </w:divBdr>
    </w:div>
    <w:div w:id="1898008905">
      <w:bodyDiv w:val="1"/>
      <w:marLeft w:val="0"/>
      <w:marRight w:val="0"/>
      <w:marTop w:val="0"/>
      <w:marBottom w:val="0"/>
      <w:divBdr>
        <w:top w:val="none" w:sz="0" w:space="0" w:color="auto"/>
        <w:left w:val="none" w:sz="0" w:space="0" w:color="auto"/>
        <w:bottom w:val="none" w:sz="0" w:space="0" w:color="auto"/>
        <w:right w:val="none" w:sz="0" w:space="0" w:color="auto"/>
      </w:divBdr>
    </w:div>
    <w:div w:id="19743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F5E3-AB7E-4041-A5C8-CE14485F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2468</Words>
  <Characters>1408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8</cp:revision>
  <cp:lastPrinted>2021-12-21T14:25:00Z</cp:lastPrinted>
  <dcterms:created xsi:type="dcterms:W3CDTF">2025-05-06T06:37:00Z</dcterms:created>
  <dcterms:modified xsi:type="dcterms:W3CDTF">2026-03-13T08:24:00Z</dcterms:modified>
</cp:coreProperties>
</file>