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0625" w14:textId="77777777" w:rsidR="004947A4" w:rsidRPr="00AD12B5" w:rsidRDefault="004947A4" w:rsidP="004947A4">
      <w:pPr>
        <w:pStyle w:val="Header"/>
        <w:ind w:firstLine="5387"/>
      </w:pPr>
      <w:r w:rsidRPr="00245F45">
        <w:t>PATVIRTINTA</w:t>
      </w:r>
    </w:p>
    <w:p w14:paraId="44C08B57" w14:textId="77777777" w:rsidR="004947A4" w:rsidRPr="00922C7F" w:rsidRDefault="004947A4" w:rsidP="004947A4">
      <w:pPr>
        <w:pStyle w:val="Header"/>
        <w:ind w:firstLine="5387"/>
      </w:pPr>
      <w:r w:rsidRPr="00AD12B5">
        <w:t xml:space="preserve">Generolo Jono Žemaičio </w:t>
      </w:r>
    </w:p>
    <w:p w14:paraId="29AE508A" w14:textId="77777777" w:rsidR="004947A4" w:rsidRPr="00245F45" w:rsidRDefault="004947A4" w:rsidP="004947A4">
      <w:pPr>
        <w:pStyle w:val="Header"/>
        <w:ind w:firstLine="5387"/>
      </w:pPr>
      <w:r w:rsidRPr="00922C7F">
        <w:t xml:space="preserve">Lietuvos karo akademijos </w:t>
      </w:r>
      <w:r w:rsidRPr="00245F45">
        <w:t xml:space="preserve">viršininko </w:t>
      </w:r>
    </w:p>
    <w:p w14:paraId="1F547FFF" w14:textId="77777777" w:rsidR="004947A4" w:rsidRDefault="004947A4" w:rsidP="004947A4">
      <w:pPr>
        <w:pStyle w:val="Header"/>
        <w:ind w:firstLine="5387"/>
      </w:pPr>
      <w:r w:rsidRPr="00245F45">
        <w:t xml:space="preserve">2025 m. </w:t>
      </w:r>
      <w:r>
        <w:t>birželio</w:t>
      </w:r>
      <w:r w:rsidRPr="00B82758">
        <w:t xml:space="preserve"> </w:t>
      </w:r>
      <w:r>
        <w:t>6</w:t>
      </w:r>
      <w:r w:rsidRPr="00B82758">
        <w:t xml:space="preserve"> </w:t>
      </w:r>
      <w:r w:rsidRPr="00922C7F">
        <w:t xml:space="preserve">d. </w:t>
      </w:r>
      <w:r w:rsidRPr="00AD12B5">
        <w:t>įsakymu Nr. V-</w:t>
      </w:r>
      <w:r>
        <w:t>359</w:t>
      </w:r>
    </w:p>
    <w:p w14:paraId="07BF2684" w14:textId="77777777" w:rsidR="004947A4" w:rsidRPr="00B82758" w:rsidRDefault="004947A4" w:rsidP="004947A4">
      <w:pPr>
        <w:ind w:left="3888" w:firstLine="1296"/>
      </w:pPr>
      <w:r>
        <w:t xml:space="preserve">   (</w:t>
      </w:r>
      <w:r w:rsidRPr="00B82758">
        <w:t>Generolo Jono Žemaičio</w:t>
      </w:r>
    </w:p>
    <w:p w14:paraId="4B35575D" w14:textId="77777777" w:rsidR="004947A4" w:rsidRPr="00B82758" w:rsidRDefault="004947A4" w:rsidP="004947A4">
      <w:pPr>
        <w:ind w:left="3888" w:firstLine="1296"/>
      </w:pPr>
      <w:r>
        <w:t xml:space="preserve">   </w:t>
      </w:r>
      <w:r w:rsidRPr="00B82758">
        <w:t>Lietuvos karo akademijos viršininko</w:t>
      </w:r>
    </w:p>
    <w:p w14:paraId="58657A94" w14:textId="7EBD1D25" w:rsidR="004947A4" w:rsidRPr="004947A4" w:rsidRDefault="004947A4" w:rsidP="004947A4">
      <w:pPr>
        <w:pStyle w:val="Header"/>
        <w:ind w:firstLine="5387"/>
      </w:pPr>
      <w:r w:rsidRPr="004947A4">
        <w:t>2026 m. sausio 28 d. įsakymo Nr. V-59</w:t>
      </w:r>
    </w:p>
    <w:p w14:paraId="481C59E7" w14:textId="77777777" w:rsidR="004947A4" w:rsidRDefault="004947A4" w:rsidP="004947A4">
      <w:pPr>
        <w:pStyle w:val="Header"/>
        <w:ind w:firstLine="5387"/>
      </w:pPr>
      <w:r w:rsidRPr="004947A4">
        <w:t>redakcija)</w:t>
      </w:r>
    </w:p>
    <w:p w14:paraId="02B1E078" w14:textId="77777777" w:rsidR="004947A4" w:rsidRDefault="004947A4" w:rsidP="004947A4">
      <w:pPr>
        <w:pStyle w:val="Header"/>
        <w:ind w:left="-426" w:firstLine="5813"/>
      </w:pPr>
      <w:r>
        <w:t xml:space="preserve">Viešųjų pirkimų valdymo </w:t>
      </w:r>
    </w:p>
    <w:p w14:paraId="7CFCFE22" w14:textId="77777777" w:rsidR="004947A4" w:rsidRDefault="004947A4" w:rsidP="004947A4">
      <w:pPr>
        <w:pStyle w:val="Header"/>
        <w:ind w:left="-426" w:firstLine="5813"/>
      </w:pPr>
      <w:r>
        <w:t>G</w:t>
      </w:r>
      <w:r w:rsidRPr="0008076C">
        <w:t>enerolo Jono Ž</w:t>
      </w:r>
      <w:r>
        <w:t xml:space="preserve">emaičio Lietuvos karo </w:t>
      </w:r>
    </w:p>
    <w:p w14:paraId="10AE5472" w14:textId="77777777" w:rsidR="004947A4" w:rsidRDefault="004947A4" w:rsidP="004947A4">
      <w:pPr>
        <w:pStyle w:val="Header"/>
        <w:ind w:firstLine="5387"/>
      </w:pPr>
      <w:r>
        <w:t xml:space="preserve">akademijoje tvarkos aprašo </w:t>
      </w:r>
    </w:p>
    <w:p w14:paraId="0AEA47CC" w14:textId="77777777" w:rsidR="004947A4" w:rsidRPr="00D53AC7" w:rsidRDefault="004947A4" w:rsidP="004947A4">
      <w:pPr>
        <w:pStyle w:val="Header"/>
        <w:ind w:firstLine="5387"/>
      </w:pPr>
      <w:r>
        <w:t xml:space="preserve">6 </w:t>
      </w:r>
      <w:r w:rsidRPr="00D53AC7">
        <w:t xml:space="preserve">priedas </w:t>
      </w:r>
    </w:p>
    <w:p w14:paraId="398E029A" w14:textId="77777777" w:rsidR="001B12F9" w:rsidRDefault="001B12F9"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9E" w14:textId="1B10EE39" w:rsidR="00733A9B" w:rsidRDefault="00733A9B" w:rsidP="00733A9B">
      <w:pPr>
        <w:jc w:val="center"/>
        <w:outlineLvl w:val="0"/>
        <w:rPr>
          <w:bCs/>
          <w:spacing w:val="3"/>
          <w:szCs w:val="20"/>
        </w:rPr>
      </w:pPr>
      <w:r>
        <w:rPr>
          <w:bCs/>
          <w:spacing w:val="3"/>
          <w:szCs w:val="20"/>
        </w:rPr>
        <w:t>_____________</w:t>
      </w:r>
    </w:p>
    <w:p w14:paraId="398E029F" w14:textId="77777777" w:rsidR="00733A9B" w:rsidRDefault="00733A9B" w:rsidP="00733A9B">
      <w:pPr>
        <w:jc w:val="center"/>
        <w:outlineLvl w:val="0"/>
        <w:rPr>
          <w:bCs/>
        </w:rPr>
      </w:pPr>
      <w:r>
        <w:rPr>
          <w:bCs/>
          <w:sz w:val="18"/>
          <w:szCs w:val="18"/>
        </w:rPr>
        <w:t>(</w:t>
      </w:r>
      <w:r>
        <w:rPr>
          <w:bCs/>
        </w:rPr>
        <w:t>data, Nr.)</w:t>
      </w:r>
    </w:p>
    <w:p w14:paraId="398E02A0" w14:textId="1E4A8B05" w:rsidR="00733A9B" w:rsidRDefault="00733A9B" w:rsidP="00733A9B">
      <w:pPr>
        <w:jc w:val="center"/>
        <w:outlineLvl w:val="0"/>
        <w:rPr>
          <w:bCs/>
        </w:rPr>
      </w:pPr>
      <w:r>
        <w:rPr>
          <w:bCs/>
        </w:rPr>
        <w:t>_____</w:t>
      </w:r>
      <w:r w:rsidR="00CD5532">
        <w:rPr>
          <w:bCs/>
        </w:rPr>
        <w:t>Vilnius</w:t>
      </w:r>
      <w:r>
        <w:rPr>
          <w:bCs/>
        </w:rPr>
        <w:t>_____</w:t>
      </w:r>
    </w:p>
    <w:p w14:paraId="398E02A1" w14:textId="77777777" w:rsidR="00733A9B" w:rsidRDefault="00733A9B" w:rsidP="00733A9B">
      <w:pPr>
        <w:jc w:val="center"/>
        <w:outlineLvl w:val="0"/>
        <w:rPr>
          <w:bCs/>
        </w:rPr>
      </w:pPr>
      <w:r>
        <w:rPr>
          <w:bCs/>
        </w:rPr>
        <w:t>(vieta)</w:t>
      </w:r>
    </w:p>
    <w:p w14:paraId="398E02A2" w14:textId="77777777" w:rsidR="00733A9B" w:rsidRDefault="00733A9B" w:rsidP="00733A9B">
      <w:pPr>
        <w:jc w:val="center"/>
        <w:outlineLvl w:val="0"/>
        <w:rPr>
          <w:bCs/>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532"/>
      </w:tblGrid>
      <w:tr w:rsidR="00512215" w14:paraId="398E02A6" w14:textId="77777777" w:rsidTr="00023F4D">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3C28E4" w:rsidRDefault="00512215" w:rsidP="003C28E4">
            <w:pPr>
              <w:spacing w:before="240"/>
              <w:jc w:val="both"/>
              <w:rPr>
                <w:b/>
                <w:bCs/>
                <w:lang w:eastAsia="en-US"/>
              </w:rPr>
            </w:pPr>
            <w:r w:rsidRPr="003C28E4">
              <w:rPr>
                <w:b/>
                <w:bCs/>
                <w:lang w:eastAsia="en-US"/>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C28E4" w:rsidRDefault="00512215" w:rsidP="003C28E4">
            <w:pPr>
              <w:spacing w:before="240"/>
              <w:jc w:val="both"/>
              <w:rPr>
                <w:b/>
                <w:bCs/>
                <w:lang w:eastAsia="en-US"/>
              </w:rPr>
            </w:pPr>
            <w:r w:rsidRPr="003C28E4">
              <w:rPr>
                <w:b/>
                <w:bCs/>
                <w:lang w:eastAsia="en-US"/>
              </w:rPr>
              <w:t>Pirkimo objekto pavadinimas</w:t>
            </w:r>
          </w:p>
        </w:tc>
        <w:tc>
          <w:tcPr>
            <w:tcW w:w="8532" w:type="dxa"/>
            <w:tcBorders>
              <w:top w:val="single" w:sz="4" w:space="0" w:color="auto"/>
              <w:left w:val="single" w:sz="4" w:space="0" w:color="auto"/>
              <w:bottom w:val="single" w:sz="4" w:space="0" w:color="auto"/>
              <w:right w:val="single" w:sz="4" w:space="0" w:color="auto"/>
            </w:tcBorders>
          </w:tcPr>
          <w:p w14:paraId="398E02A5" w14:textId="661ACBC6" w:rsidR="00512215" w:rsidRPr="003C28E4" w:rsidRDefault="00512215" w:rsidP="003C28E4">
            <w:pPr>
              <w:jc w:val="both"/>
            </w:pPr>
            <w:r w:rsidRPr="003C28E4">
              <w:rPr>
                <w:b/>
                <w:bCs/>
                <w:lang w:eastAsia="en-US"/>
              </w:rPr>
              <w:t>Pirkimo objekto techniniai reikalavimai</w:t>
            </w:r>
            <w:r w:rsidRPr="003C28E4">
              <w:rPr>
                <w:b/>
                <w:bCs/>
                <w:lang w:eastAsia="en-US"/>
              </w:rPr>
              <w:br/>
              <w:t xml:space="preserve"> </w:t>
            </w:r>
            <w:r w:rsidRPr="003C28E4">
              <w:rPr>
                <w:bCs/>
                <w:lang w:eastAsia="en-US"/>
              </w:rPr>
              <w:t>(</w:t>
            </w:r>
            <w:r w:rsidR="005344F6" w:rsidRPr="003C28E4">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C28E4">
              <w:rPr>
                <w:bCs/>
                <w:lang w:eastAsia="en-US"/>
              </w:rPr>
              <w:t>)</w:t>
            </w:r>
          </w:p>
        </w:tc>
      </w:tr>
      <w:tr w:rsidR="00906358" w:rsidRPr="00021308" w14:paraId="398E02AB" w14:textId="77777777" w:rsidTr="00023F4D">
        <w:tc>
          <w:tcPr>
            <w:tcW w:w="570" w:type="dxa"/>
            <w:tcBorders>
              <w:top w:val="single" w:sz="4" w:space="0" w:color="auto"/>
              <w:left w:val="single" w:sz="4" w:space="0" w:color="auto"/>
              <w:bottom w:val="single" w:sz="4" w:space="0" w:color="auto"/>
              <w:right w:val="single" w:sz="4" w:space="0" w:color="auto"/>
            </w:tcBorders>
          </w:tcPr>
          <w:p w14:paraId="398E02A7" w14:textId="77777777" w:rsidR="00906358" w:rsidRPr="003C28E4" w:rsidRDefault="00906358" w:rsidP="00906358">
            <w:pPr>
              <w:jc w:val="both"/>
              <w:rPr>
                <w:bCs/>
                <w:lang w:eastAsia="en-US"/>
              </w:rPr>
            </w:pPr>
            <w:r w:rsidRPr="003C28E4">
              <w:rPr>
                <w:bCs/>
                <w:lang w:eastAsia="en-US"/>
              </w:rPr>
              <w:t>1.</w:t>
            </w:r>
          </w:p>
          <w:p w14:paraId="398E02A8" w14:textId="77777777" w:rsidR="00906358" w:rsidRPr="003C28E4" w:rsidRDefault="00906358" w:rsidP="00906358">
            <w:pPr>
              <w:jc w:val="both"/>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98E02A9" w14:textId="77DAC3F8" w:rsidR="00906358" w:rsidRPr="003C28E4" w:rsidRDefault="00906358" w:rsidP="00906358">
            <w:pPr>
              <w:jc w:val="both"/>
              <w:outlineLvl w:val="1"/>
              <w:rPr>
                <w:b/>
                <w:bCs/>
                <w:lang w:eastAsia="en-US"/>
              </w:rPr>
            </w:pPr>
            <w:r w:rsidRPr="00AA664B">
              <w:rPr>
                <w:bCs/>
              </w:rPr>
              <w:t>ESET Premium palaikymo paslauga</w:t>
            </w:r>
          </w:p>
        </w:tc>
        <w:tc>
          <w:tcPr>
            <w:tcW w:w="8532" w:type="dxa"/>
            <w:tcBorders>
              <w:top w:val="single" w:sz="4" w:space="0" w:color="auto"/>
              <w:left w:val="single" w:sz="4" w:space="0" w:color="auto"/>
              <w:bottom w:val="single" w:sz="4" w:space="0" w:color="auto"/>
              <w:right w:val="single" w:sz="4" w:space="0" w:color="auto"/>
            </w:tcBorders>
          </w:tcPr>
          <w:p w14:paraId="27C4D632" w14:textId="77777777" w:rsidR="00906358" w:rsidRPr="00AA664B" w:rsidRDefault="00906358" w:rsidP="00906358">
            <w:pPr>
              <w:jc w:val="both"/>
              <w:outlineLvl w:val="0"/>
              <w:rPr>
                <w:bCs/>
              </w:rPr>
            </w:pPr>
            <w:r w:rsidRPr="00AA664B">
              <w:rPr>
                <w:bCs/>
              </w:rPr>
              <w:t>ESET programinės įrangos veikimo techninio palaikymo ir kibernetinės saugos paslaugos (</w:t>
            </w:r>
            <w:r w:rsidRPr="00AA664B">
              <w:rPr>
                <w:bCs/>
                <w:i/>
              </w:rPr>
              <w:t>„Premium palaikymas“</w:t>
            </w:r>
            <w:r w:rsidRPr="00AA664B">
              <w:rPr>
                <w:bCs/>
              </w:rPr>
              <w:t>):</w:t>
            </w:r>
          </w:p>
          <w:p w14:paraId="4559FD5A" w14:textId="77777777" w:rsidR="00906358" w:rsidRPr="00AA664B" w:rsidRDefault="00906358" w:rsidP="00906358">
            <w:pPr>
              <w:jc w:val="both"/>
              <w:outlineLvl w:val="0"/>
              <w:rPr>
                <w:bCs/>
              </w:rPr>
            </w:pPr>
          </w:p>
          <w:p w14:paraId="28594096" w14:textId="77777777" w:rsidR="00906358" w:rsidRPr="00AA664B" w:rsidRDefault="00906358" w:rsidP="00906358">
            <w:pPr>
              <w:jc w:val="both"/>
              <w:outlineLvl w:val="0"/>
              <w:rPr>
                <w:bCs/>
              </w:rPr>
            </w:pPr>
            <w:r w:rsidRPr="00AA664B">
              <w:rPr>
                <w:bCs/>
              </w:rPr>
              <w:t>1. Kibernetinės saugos paslaugų apimtis darbo vietų ir serverių saugumo produktams:</w:t>
            </w:r>
          </w:p>
          <w:p w14:paraId="030F7AA3" w14:textId="77777777" w:rsidR="00906358" w:rsidRPr="00AA664B" w:rsidRDefault="00906358" w:rsidP="00906358">
            <w:pPr>
              <w:jc w:val="both"/>
              <w:outlineLvl w:val="0"/>
              <w:rPr>
                <w:bCs/>
              </w:rPr>
            </w:pPr>
            <w:r w:rsidRPr="00AA664B">
              <w:rPr>
                <w:bCs/>
              </w:rPr>
              <w:t xml:space="preserve">1.1. Saugumo produktui neaptikus galimai kenksmingos programinės įrangos (angl. </w:t>
            </w:r>
            <w:proofErr w:type="spellStart"/>
            <w:r w:rsidRPr="00AA664B">
              <w:rPr>
                <w:bCs/>
              </w:rPr>
              <w:t>malware</w:t>
            </w:r>
            <w:proofErr w:type="spellEnd"/>
            <w:r w:rsidRPr="00AA664B">
              <w:rPr>
                <w:bCs/>
              </w:rPr>
              <w:t>) faile, URL, domene ar pagal IP adresą, turi būti teikiama pagalba analizuojant incidentą ir, jei aptinkamas kenkėjas, pateikiama informacija apie kenkėjiškų programų šeimą, pridedamas aptikimas.</w:t>
            </w:r>
          </w:p>
          <w:p w14:paraId="03E05EEA" w14:textId="77777777" w:rsidR="00906358" w:rsidRPr="00AA664B" w:rsidRDefault="00906358" w:rsidP="00906358">
            <w:pPr>
              <w:jc w:val="both"/>
              <w:outlineLvl w:val="0"/>
              <w:rPr>
                <w:bCs/>
              </w:rPr>
            </w:pPr>
            <w:r w:rsidRPr="00AA664B">
              <w:rPr>
                <w:bCs/>
              </w:rPr>
              <w:t xml:space="preserve">1.2. Įvykus išpirkos reikalaujančios programinės įrangos (angl. </w:t>
            </w:r>
            <w:proofErr w:type="spellStart"/>
            <w:r w:rsidRPr="00AA664B">
              <w:rPr>
                <w:bCs/>
              </w:rPr>
              <w:t>ransomware</w:t>
            </w:r>
            <w:proofErr w:type="spellEnd"/>
            <w:r w:rsidRPr="00AA664B">
              <w:rPr>
                <w:bCs/>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AA664B">
              <w:rPr>
                <w:bCs/>
              </w:rPr>
              <w:t>dešifratorių</w:t>
            </w:r>
            <w:proofErr w:type="spellEnd"/>
            <w:r w:rsidRPr="00AA664B">
              <w:rPr>
                <w:bCs/>
              </w:rPr>
              <w:t>.</w:t>
            </w:r>
          </w:p>
          <w:p w14:paraId="51A5E41E" w14:textId="77777777" w:rsidR="00906358" w:rsidRPr="00AA664B" w:rsidRDefault="00906358" w:rsidP="00906358">
            <w:pPr>
              <w:jc w:val="both"/>
              <w:outlineLvl w:val="0"/>
              <w:rPr>
                <w:bCs/>
              </w:rPr>
            </w:pPr>
            <w:r w:rsidRPr="00AA664B">
              <w:rPr>
                <w:bCs/>
              </w:rPr>
              <w:t>1.3. Saugumo produktui aptikus, tačiau nepavykus pašalinti kenkėjiškų failų, turi būti teikiama pagalba jų pašalinimui arba alternatyvi valymo programa tokių failų panaikinimui.</w:t>
            </w:r>
          </w:p>
          <w:p w14:paraId="642D2AB4" w14:textId="77777777" w:rsidR="00906358" w:rsidRPr="00AA664B" w:rsidRDefault="00906358" w:rsidP="00906358">
            <w:pPr>
              <w:jc w:val="both"/>
              <w:outlineLvl w:val="0"/>
              <w:rPr>
                <w:bCs/>
              </w:rPr>
            </w:pPr>
            <w:r w:rsidRPr="00AA664B">
              <w:rPr>
                <w:bCs/>
              </w:rPr>
              <w:t xml:space="preserve">1.4. Saugumo produktui galimai klaidingai blokuojant (angl. </w:t>
            </w:r>
            <w:proofErr w:type="spellStart"/>
            <w:r w:rsidRPr="00AA664B">
              <w:rPr>
                <w:bCs/>
              </w:rPr>
              <w:t>false</w:t>
            </w:r>
            <w:proofErr w:type="spellEnd"/>
            <w:r w:rsidRPr="00AA664B">
              <w:rPr>
                <w:bCs/>
              </w:rPr>
              <w:t xml:space="preserve"> </w:t>
            </w:r>
            <w:proofErr w:type="spellStart"/>
            <w:r w:rsidRPr="00AA664B">
              <w:rPr>
                <w:bCs/>
              </w:rPr>
              <w:t>positive</w:t>
            </w:r>
            <w:proofErr w:type="spellEnd"/>
            <w:r w:rsidRPr="00AA664B">
              <w:rPr>
                <w:bCs/>
              </w:rPr>
              <w:t>) failą, URL, domeną arba IP adresą, turi būti teikiama pagalba analizuojant pateiktus duomenis ir nustačius, kad aptikta klaidingai, pašalinti aptikimą arba sukurti išimtį.</w:t>
            </w:r>
          </w:p>
          <w:p w14:paraId="33CC27D0" w14:textId="77777777" w:rsidR="00906358" w:rsidRPr="00AA664B" w:rsidRDefault="00906358" w:rsidP="00906358">
            <w:pPr>
              <w:jc w:val="both"/>
              <w:outlineLvl w:val="0"/>
              <w:rPr>
                <w:bCs/>
              </w:rPr>
            </w:pPr>
            <w:r w:rsidRPr="00AA664B">
              <w:rPr>
                <w:bCs/>
              </w:rPr>
              <w:t>1.5. Perkančiajai organizacijai kilus įtarimams dėl trečiųjų šalių programinės įrangos veikimo ir siekiant įvertinimo iš saugumo pusės, turi būti teikiama pagalba analizuojant programos elgesį ir siūlant galimą sprendimą, remiantis įtartino elgesio apibūdinimu ir kitais duomenimis.</w:t>
            </w:r>
          </w:p>
          <w:p w14:paraId="3A202A09" w14:textId="77777777" w:rsidR="00906358" w:rsidRPr="00AA664B" w:rsidRDefault="00906358" w:rsidP="00906358">
            <w:pPr>
              <w:jc w:val="both"/>
              <w:outlineLvl w:val="0"/>
              <w:rPr>
                <w:bCs/>
              </w:rPr>
            </w:pPr>
          </w:p>
          <w:p w14:paraId="7EF95C14" w14:textId="77777777" w:rsidR="00906358" w:rsidRPr="00AA664B" w:rsidRDefault="00906358" w:rsidP="00906358">
            <w:pPr>
              <w:jc w:val="both"/>
              <w:outlineLvl w:val="0"/>
              <w:rPr>
                <w:bCs/>
              </w:rPr>
            </w:pPr>
            <w:r w:rsidRPr="00AA664B">
              <w:rPr>
                <w:bCs/>
              </w:rPr>
              <w:t>2. Kibernetinės saugos paslaugų apimtis XDR saugumo produktui:</w:t>
            </w:r>
          </w:p>
          <w:p w14:paraId="3F4E700A" w14:textId="77777777" w:rsidR="00906358" w:rsidRPr="00AA664B" w:rsidRDefault="00906358" w:rsidP="00906358">
            <w:pPr>
              <w:jc w:val="both"/>
              <w:outlineLvl w:val="0"/>
              <w:rPr>
                <w:bCs/>
              </w:rPr>
            </w:pPr>
            <w:r w:rsidRPr="00AA664B">
              <w:rPr>
                <w:bCs/>
              </w:rPr>
              <w:t>2.1. Paslaugos teikimo metu turi būti teikiama pagalba konfigūruojant, atnaujinant ir optimizuojant XDR saugumo produktą.</w:t>
            </w:r>
          </w:p>
          <w:p w14:paraId="3F2D0461" w14:textId="77777777" w:rsidR="00906358" w:rsidRPr="00AA664B" w:rsidRDefault="00906358" w:rsidP="00906358">
            <w:pPr>
              <w:jc w:val="both"/>
              <w:outlineLvl w:val="0"/>
              <w:rPr>
                <w:bCs/>
              </w:rPr>
            </w:pPr>
            <w:r w:rsidRPr="00AA664B">
              <w:rPr>
                <w:bCs/>
              </w:rPr>
              <w:t>2.2. Paslaugos teikimo metu turi būti teikiama pagalba kuriant reagavimo taisykles ir išimtis.</w:t>
            </w:r>
          </w:p>
          <w:p w14:paraId="3D0DC16C" w14:textId="77777777" w:rsidR="00906358" w:rsidRPr="00AA664B" w:rsidRDefault="00906358" w:rsidP="00906358">
            <w:pPr>
              <w:jc w:val="both"/>
              <w:outlineLvl w:val="0"/>
              <w:rPr>
                <w:bCs/>
              </w:rPr>
            </w:pPr>
            <w:r w:rsidRPr="00AA664B">
              <w:rPr>
                <w:bCs/>
              </w:rPr>
              <w:lastRenderedPageBreak/>
              <w:t xml:space="preserve">2.3. Paslaugos teikimo metu turi būti teikiama pagalba identifikuojant be failų vykdomas atakas (angl. </w:t>
            </w:r>
            <w:proofErr w:type="spellStart"/>
            <w:r w:rsidRPr="00AA664B">
              <w:rPr>
                <w:bCs/>
              </w:rPr>
              <w:t>fileless</w:t>
            </w:r>
            <w:proofErr w:type="spellEnd"/>
            <w:r w:rsidRPr="00AA664B">
              <w:rPr>
                <w:bCs/>
              </w:rPr>
              <w:t xml:space="preserve"> </w:t>
            </w:r>
            <w:proofErr w:type="spellStart"/>
            <w:r w:rsidRPr="00AA664B">
              <w:rPr>
                <w:bCs/>
              </w:rPr>
              <w:t>attacks</w:t>
            </w:r>
            <w:proofErr w:type="spellEnd"/>
            <w:r w:rsidRPr="00AA664B">
              <w:rPr>
                <w:bCs/>
              </w:rPr>
              <w:t>) į darbo vietas bei serverius.</w:t>
            </w:r>
          </w:p>
          <w:p w14:paraId="53C23150" w14:textId="77777777" w:rsidR="00906358" w:rsidRPr="00AA664B" w:rsidRDefault="00906358" w:rsidP="00906358">
            <w:pPr>
              <w:jc w:val="both"/>
              <w:outlineLvl w:val="0"/>
              <w:rPr>
                <w:bCs/>
              </w:rPr>
            </w:pPr>
            <w:r w:rsidRPr="00AA664B">
              <w:rPr>
                <w:bCs/>
              </w:rPr>
              <w:t xml:space="preserve">2.4. Paslaugos teikimo metu turi būti teikiama pagalba atliekant skaitmeninę ekspertizę (angl. </w:t>
            </w:r>
            <w:proofErr w:type="spellStart"/>
            <w:r w:rsidRPr="00AA664B">
              <w:rPr>
                <w:bCs/>
              </w:rPr>
              <w:t>digital</w:t>
            </w:r>
            <w:proofErr w:type="spellEnd"/>
            <w:r w:rsidRPr="00AA664B">
              <w:rPr>
                <w:bCs/>
              </w:rPr>
              <w:t xml:space="preserve"> </w:t>
            </w:r>
            <w:proofErr w:type="spellStart"/>
            <w:r w:rsidRPr="00AA664B">
              <w:rPr>
                <w:bCs/>
              </w:rPr>
              <w:t>forensics</w:t>
            </w:r>
            <w:proofErr w:type="spellEnd"/>
            <w:r w:rsidRPr="00AA664B">
              <w:rPr>
                <w:bCs/>
              </w:rPr>
              <w:t>), išanalizavus paveiktos aplinkos duomenis, ir pateikiant pageidaujamo lygio informaciją.</w:t>
            </w:r>
          </w:p>
          <w:p w14:paraId="5BEAA52D" w14:textId="77777777" w:rsidR="00906358" w:rsidRPr="00AA664B" w:rsidRDefault="00906358" w:rsidP="00906358">
            <w:pPr>
              <w:jc w:val="both"/>
              <w:outlineLvl w:val="0"/>
              <w:rPr>
                <w:bCs/>
              </w:rPr>
            </w:pPr>
            <w:r w:rsidRPr="00AA664B">
              <w:rPr>
                <w:bCs/>
              </w:rPr>
              <w:t>2.5. Perkančiajai organizacijai turi būti teikiamos konsultacijos atliekant grėsmių tyrimą ar pagrindinių priežasčių analizę, bei patarimai, kaip ištaisyti trūkumus, nenaudojant papildomų vidinių išteklių.</w:t>
            </w:r>
          </w:p>
          <w:p w14:paraId="53CF8464" w14:textId="77777777" w:rsidR="00906358" w:rsidRPr="00AA664B" w:rsidRDefault="00906358" w:rsidP="00906358">
            <w:pPr>
              <w:jc w:val="both"/>
              <w:outlineLvl w:val="0"/>
              <w:rPr>
                <w:bCs/>
              </w:rPr>
            </w:pPr>
          </w:p>
          <w:p w14:paraId="5B16D063" w14:textId="77777777" w:rsidR="00906358" w:rsidRPr="00AA664B" w:rsidRDefault="00906358" w:rsidP="00906358">
            <w:pPr>
              <w:jc w:val="both"/>
              <w:outlineLvl w:val="0"/>
              <w:rPr>
                <w:bCs/>
              </w:rPr>
            </w:pPr>
            <w:r w:rsidRPr="00AA664B">
              <w:rPr>
                <w:bCs/>
              </w:rPr>
              <w:t>3. Reagavimo laikai techninio palaikymo ir kibernetinės saugos paslaugų teikimui:</w:t>
            </w:r>
          </w:p>
          <w:p w14:paraId="15453A90" w14:textId="77777777" w:rsidR="00906358" w:rsidRPr="00AA664B" w:rsidRDefault="00906358" w:rsidP="00906358">
            <w:pPr>
              <w:jc w:val="both"/>
              <w:outlineLvl w:val="0"/>
              <w:rPr>
                <w:bCs/>
              </w:rPr>
            </w:pPr>
            <w:r w:rsidRPr="00AA664B">
              <w:rPr>
                <w:bCs/>
              </w:rPr>
              <w:t>3.1. Įprasto prioriteto klaidos ar užklausos reagavimo laikas turi būti ne vėliau kaip 1 darbo diena.</w:t>
            </w:r>
          </w:p>
          <w:p w14:paraId="1BE45C90" w14:textId="77777777" w:rsidR="00906358" w:rsidRPr="00AA664B" w:rsidRDefault="00906358" w:rsidP="00906358">
            <w:pPr>
              <w:jc w:val="both"/>
              <w:outlineLvl w:val="0"/>
              <w:rPr>
                <w:bCs/>
              </w:rPr>
            </w:pPr>
            <w:r w:rsidRPr="00AA664B">
              <w:rPr>
                <w:bCs/>
              </w:rPr>
              <w:t>3.2. Aukšto prioriteto klaidos ar užklausos reagavimo laikas turi būti ne vėliau kaip 4 val. darbo laiku.</w:t>
            </w:r>
          </w:p>
          <w:p w14:paraId="22BFC746" w14:textId="77777777" w:rsidR="00906358" w:rsidRPr="00AA664B" w:rsidRDefault="00906358" w:rsidP="00906358">
            <w:pPr>
              <w:jc w:val="both"/>
              <w:outlineLvl w:val="0"/>
              <w:rPr>
                <w:bCs/>
              </w:rPr>
            </w:pPr>
            <w:r w:rsidRPr="00AA664B">
              <w:rPr>
                <w:bCs/>
              </w:rPr>
              <w:t>3.3. Kritinio prioriteto klaidos ar užklausos reagavimo laikas turi būti ne vėliau kaip 2 val. darbo laiku.</w:t>
            </w:r>
          </w:p>
          <w:p w14:paraId="324C7C6E" w14:textId="77777777" w:rsidR="00906358" w:rsidRPr="00AA664B" w:rsidRDefault="00906358" w:rsidP="00906358">
            <w:pPr>
              <w:jc w:val="both"/>
              <w:outlineLvl w:val="0"/>
              <w:rPr>
                <w:bCs/>
              </w:rPr>
            </w:pPr>
          </w:p>
          <w:p w14:paraId="3B4E640C" w14:textId="77777777" w:rsidR="00906358" w:rsidRPr="00AA664B" w:rsidRDefault="00906358" w:rsidP="00906358">
            <w:pPr>
              <w:jc w:val="both"/>
              <w:outlineLvl w:val="0"/>
              <w:rPr>
                <w:bCs/>
              </w:rPr>
            </w:pPr>
            <w:r w:rsidRPr="00AA664B">
              <w:rPr>
                <w:bCs/>
              </w:rPr>
              <w:t>4. Prieigos prie gamintojo žinių bazės reikalavimai:</w:t>
            </w:r>
          </w:p>
          <w:p w14:paraId="49610344" w14:textId="77777777" w:rsidR="00906358" w:rsidRPr="00AA664B" w:rsidRDefault="00906358" w:rsidP="00906358">
            <w:pPr>
              <w:jc w:val="both"/>
              <w:outlineLvl w:val="0"/>
              <w:rPr>
                <w:bCs/>
              </w:rPr>
            </w:pPr>
            <w:r w:rsidRPr="00AA664B">
              <w:rPr>
                <w:bCs/>
              </w:rPr>
              <w:t>4.1. Turi būti teikiama 24/7 (visą parą) internetinė prieiga prie ESET gamintojo žinių bazės.</w:t>
            </w:r>
          </w:p>
          <w:p w14:paraId="29C7188D" w14:textId="77777777" w:rsidR="00906358" w:rsidRPr="00AA664B" w:rsidRDefault="00906358" w:rsidP="00906358">
            <w:pPr>
              <w:jc w:val="both"/>
              <w:outlineLvl w:val="0"/>
              <w:rPr>
                <w:bCs/>
              </w:rPr>
            </w:pPr>
            <w:r w:rsidRPr="00AA664B">
              <w:rPr>
                <w:bCs/>
              </w:rPr>
              <w:t>4.2. Žinių bazės turinys turi būti prieinamas lietuvių arba anglų kalbomis.</w:t>
            </w:r>
          </w:p>
          <w:p w14:paraId="5605B2B0" w14:textId="77777777" w:rsidR="00906358" w:rsidRPr="00AA664B" w:rsidRDefault="00906358" w:rsidP="00906358">
            <w:pPr>
              <w:jc w:val="both"/>
              <w:outlineLvl w:val="0"/>
              <w:rPr>
                <w:bCs/>
              </w:rPr>
            </w:pPr>
          </w:p>
          <w:p w14:paraId="33A4DF22" w14:textId="77777777" w:rsidR="00906358" w:rsidRPr="00AA664B" w:rsidRDefault="00906358" w:rsidP="00906358">
            <w:pPr>
              <w:jc w:val="both"/>
              <w:outlineLvl w:val="0"/>
              <w:rPr>
                <w:bCs/>
              </w:rPr>
            </w:pPr>
            <w:r w:rsidRPr="00AA664B">
              <w:rPr>
                <w:bCs/>
              </w:rPr>
              <w:t>5. Prieigos prie gamintojo sistemų būsenos portalo reikalavimai:</w:t>
            </w:r>
          </w:p>
          <w:p w14:paraId="5710E2FB" w14:textId="77777777" w:rsidR="00906358" w:rsidRPr="00AA664B" w:rsidRDefault="00906358" w:rsidP="00906358">
            <w:pPr>
              <w:jc w:val="both"/>
              <w:outlineLvl w:val="0"/>
              <w:rPr>
                <w:bCs/>
              </w:rPr>
            </w:pPr>
            <w:r w:rsidRPr="00AA664B">
              <w:rPr>
                <w:bCs/>
              </w:rPr>
              <w:t>5.1. Turi būti teikiama 24/7 (visą parą) internetinė prieiga prie ESET gamintojo sistemų būsenos portalo.</w:t>
            </w:r>
          </w:p>
          <w:p w14:paraId="3DE0A9E6" w14:textId="77777777" w:rsidR="00906358" w:rsidRPr="00AA664B" w:rsidRDefault="00906358" w:rsidP="00906358">
            <w:pPr>
              <w:jc w:val="both"/>
              <w:outlineLvl w:val="0"/>
              <w:rPr>
                <w:bCs/>
              </w:rPr>
            </w:pPr>
          </w:p>
          <w:p w14:paraId="6EE2B9EA" w14:textId="77777777" w:rsidR="00906358" w:rsidRPr="00AA664B" w:rsidRDefault="00906358" w:rsidP="00906358">
            <w:pPr>
              <w:jc w:val="both"/>
              <w:outlineLvl w:val="0"/>
              <w:rPr>
                <w:bCs/>
              </w:rPr>
            </w:pPr>
            <w:r w:rsidRPr="00AA664B">
              <w:rPr>
                <w:bCs/>
              </w:rPr>
              <w:t>6. Kreipimosi į Klientų aptarnavimo centrą būdai:</w:t>
            </w:r>
          </w:p>
          <w:p w14:paraId="0B032C4A" w14:textId="77777777" w:rsidR="00906358" w:rsidRPr="00AA664B" w:rsidRDefault="00906358" w:rsidP="00906358">
            <w:pPr>
              <w:jc w:val="both"/>
              <w:outlineLvl w:val="0"/>
              <w:rPr>
                <w:bCs/>
              </w:rPr>
            </w:pPr>
            <w:r w:rsidRPr="00AA664B">
              <w:rPr>
                <w:bCs/>
              </w:rPr>
              <w:t>6.1. Turi būti el. paštu ir telefonu.</w:t>
            </w:r>
          </w:p>
          <w:p w14:paraId="13C6C41D" w14:textId="77777777" w:rsidR="00906358" w:rsidRPr="00AA664B" w:rsidRDefault="00906358" w:rsidP="00906358">
            <w:pPr>
              <w:jc w:val="both"/>
              <w:outlineLvl w:val="0"/>
              <w:rPr>
                <w:bCs/>
              </w:rPr>
            </w:pPr>
          </w:p>
          <w:p w14:paraId="4B5E4CF9" w14:textId="77777777" w:rsidR="00906358" w:rsidRPr="00AA664B" w:rsidRDefault="00906358" w:rsidP="00906358">
            <w:pPr>
              <w:jc w:val="both"/>
              <w:outlineLvl w:val="0"/>
              <w:rPr>
                <w:bCs/>
              </w:rPr>
            </w:pPr>
            <w:r w:rsidRPr="00AA664B">
              <w:rPr>
                <w:bCs/>
              </w:rPr>
              <w:t>7. Paslaugų teikimo kalba:</w:t>
            </w:r>
          </w:p>
          <w:p w14:paraId="7BBBCE63" w14:textId="77777777" w:rsidR="00906358" w:rsidRPr="00AA664B" w:rsidRDefault="00906358" w:rsidP="00906358">
            <w:pPr>
              <w:jc w:val="both"/>
              <w:outlineLvl w:val="0"/>
              <w:rPr>
                <w:bCs/>
              </w:rPr>
            </w:pPr>
            <w:r w:rsidRPr="00AA664B">
              <w:rPr>
                <w:bCs/>
              </w:rPr>
              <w:t>7.1. Turi būti lietuvių arba anglų kalbomis.</w:t>
            </w:r>
          </w:p>
          <w:p w14:paraId="6EE99550" w14:textId="77777777" w:rsidR="00906358" w:rsidRPr="00AA664B" w:rsidRDefault="00906358" w:rsidP="00906358">
            <w:pPr>
              <w:jc w:val="both"/>
              <w:outlineLvl w:val="0"/>
              <w:rPr>
                <w:bCs/>
              </w:rPr>
            </w:pPr>
          </w:p>
          <w:p w14:paraId="121206E4" w14:textId="77777777" w:rsidR="00906358" w:rsidRPr="00AA664B" w:rsidRDefault="00906358" w:rsidP="00906358">
            <w:pPr>
              <w:jc w:val="both"/>
              <w:outlineLvl w:val="0"/>
              <w:rPr>
                <w:bCs/>
              </w:rPr>
            </w:pPr>
            <w:r w:rsidRPr="00AA664B">
              <w:rPr>
                <w:bCs/>
              </w:rPr>
              <w:t>8. Reikalavimai darbo vietų ir serverių klaidų ar užklausų teikimui:</w:t>
            </w:r>
          </w:p>
          <w:p w14:paraId="589F10CC" w14:textId="77777777" w:rsidR="00906358" w:rsidRPr="00AA664B" w:rsidRDefault="00906358" w:rsidP="00906358">
            <w:pPr>
              <w:jc w:val="both"/>
              <w:outlineLvl w:val="0"/>
              <w:rPr>
                <w:bCs/>
              </w:rPr>
            </w:pPr>
            <w:r w:rsidRPr="00AA664B">
              <w:rPr>
                <w:bCs/>
              </w:rPr>
              <w:t xml:space="preserve">8.1. Turi būti suteikta galimybė teikti įprasto (pagalba sprendžiant nekritines problemas, netrikdančias įprasto tinklo veikimo, teikiant atsakymus į bendruosius </w:t>
            </w:r>
            <w:proofErr w:type="spellStart"/>
            <w:r w:rsidRPr="00AA664B">
              <w:rPr>
                <w:bCs/>
              </w:rPr>
              <w:t>konfigūracinius</w:t>
            </w:r>
            <w:proofErr w:type="spellEnd"/>
            <w:r w:rsidRPr="00AA664B">
              <w:rPr>
                <w:bCs/>
              </w:rPr>
              <w:t xml:space="preserve"> klausimus), aukšto ir kritinio prioriteto (pagalba sprendžiant kritines problemas, trikdančias perkančiosios organizacijos veiklą, konsultuojant dėl kompleksinio problemos sprendimo, produktų atnaujinimo) klaidas ar užklausas.</w:t>
            </w:r>
          </w:p>
          <w:p w14:paraId="6954563F" w14:textId="77777777" w:rsidR="00906358" w:rsidRPr="00AA664B" w:rsidRDefault="00906358" w:rsidP="00906358">
            <w:pPr>
              <w:jc w:val="both"/>
              <w:outlineLvl w:val="0"/>
              <w:rPr>
                <w:bCs/>
              </w:rPr>
            </w:pPr>
            <w:r w:rsidRPr="00AA664B">
              <w:rPr>
                <w:bCs/>
              </w:rPr>
              <w:t>8.2. Problemos išsprendimo laikas kiekvienu konkrečiu atveju turi būti suderinamas su Perkančiąja organizacija.</w:t>
            </w:r>
          </w:p>
          <w:p w14:paraId="637D9D8E" w14:textId="77777777" w:rsidR="00906358" w:rsidRPr="00AA664B" w:rsidRDefault="00906358" w:rsidP="00906358">
            <w:pPr>
              <w:jc w:val="both"/>
              <w:outlineLvl w:val="0"/>
              <w:rPr>
                <w:bCs/>
              </w:rPr>
            </w:pPr>
          </w:p>
          <w:p w14:paraId="6512354A" w14:textId="77777777" w:rsidR="00906358" w:rsidRPr="00AA664B" w:rsidRDefault="00906358" w:rsidP="00906358">
            <w:pPr>
              <w:jc w:val="both"/>
              <w:outlineLvl w:val="0"/>
              <w:rPr>
                <w:bCs/>
              </w:rPr>
            </w:pPr>
            <w:r w:rsidRPr="00AA664B">
              <w:rPr>
                <w:bCs/>
              </w:rPr>
              <w:t>9. Reikalavimai XDR klaidų ar užklausų teikimui:</w:t>
            </w:r>
          </w:p>
          <w:p w14:paraId="06933685" w14:textId="77777777" w:rsidR="00906358" w:rsidRPr="00AA664B" w:rsidRDefault="00906358" w:rsidP="00906358">
            <w:pPr>
              <w:jc w:val="both"/>
              <w:outlineLvl w:val="0"/>
              <w:rPr>
                <w:bCs/>
              </w:rPr>
            </w:pPr>
            <w:r w:rsidRPr="00AA664B">
              <w:rPr>
                <w:bCs/>
              </w:rPr>
              <w:t xml:space="preserve">9.1. Turi būti suteikta galimybė teikti žemo (pagalba kuriant taisykles ir išimtis, sprendžiant bendruosius </w:t>
            </w:r>
            <w:proofErr w:type="spellStart"/>
            <w:r w:rsidRPr="00AA664B">
              <w:rPr>
                <w:bCs/>
              </w:rPr>
              <w:t>konfigūracinius</w:t>
            </w:r>
            <w:proofErr w:type="spellEnd"/>
            <w:r w:rsidRPr="00AA664B">
              <w:rPr>
                <w:bCs/>
              </w:rPr>
              <w:t>, optimizavimo klausimus) ir aukšto bei kritinio prioriteto (pagalba tiriant skaitmeninį incidentą, atnaujinant produktus) klaidas ar užklausas.</w:t>
            </w:r>
          </w:p>
          <w:p w14:paraId="589F4F9A" w14:textId="77777777" w:rsidR="00906358" w:rsidRPr="00AA664B" w:rsidRDefault="00906358" w:rsidP="00906358">
            <w:pPr>
              <w:jc w:val="both"/>
              <w:outlineLvl w:val="0"/>
              <w:rPr>
                <w:bCs/>
              </w:rPr>
            </w:pPr>
            <w:r w:rsidRPr="00AA664B">
              <w:rPr>
                <w:bCs/>
              </w:rPr>
              <w:t>9.2. Problemos išsprendimo laikas kiekvienu konkrečiu atveju turi būti suderinamas su Perkančiąja organizacija.</w:t>
            </w:r>
          </w:p>
          <w:p w14:paraId="72BDA521" w14:textId="77777777" w:rsidR="00906358" w:rsidRPr="00AA664B" w:rsidRDefault="00906358" w:rsidP="00906358">
            <w:pPr>
              <w:jc w:val="both"/>
              <w:outlineLvl w:val="0"/>
              <w:rPr>
                <w:bCs/>
              </w:rPr>
            </w:pPr>
          </w:p>
          <w:p w14:paraId="7074C930" w14:textId="77777777" w:rsidR="00906358" w:rsidRPr="00AA664B" w:rsidRDefault="00906358" w:rsidP="00906358">
            <w:pPr>
              <w:jc w:val="both"/>
              <w:outlineLvl w:val="0"/>
              <w:rPr>
                <w:bCs/>
              </w:rPr>
            </w:pPr>
            <w:r w:rsidRPr="00AA664B">
              <w:rPr>
                <w:bCs/>
              </w:rPr>
              <w:t>10. Reikalavimai nuotolinėms sesijoms ir konsultacijoms:</w:t>
            </w:r>
          </w:p>
          <w:p w14:paraId="4B572D59" w14:textId="77777777" w:rsidR="00906358" w:rsidRPr="00AA664B" w:rsidRDefault="00906358" w:rsidP="00906358">
            <w:pPr>
              <w:jc w:val="both"/>
              <w:outlineLvl w:val="0"/>
              <w:rPr>
                <w:bCs/>
              </w:rPr>
            </w:pPr>
            <w:r w:rsidRPr="00AA664B">
              <w:rPr>
                <w:bCs/>
              </w:rPr>
              <w:t>10.1. Turi būti numatyta galimybė sutarties galiojimo laikotarpiu perkančiosios organizacijos IT administratoriams per 1 mėn. turėti iki 4 val. dedikuoto laiko nuotolinėms sesijoms ir konsultacijoms su Klientų aptarnavimo centro inžinieriais.</w:t>
            </w:r>
          </w:p>
          <w:p w14:paraId="6A73935C" w14:textId="77777777" w:rsidR="00906358" w:rsidRPr="00AA664B" w:rsidRDefault="00906358" w:rsidP="00906358">
            <w:pPr>
              <w:jc w:val="both"/>
              <w:outlineLvl w:val="0"/>
              <w:rPr>
                <w:bCs/>
              </w:rPr>
            </w:pPr>
          </w:p>
          <w:p w14:paraId="6EE91D11" w14:textId="77777777" w:rsidR="00906358" w:rsidRPr="00AA664B" w:rsidRDefault="00906358" w:rsidP="00906358">
            <w:pPr>
              <w:jc w:val="both"/>
              <w:outlineLvl w:val="0"/>
              <w:rPr>
                <w:bCs/>
              </w:rPr>
            </w:pPr>
            <w:r w:rsidRPr="00AA664B">
              <w:rPr>
                <w:bCs/>
              </w:rPr>
              <w:t>11. Reikalavimai Klientų aptarnavimo centrui:</w:t>
            </w:r>
          </w:p>
          <w:p w14:paraId="000CFD8E" w14:textId="77777777" w:rsidR="00906358" w:rsidRPr="00AA664B" w:rsidRDefault="00906358" w:rsidP="00906358">
            <w:pPr>
              <w:jc w:val="both"/>
              <w:outlineLvl w:val="0"/>
              <w:rPr>
                <w:bCs/>
              </w:rPr>
            </w:pPr>
            <w:r w:rsidRPr="00AA664B">
              <w:rPr>
                <w:bCs/>
              </w:rPr>
              <w:lastRenderedPageBreak/>
              <w:t>11.1. Klientų aptarnavimo centro paslaugos turi būti teikiamos darbo dienomis nuo 8.00 iki 18.00 val.</w:t>
            </w:r>
          </w:p>
          <w:p w14:paraId="0D67E51D" w14:textId="77777777" w:rsidR="00906358" w:rsidRPr="00AA664B" w:rsidRDefault="00906358" w:rsidP="00906358">
            <w:pPr>
              <w:jc w:val="both"/>
              <w:outlineLvl w:val="0"/>
              <w:rPr>
                <w:bCs/>
              </w:rPr>
            </w:pPr>
            <w:r w:rsidRPr="00AA664B">
              <w:rPr>
                <w:bCs/>
              </w:rPr>
              <w:t>11.2. Siekiant užtikrinti sklandų Paslaugų teikimą, Klientų aptarnavimo centro ne mažiau kaip du inžinieriai turi būti sertifikuoti (pagal Perkančiosios organizacijos pareikalavimą pateikti kvalifikaciją pagrindžiančius sertifikatus):</w:t>
            </w:r>
          </w:p>
          <w:p w14:paraId="65CD49AC" w14:textId="77777777" w:rsidR="00906358" w:rsidRPr="00AA664B" w:rsidRDefault="00906358" w:rsidP="00906358">
            <w:pPr>
              <w:jc w:val="both"/>
              <w:outlineLvl w:val="0"/>
              <w:rPr>
                <w:bCs/>
              </w:rPr>
            </w:pPr>
            <w:r w:rsidRPr="00AA664B">
              <w:rPr>
                <w:bCs/>
              </w:rPr>
              <w:t xml:space="preserve">a) ESET </w:t>
            </w:r>
            <w:proofErr w:type="spellStart"/>
            <w:r w:rsidRPr="00AA664B">
              <w:rPr>
                <w:bCs/>
              </w:rPr>
              <w:t>Technical</w:t>
            </w:r>
            <w:proofErr w:type="spellEnd"/>
            <w:r w:rsidRPr="00AA664B">
              <w:rPr>
                <w:bCs/>
              </w:rPr>
              <w:t xml:space="preserve"> </w:t>
            </w:r>
            <w:proofErr w:type="spellStart"/>
            <w:r w:rsidRPr="00AA664B">
              <w:rPr>
                <w:bCs/>
              </w:rPr>
              <w:t>Support</w:t>
            </w:r>
            <w:proofErr w:type="spellEnd"/>
            <w:r w:rsidRPr="00AA664B">
              <w:rPr>
                <w:bCs/>
              </w:rPr>
              <w:t xml:space="preserve"> </w:t>
            </w:r>
            <w:proofErr w:type="spellStart"/>
            <w:r w:rsidRPr="00AA664B">
              <w:rPr>
                <w:bCs/>
              </w:rPr>
              <w:t>Specialist</w:t>
            </w:r>
            <w:proofErr w:type="spellEnd"/>
            <w:r w:rsidRPr="00AA664B">
              <w:rPr>
                <w:bCs/>
              </w:rPr>
              <w:t xml:space="preserve"> sertifikatu arba lygiaverčiu; </w:t>
            </w:r>
          </w:p>
          <w:p w14:paraId="0F904591" w14:textId="77777777" w:rsidR="00906358" w:rsidRPr="00AA664B" w:rsidRDefault="00906358" w:rsidP="00906358">
            <w:pPr>
              <w:jc w:val="both"/>
              <w:outlineLvl w:val="0"/>
              <w:rPr>
                <w:bCs/>
              </w:rPr>
            </w:pPr>
            <w:r w:rsidRPr="00AA664B">
              <w:rPr>
                <w:bCs/>
              </w:rPr>
              <w:t xml:space="preserve">b)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Professional sertifikatu arba lygiaverčiu;</w:t>
            </w:r>
          </w:p>
          <w:p w14:paraId="2CC9732A" w14:textId="77777777" w:rsidR="00906358" w:rsidRPr="00AA664B" w:rsidRDefault="00906358" w:rsidP="00906358">
            <w:pPr>
              <w:jc w:val="both"/>
              <w:outlineLvl w:val="0"/>
              <w:rPr>
                <w:bCs/>
              </w:rPr>
            </w:pPr>
            <w:r w:rsidRPr="00AA664B">
              <w:rPr>
                <w:bCs/>
              </w:rPr>
              <w:t xml:space="preserve">c)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Cloud</w:t>
            </w:r>
            <w:proofErr w:type="spellEnd"/>
            <w:r w:rsidRPr="00AA664B">
              <w:rPr>
                <w:bCs/>
              </w:rPr>
              <w:t xml:space="preserve"> </w:t>
            </w:r>
            <w:proofErr w:type="spellStart"/>
            <w:r w:rsidRPr="00AA664B">
              <w:rPr>
                <w:bCs/>
              </w:rPr>
              <w:t>Security</w:t>
            </w:r>
            <w:proofErr w:type="spellEnd"/>
            <w:r w:rsidRPr="00AA664B">
              <w:rPr>
                <w:bCs/>
              </w:rPr>
              <w:t xml:space="preserve"> </w:t>
            </w:r>
            <w:proofErr w:type="spellStart"/>
            <w:r w:rsidRPr="00AA664B">
              <w:rPr>
                <w:bCs/>
              </w:rPr>
              <w:t>Specialist</w:t>
            </w:r>
            <w:proofErr w:type="spellEnd"/>
            <w:r w:rsidRPr="00AA664B">
              <w:rPr>
                <w:bCs/>
              </w:rPr>
              <w:t xml:space="preserve"> sertifikatu arba lygiaverčiu;</w:t>
            </w:r>
          </w:p>
          <w:p w14:paraId="4753E188" w14:textId="77777777" w:rsidR="00906358" w:rsidRPr="00AA664B" w:rsidRDefault="00906358" w:rsidP="00906358">
            <w:pPr>
              <w:jc w:val="both"/>
              <w:outlineLvl w:val="0"/>
              <w:rPr>
                <w:bCs/>
              </w:rPr>
            </w:pPr>
          </w:p>
          <w:p w14:paraId="77FFFEFC" w14:textId="77777777" w:rsidR="00906358" w:rsidRPr="00AA664B" w:rsidRDefault="00906358" w:rsidP="00906358">
            <w:pPr>
              <w:jc w:val="both"/>
              <w:outlineLvl w:val="0"/>
              <w:rPr>
                <w:bCs/>
              </w:rPr>
            </w:pPr>
            <w:r w:rsidRPr="00AA664B">
              <w:rPr>
                <w:bCs/>
              </w:rPr>
              <w:t>12. Prieigos prie gamintojo el. mokymų platformos reikalavimai:</w:t>
            </w:r>
          </w:p>
          <w:p w14:paraId="32E60EEC" w14:textId="77777777" w:rsidR="00906358" w:rsidRPr="00AA664B" w:rsidRDefault="00906358" w:rsidP="00906358">
            <w:pPr>
              <w:jc w:val="both"/>
              <w:outlineLvl w:val="0"/>
              <w:rPr>
                <w:bCs/>
              </w:rPr>
            </w:pPr>
            <w:r w:rsidRPr="00AA664B">
              <w:rPr>
                <w:bCs/>
              </w:rPr>
              <w:t>12.1. Turi būti teikiama 24/7 (visą parą) internetinė prieiga prie ESET gamintojo mokymų platformos.</w:t>
            </w:r>
          </w:p>
          <w:p w14:paraId="3ED73380" w14:textId="77777777" w:rsidR="00906358" w:rsidRPr="00AA664B" w:rsidRDefault="00906358" w:rsidP="00906358">
            <w:pPr>
              <w:jc w:val="both"/>
              <w:outlineLvl w:val="0"/>
              <w:rPr>
                <w:bCs/>
              </w:rPr>
            </w:pPr>
            <w:r w:rsidRPr="00AA664B">
              <w:rPr>
                <w:bCs/>
              </w:rPr>
              <w:t>12.2. Mokymų turinys ir egzaminas prieinamas anglų kalba.</w:t>
            </w:r>
          </w:p>
          <w:p w14:paraId="60DF7F14" w14:textId="77777777" w:rsidR="00906358" w:rsidRPr="00AA664B" w:rsidRDefault="00906358" w:rsidP="00906358">
            <w:pPr>
              <w:jc w:val="both"/>
              <w:outlineLvl w:val="0"/>
              <w:rPr>
                <w:bCs/>
              </w:rPr>
            </w:pPr>
            <w:r w:rsidRPr="00AA664B">
              <w:rPr>
                <w:bCs/>
              </w:rPr>
              <w:t xml:space="preserve">12.3. Turi būti perkančiosios organizacijos IT administratoriams (iki 5 vnt.) suteikta prieiga prie ESET </w:t>
            </w:r>
            <w:proofErr w:type="spellStart"/>
            <w:r w:rsidRPr="00AA664B">
              <w:rPr>
                <w:bCs/>
              </w:rPr>
              <w:t>Protect</w:t>
            </w:r>
            <w:proofErr w:type="spellEnd"/>
            <w:r w:rsidRPr="00AA664B">
              <w:rPr>
                <w:bCs/>
              </w:rPr>
              <w:t xml:space="preserve"> pradedančiųjų mokymų kurso ir išlaikius egzaminą turi būti suteiktas gamintojo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w:t>
            </w:r>
            <w:proofErr w:type="spellStart"/>
            <w:r w:rsidRPr="00AA664B">
              <w:rPr>
                <w:bCs/>
              </w:rPr>
              <w:t>Specialist</w:t>
            </w:r>
            <w:proofErr w:type="spellEnd"/>
            <w:r w:rsidRPr="00AA664B">
              <w:rPr>
                <w:bCs/>
              </w:rPr>
              <w:t>“ sertifikatas arba jam lygiavertis.</w:t>
            </w:r>
          </w:p>
          <w:p w14:paraId="791B0A56" w14:textId="77777777" w:rsidR="00906358" w:rsidRPr="00AA664B" w:rsidRDefault="00906358" w:rsidP="00906358">
            <w:pPr>
              <w:jc w:val="both"/>
              <w:outlineLvl w:val="0"/>
              <w:rPr>
                <w:bCs/>
              </w:rPr>
            </w:pPr>
            <w:r w:rsidRPr="00AA664B">
              <w:rPr>
                <w:bCs/>
              </w:rPr>
              <w:t xml:space="preserve">12.4. Turi būti perkančiosios organizacijos IT administratoriams (iki 5 vnt.) suteikta prieiga prie ESET </w:t>
            </w:r>
            <w:proofErr w:type="spellStart"/>
            <w:r w:rsidRPr="00AA664B">
              <w:rPr>
                <w:bCs/>
              </w:rPr>
              <w:t>Protect</w:t>
            </w:r>
            <w:proofErr w:type="spellEnd"/>
            <w:r w:rsidRPr="00AA664B">
              <w:rPr>
                <w:bCs/>
              </w:rPr>
              <w:t xml:space="preserve"> pažengusiųjų mokymų kurso ir išlaikius egzaminą turi būti suteiktas gamintojo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Professional“ sertifikatas arba jam lygiavertis.</w:t>
            </w:r>
          </w:p>
          <w:p w14:paraId="1D6890E9" w14:textId="77777777" w:rsidR="00906358" w:rsidRPr="00AA664B" w:rsidRDefault="00906358" w:rsidP="00906358">
            <w:pPr>
              <w:jc w:val="both"/>
              <w:outlineLvl w:val="0"/>
              <w:rPr>
                <w:bCs/>
              </w:rPr>
            </w:pPr>
            <w:r w:rsidRPr="00AA664B">
              <w:rPr>
                <w:bCs/>
              </w:rPr>
              <w:t xml:space="preserve">12.5. Turi būti perkančiosios organizacijos IT administratoriams (iki 5 vnt.) suteikta prieiga prie ESET </w:t>
            </w:r>
            <w:proofErr w:type="spellStart"/>
            <w:r w:rsidRPr="00AA664B">
              <w:rPr>
                <w:bCs/>
              </w:rPr>
              <w:t>Inspect</w:t>
            </w:r>
            <w:proofErr w:type="spellEnd"/>
            <w:r w:rsidRPr="00AA664B">
              <w:rPr>
                <w:bCs/>
              </w:rPr>
              <w:t xml:space="preserve"> eksperto mokymų kurso ir išlaikius egzaminą turi būti suteiktas gamintojo „ESET </w:t>
            </w:r>
            <w:proofErr w:type="spellStart"/>
            <w:r w:rsidRPr="00AA664B">
              <w:rPr>
                <w:bCs/>
              </w:rPr>
              <w:t>Inspect</w:t>
            </w:r>
            <w:proofErr w:type="spellEnd"/>
            <w:r w:rsidRPr="00AA664B">
              <w:rPr>
                <w:bCs/>
              </w:rPr>
              <w:t xml:space="preserve"> </w:t>
            </w:r>
            <w:proofErr w:type="spellStart"/>
            <w:r w:rsidRPr="00AA664B">
              <w:rPr>
                <w:bCs/>
              </w:rPr>
              <w:t>Optimization</w:t>
            </w:r>
            <w:proofErr w:type="spellEnd"/>
            <w:r w:rsidRPr="00AA664B">
              <w:rPr>
                <w:bCs/>
              </w:rPr>
              <w:t xml:space="preserve"> </w:t>
            </w:r>
            <w:proofErr w:type="spellStart"/>
            <w:r w:rsidRPr="00AA664B">
              <w:rPr>
                <w:bCs/>
              </w:rPr>
              <w:t>Specialist</w:t>
            </w:r>
            <w:proofErr w:type="spellEnd"/>
            <w:r w:rsidRPr="00AA664B">
              <w:rPr>
                <w:bCs/>
              </w:rPr>
              <w:t>“ sertifikatas arba jam lygiavertis.</w:t>
            </w:r>
          </w:p>
          <w:p w14:paraId="4F8C044C" w14:textId="77777777" w:rsidR="00906358" w:rsidRPr="00AA664B" w:rsidRDefault="00906358" w:rsidP="00906358">
            <w:pPr>
              <w:jc w:val="both"/>
              <w:outlineLvl w:val="0"/>
              <w:rPr>
                <w:bCs/>
              </w:rPr>
            </w:pPr>
            <w:r w:rsidRPr="00AA664B">
              <w:rPr>
                <w:bCs/>
              </w:rPr>
              <w:t>12.6. Turi būti numatyta galimybė gamintojo išduotus sertifikatus parsisiųsti PDF formatu tiesiai iš el. mokymų platformos.</w:t>
            </w:r>
          </w:p>
          <w:p w14:paraId="498DC6A7" w14:textId="77777777" w:rsidR="00906358" w:rsidRPr="00AA664B" w:rsidRDefault="00906358" w:rsidP="00906358">
            <w:pPr>
              <w:jc w:val="both"/>
              <w:outlineLvl w:val="0"/>
              <w:rPr>
                <w:bCs/>
              </w:rPr>
            </w:pPr>
          </w:p>
          <w:p w14:paraId="5F0AD5D9" w14:textId="77777777" w:rsidR="00906358" w:rsidRPr="00AA664B" w:rsidRDefault="00906358" w:rsidP="00906358">
            <w:pPr>
              <w:jc w:val="both"/>
              <w:outlineLvl w:val="0"/>
              <w:rPr>
                <w:bCs/>
              </w:rPr>
            </w:pPr>
            <w:r w:rsidRPr="00AA664B">
              <w:rPr>
                <w:bCs/>
              </w:rPr>
              <w:t>13. Paslaugų teikimo trukmė:</w:t>
            </w:r>
          </w:p>
          <w:p w14:paraId="3DBAD63A" w14:textId="669A771C" w:rsidR="00906358" w:rsidRPr="00AA664B" w:rsidRDefault="00170F0E" w:rsidP="00906358">
            <w:pPr>
              <w:jc w:val="both"/>
              <w:outlineLvl w:val="0"/>
              <w:rPr>
                <w:bCs/>
              </w:rPr>
            </w:pPr>
            <w:r>
              <w:rPr>
                <w:bCs/>
              </w:rPr>
              <w:t>13.1. 36</w:t>
            </w:r>
            <w:r w:rsidR="00906358" w:rsidRPr="00AA664B">
              <w:rPr>
                <w:bCs/>
              </w:rPr>
              <w:t xml:space="preserve"> mėn. nuo sutarties pasirašymo.</w:t>
            </w:r>
          </w:p>
          <w:p w14:paraId="398E02AA" w14:textId="76FD531F" w:rsidR="00906358" w:rsidRPr="00863971" w:rsidRDefault="00906358" w:rsidP="00906358">
            <w:pPr>
              <w:jc w:val="both"/>
              <w:outlineLvl w:val="0"/>
              <w:rPr>
                <w:bCs/>
                <w:lang w:eastAsia="en-US"/>
              </w:rPr>
            </w:pPr>
          </w:p>
        </w:tc>
      </w:tr>
      <w:tr w:rsidR="00863971" w:rsidRPr="00021308" w14:paraId="17815A0D" w14:textId="77777777" w:rsidTr="00EC11B1">
        <w:tc>
          <w:tcPr>
            <w:tcW w:w="10626" w:type="dxa"/>
            <w:gridSpan w:val="3"/>
            <w:tcBorders>
              <w:top w:val="single" w:sz="4" w:space="0" w:color="auto"/>
              <w:left w:val="single" w:sz="4" w:space="0" w:color="auto"/>
              <w:bottom w:val="single" w:sz="4" w:space="0" w:color="auto"/>
              <w:right w:val="single" w:sz="4" w:space="0" w:color="auto"/>
            </w:tcBorders>
          </w:tcPr>
          <w:p w14:paraId="6124A113" w14:textId="6576CF0C" w:rsidR="00863971" w:rsidRDefault="00863971" w:rsidP="00863971">
            <w:pPr>
              <w:tabs>
                <w:tab w:val="left" w:pos="487"/>
              </w:tabs>
              <w:jc w:val="both"/>
            </w:pPr>
            <w:r w:rsidRPr="003C28E4">
              <w:rPr>
                <w:color w:val="000000"/>
              </w:rPr>
              <w:lastRenderedPageBreak/>
              <w:t>Taikytini aplinkos apsaugos kriterijai</w:t>
            </w:r>
            <w:r>
              <w:rPr>
                <w:color w:val="000000"/>
              </w:rPr>
              <w:t>:</w:t>
            </w:r>
          </w:p>
          <w:p w14:paraId="753F4685" w14:textId="58685068" w:rsidR="00863971" w:rsidRPr="003C28E4" w:rsidRDefault="00863971" w:rsidP="00863971">
            <w:pPr>
              <w:tabs>
                <w:tab w:val="left" w:pos="487"/>
              </w:tabs>
              <w:jc w:val="both"/>
              <w:rPr>
                <w:b/>
                <w:bCs/>
                <w:lang w:eastAsia="en-US"/>
              </w:rPr>
            </w:pPr>
            <w:r w:rsidRPr="003C28E4">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863971" w:rsidRPr="00021308" w14:paraId="3EA5CCEF" w14:textId="77777777" w:rsidTr="00304C21">
        <w:tc>
          <w:tcPr>
            <w:tcW w:w="10626" w:type="dxa"/>
            <w:gridSpan w:val="3"/>
            <w:tcBorders>
              <w:top w:val="single" w:sz="4" w:space="0" w:color="auto"/>
              <w:left w:val="single" w:sz="4" w:space="0" w:color="auto"/>
              <w:bottom w:val="single" w:sz="4" w:space="0" w:color="auto"/>
              <w:right w:val="single" w:sz="4" w:space="0" w:color="auto"/>
            </w:tcBorders>
          </w:tcPr>
          <w:p w14:paraId="711D290E" w14:textId="2928E66A" w:rsidR="00863971" w:rsidRDefault="00863971" w:rsidP="00863971">
            <w:pPr>
              <w:jc w:val="both"/>
            </w:pPr>
            <w:r w:rsidRPr="003C28E4">
              <w:rPr>
                <w:color w:val="000000"/>
              </w:rPr>
              <w:t>Pirkimas yra susijęs su nacionaliniu saugumu</w:t>
            </w:r>
            <w:r>
              <w:rPr>
                <w:color w:val="000000"/>
              </w:rPr>
              <w:t>:</w:t>
            </w:r>
          </w:p>
          <w:p w14:paraId="78DCE768" w14:textId="77777777" w:rsidR="00863971" w:rsidRPr="003C28E4" w:rsidRDefault="00863971" w:rsidP="00863971">
            <w:pPr>
              <w:jc w:val="both"/>
            </w:pPr>
            <w:r w:rsidRPr="003C28E4">
              <w:t>Pirkimo objektas negali kelti grėsmės nacionaliniam saugumui.</w:t>
            </w:r>
          </w:p>
          <w:p w14:paraId="4DA67B97" w14:textId="77777777" w:rsidR="00863971" w:rsidRPr="003C28E4" w:rsidRDefault="00863971" w:rsidP="00863971">
            <w:pPr>
              <w:jc w:val="both"/>
            </w:pPr>
            <w:r w:rsidRPr="003C28E4">
              <w:t>Pirkimo objektas turi atitikti Lietuvos Respublikos viešųjų pirkimų įstatymo 37 straipsnio 9 dalyje numatytus reikalavimus:</w:t>
            </w:r>
          </w:p>
          <w:p w14:paraId="06E01E9C" w14:textId="77777777" w:rsidR="00863971" w:rsidRPr="003C28E4" w:rsidRDefault="00863971" w:rsidP="00863971">
            <w:pPr>
              <w:shd w:val="clear" w:color="auto" w:fill="FFFFFF"/>
              <w:jc w:val="both"/>
            </w:pPr>
            <w:r w:rsidRPr="003C28E4">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3C28E4">
              <w:rPr>
                <w:bCs/>
              </w:rPr>
              <w:t>pirkimus, kurių objektas apima šio įstatymo 92 straipsnio 13 dalyje numatytame sąraše nurodytų BVPŽ kodų prekes ar paslaugas</w:t>
            </w:r>
            <w:r w:rsidRPr="003C28E4">
              <w:t>, laiko, kad prekės ar paslaugos kelia grėsmę nacionaliniam saugumui, kai:</w:t>
            </w:r>
          </w:p>
          <w:p w14:paraId="5F02F679" w14:textId="77777777" w:rsidR="00863971" w:rsidRPr="003C28E4" w:rsidRDefault="00863971" w:rsidP="00863971">
            <w:pPr>
              <w:shd w:val="clear" w:color="auto" w:fill="FFFFFF"/>
              <w:jc w:val="both"/>
              <w:rPr>
                <w:rFonts w:eastAsia="Calibri"/>
              </w:rPr>
            </w:pPr>
            <w:r w:rsidRPr="003C28E4">
              <w:t xml:space="preserve">1) </w:t>
            </w:r>
            <w:r w:rsidRPr="003C28E4">
              <w:rPr>
                <w:bCs/>
              </w:rPr>
              <w:t>prekių</w:t>
            </w:r>
            <w:r w:rsidRPr="003C28E4">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FB67BD1" w14:textId="77777777" w:rsidR="00863971" w:rsidRPr="003C28E4" w:rsidRDefault="00863971" w:rsidP="00863971">
            <w:pPr>
              <w:shd w:val="clear" w:color="auto" w:fill="FFFFFF"/>
              <w:jc w:val="both"/>
            </w:pPr>
            <w:r w:rsidRPr="003C28E4">
              <w:t xml:space="preserve">2) </w:t>
            </w:r>
            <w:r w:rsidRPr="003C28E4">
              <w:rPr>
                <w:bCs/>
              </w:rPr>
              <w:t>paslaugų teikimas</w:t>
            </w:r>
            <w:r w:rsidRPr="003C28E4">
              <w:t xml:space="preserve"> būtų vykdomas iš šio įstatymo 92 straipsnio 14 dalyje numatytame sąraše nurodytų valstybių ar teritorijų.</w:t>
            </w:r>
          </w:p>
          <w:p w14:paraId="66B8BE11" w14:textId="77777777" w:rsidR="00863971" w:rsidRPr="003C28E4" w:rsidRDefault="00863971" w:rsidP="00863971">
            <w:pPr>
              <w:jc w:val="both"/>
            </w:pPr>
            <w:r w:rsidRPr="003C28E4">
              <w:t>Pirkimo objektas turi atitikti Lietuvos Respublikos viešųjų pirkimų įstatymo 47 straipsnio 9 dalyje numatytus reikalavimus:</w:t>
            </w:r>
          </w:p>
          <w:p w14:paraId="7A6CE54E" w14:textId="4E7C7954" w:rsidR="00863971" w:rsidRPr="003C28E4" w:rsidRDefault="00863971" w:rsidP="00863971">
            <w:pPr>
              <w:pStyle w:val="ListParagraph"/>
              <w:spacing w:after="0" w:line="240" w:lineRule="auto"/>
              <w:ind w:left="0"/>
              <w:jc w:val="both"/>
              <w:rPr>
                <w:rFonts w:ascii="Times New Roman" w:hAnsi="Times New Roman" w:cs="Times New Roman"/>
                <w:b/>
                <w:bCs/>
                <w:sz w:val="24"/>
                <w:szCs w:val="24"/>
              </w:rPr>
            </w:pPr>
            <w:r w:rsidRPr="003C28E4">
              <w:rPr>
                <w:rFonts w:ascii="Times New Roman" w:hAnsi="Times New Roman" w:cs="Times New Roman"/>
                <w:sz w:val="24"/>
                <w:szCs w:val="24"/>
              </w:rPr>
              <w:t xml:space="preserve">Perkančioji organizacija, veikianti gynybos srityje, valdanti ypatingos svarbos informacinę infrastruktūrą, veikianti srityse, kurios laikomos nacionaliniam saugumui užtikrinti strategiškai svarbių ūkio sektorių dalimi, </w:t>
            </w:r>
            <w:r w:rsidRPr="003C28E4">
              <w:rPr>
                <w:rFonts w:ascii="Times New Roman" w:hAnsi="Times New Roman" w:cs="Times New Roman"/>
                <w:sz w:val="24"/>
                <w:szCs w:val="24"/>
              </w:rPr>
              <w:lastRenderedPageBreak/>
              <w:t xml:space="preserve">ar įrašyta į Saugiojo tinklo naudotojų sąrašą, </w:t>
            </w:r>
            <w:r w:rsidRPr="003C28E4">
              <w:rPr>
                <w:rFonts w:ascii="Times New Roman" w:hAnsi="Times New Roman" w:cs="Times New Roman"/>
                <w:bCs/>
                <w:sz w:val="24"/>
                <w:szCs w:val="24"/>
              </w:rPr>
              <w:t xml:space="preserve">atlikdama pirkimus, kurių objektas apima šio įstatymo </w:t>
            </w:r>
            <w:r w:rsidRPr="003C28E4">
              <w:rPr>
                <w:rFonts w:ascii="Times New Roman" w:hAnsi="Times New Roman" w:cs="Times New Roman"/>
                <w:bCs/>
                <w:iCs/>
                <w:sz w:val="24"/>
                <w:szCs w:val="24"/>
              </w:rPr>
              <w:t>92</w:t>
            </w:r>
            <w:r w:rsidRPr="003C28E4">
              <w:rPr>
                <w:rFonts w:ascii="Times New Roman" w:hAnsi="Times New Roman" w:cs="Times New Roman"/>
                <w:sz w:val="24"/>
                <w:szCs w:val="24"/>
              </w:rPr>
              <w:t xml:space="preserve"> </w:t>
            </w:r>
            <w:r w:rsidRPr="003C28E4">
              <w:rPr>
                <w:rFonts w:ascii="Times New Roman" w:hAnsi="Times New Roman" w:cs="Times New Roman"/>
                <w:bCs/>
                <w:sz w:val="24"/>
                <w:szCs w:val="24"/>
              </w:rPr>
              <w:t>straipsnio 13 dalyje numatytame sąraše nurodytų BVPŽ kodų prekes ar paslaugas</w:t>
            </w:r>
            <w:r w:rsidRPr="003C28E4">
              <w:rPr>
                <w:rFonts w:ascii="Times New Roman" w:hAnsi="Times New Roman" w:cs="Times New Roman"/>
                <w:sz w:val="24"/>
                <w:szCs w:val="24"/>
              </w:rPr>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r w:rsidR="00863971" w14:paraId="398E02B2" w14:textId="77777777" w:rsidTr="00023F4D">
        <w:tc>
          <w:tcPr>
            <w:tcW w:w="10626" w:type="dxa"/>
            <w:gridSpan w:val="3"/>
            <w:tcBorders>
              <w:top w:val="single" w:sz="4" w:space="0" w:color="auto"/>
              <w:left w:val="single" w:sz="4" w:space="0" w:color="auto"/>
              <w:bottom w:val="single" w:sz="4" w:space="0" w:color="auto"/>
              <w:right w:val="single" w:sz="4" w:space="0" w:color="auto"/>
            </w:tcBorders>
          </w:tcPr>
          <w:p w14:paraId="058A4BD2" w14:textId="7B431720" w:rsidR="00863971" w:rsidRPr="003B51A5" w:rsidRDefault="00863971" w:rsidP="00863971">
            <w:pPr>
              <w:spacing w:line="276" w:lineRule="auto"/>
              <w:rPr>
                <w:i/>
                <w:iCs/>
                <w:sz w:val="20"/>
                <w:szCs w:val="20"/>
                <w:lang w:eastAsia="en-US"/>
              </w:rPr>
            </w:pPr>
            <w:r w:rsidRPr="003B51A5">
              <w:rPr>
                <w:sz w:val="20"/>
                <w:szCs w:val="20"/>
                <w:lang w:eastAsia="en-US"/>
              </w:rPr>
              <w:lastRenderedPageBreak/>
              <w:t xml:space="preserve">Pridedama (jei reikia): </w:t>
            </w: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863971" w:rsidRPr="003B51A5" w:rsidRDefault="00863971" w:rsidP="00863971">
            <w:pPr>
              <w:spacing w:line="276" w:lineRule="auto"/>
              <w:rPr>
                <w:bCs/>
                <w:lang w:eastAsia="en-US"/>
              </w:rPr>
            </w:pPr>
            <w:r w:rsidRPr="003B51A5">
              <w:rPr>
                <w:i/>
                <w:iCs/>
                <w:sz w:val="20"/>
                <w:szCs w:val="20"/>
                <w:lang w:eastAsia="en-US"/>
              </w:rPr>
              <w:t>2) Kiti dokumentai</w:t>
            </w:r>
          </w:p>
        </w:tc>
      </w:tr>
      <w:tr w:rsidR="00863971" w14:paraId="398E02B4" w14:textId="77777777" w:rsidTr="00023F4D">
        <w:trPr>
          <w:trHeight w:val="191"/>
        </w:trPr>
        <w:tc>
          <w:tcPr>
            <w:tcW w:w="10626" w:type="dxa"/>
            <w:gridSpan w:val="3"/>
            <w:tcBorders>
              <w:top w:val="single" w:sz="4" w:space="0" w:color="auto"/>
              <w:left w:val="single" w:sz="4" w:space="0" w:color="auto"/>
              <w:bottom w:val="single" w:sz="4" w:space="0" w:color="auto"/>
              <w:right w:val="single" w:sz="4" w:space="0" w:color="auto"/>
            </w:tcBorders>
          </w:tcPr>
          <w:p w14:paraId="398E02B3" w14:textId="77777777" w:rsidR="00863971" w:rsidRDefault="00863971" w:rsidP="00863971">
            <w:pPr>
              <w:spacing w:line="276" w:lineRule="auto"/>
              <w:jc w:val="center"/>
              <w:rPr>
                <w:b/>
                <w:bCs/>
                <w:lang w:eastAsia="en-US"/>
              </w:rPr>
            </w:pPr>
          </w:p>
        </w:tc>
      </w:tr>
    </w:tbl>
    <w:p w14:paraId="398E02C2" w14:textId="57DB1A03" w:rsidR="00733A9B" w:rsidRDefault="00733A9B" w:rsidP="00023F4D"/>
    <w:sectPr w:rsidR="00733A9B" w:rsidSect="006604BA">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E578" w14:textId="77777777" w:rsidR="004F17C0" w:rsidRDefault="004F17C0" w:rsidP="00453509">
      <w:r>
        <w:separator/>
      </w:r>
    </w:p>
  </w:endnote>
  <w:endnote w:type="continuationSeparator" w:id="0">
    <w:p w14:paraId="161C6A04" w14:textId="77777777" w:rsidR="004F17C0" w:rsidRDefault="004F17C0"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FB0D" w14:textId="77777777" w:rsidR="004F17C0" w:rsidRDefault="004F17C0" w:rsidP="00453509">
      <w:r>
        <w:separator/>
      </w:r>
    </w:p>
  </w:footnote>
  <w:footnote w:type="continuationSeparator" w:id="0">
    <w:p w14:paraId="0503D657" w14:textId="77777777" w:rsidR="004F17C0" w:rsidRDefault="004F17C0"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7454A02"/>
    <w:multiLevelType w:val="hybridMultilevel"/>
    <w:tmpl w:val="CF5E0A14"/>
    <w:lvl w:ilvl="0" w:tplc="0409000F">
      <w:start w:val="1"/>
      <w:numFmt w:val="decimal"/>
      <w:lvlText w:val="%1."/>
      <w:lvlJc w:val="left"/>
      <w:pPr>
        <w:tabs>
          <w:tab w:val="num" w:pos="663"/>
        </w:tabs>
        <w:ind w:left="663" w:hanging="360"/>
      </w:pPr>
    </w:lvl>
    <w:lvl w:ilvl="1" w:tplc="04090019" w:tentative="1">
      <w:start w:val="1"/>
      <w:numFmt w:val="lowerLetter"/>
      <w:lvlText w:val="%2."/>
      <w:lvlJc w:val="left"/>
      <w:pPr>
        <w:tabs>
          <w:tab w:val="num" w:pos="1383"/>
        </w:tabs>
        <w:ind w:left="1383" w:hanging="360"/>
      </w:pPr>
    </w:lvl>
    <w:lvl w:ilvl="2" w:tplc="0409001B" w:tentative="1">
      <w:start w:val="1"/>
      <w:numFmt w:val="lowerRoman"/>
      <w:lvlText w:val="%3."/>
      <w:lvlJc w:val="right"/>
      <w:pPr>
        <w:tabs>
          <w:tab w:val="num" w:pos="2103"/>
        </w:tabs>
        <w:ind w:left="2103" w:hanging="18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3A96522D"/>
    <w:multiLevelType w:val="multilevel"/>
    <w:tmpl w:val="DE0CFEA4"/>
    <w:lvl w:ilvl="0">
      <w:start w:val="3"/>
      <w:numFmt w:val="decimal"/>
      <w:lvlText w:val="%1"/>
      <w:lvlJc w:val="left"/>
      <w:pPr>
        <w:ind w:left="360" w:hanging="360"/>
      </w:pPr>
      <w:rPr>
        <w:rFonts w:hint="default"/>
        <w:i/>
      </w:rPr>
    </w:lvl>
    <w:lvl w:ilvl="1">
      <w:start w:val="2"/>
      <w:numFmt w:val="decimal"/>
      <w:lvlText w:val="%1.%2"/>
      <w:lvlJc w:val="left"/>
      <w:pPr>
        <w:ind w:left="1210" w:hanging="360"/>
      </w:pPr>
      <w:rPr>
        <w:rFonts w:ascii="Times New Roman" w:hAnsi="Times New Roman" w:cs="Times New Roman" w:hint="default"/>
        <w:i/>
      </w:rPr>
    </w:lvl>
    <w:lvl w:ilvl="2">
      <w:start w:val="1"/>
      <w:numFmt w:val="decimal"/>
      <w:lvlText w:val="%1.%2.%3"/>
      <w:lvlJc w:val="left"/>
      <w:pPr>
        <w:ind w:left="2592" w:hanging="720"/>
      </w:pPr>
      <w:rPr>
        <w:rFonts w:hint="default"/>
        <w:i/>
      </w:rPr>
    </w:lvl>
    <w:lvl w:ilvl="3">
      <w:start w:val="1"/>
      <w:numFmt w:val="decimal"/>
      <w:lvlText w:val="%1.%2.%3.%4"/>
      <w:lvlJc w:val="left"/>
      <w:pPr>
        <w:ind w:left="3528" w:hanging="720"/>
      </w:pPr>
      <w:rPr>
        <w:rFonts w:hint="default"/>
        <w:i/>
      </w:rPr>
    </w:lvl>
    <w:lvl w:ilvl="4">
      <w:start w:val="1"/>
      <w:numFmt w:val="decimal"/>
      <w:lvlText w:val="%1.%2.%3.%4.%5"/>
      <w:lvlJc w:val="left"/>
      <w:pPr>
        <w:ind w:left="4824" w:hanging="1080"/>
      </w:pPr>
      <w:rPr>
        <w:rFonts w:hint="default"/>
        <w:i/>
      </w:rPr>
    </w:lvl>
    <w:lvl w:ilvl="5">
      <w:start w:val="1"/>
      <w:numFmt w:val="decimal"/>
      <w:lvlText w:val="%1.%2.%3.%4.%5.%6"/>
      <w:lvlJc w:val="left"/>
      <w:pPr>
        <w:ind w:left="5760" w:hanging="1080"/>
      </w:pPr>
      <w:rPr>
        <w:rFonts w:hint="default"/>
        <w:i/>
      </w:rPr>
    </w:lvl>
    <w:lvl w:ilvl="6">
      <w:start w:val="1"/>
      <w:numFmt w:val="decimal"/>
      <w:lvlText w:val="%1.%2.%3.%4.%5.%6.%7"/>
      <w:lvlJc w:val="left"/>
      <w:pPr>
        <w:ind w:left="7056" w:hanging="1440"/>
      </w:pPr>
      <w:rPr>
        <w:rFonts w:hint="default"/>
        <w:i/>
      </w:rPr>
    </w:lvl>
    <w:lvl w:ilvl="7">
      <w:start w:val="1"/>
      <w:numFmt w:val="decimal"/>
      <w:lvlText w:val="%1.%2.%3.%4.%5.%6.%7.%8"/>
      <w:lvlJc w:val="left"/>
      <w:pPr>
        <w:ind w:left="7992" w:hanging="1440"/>
      </w:pPr>
      <w:rPr>
        <w:rFonts w:hint="default"/>
        <w:i/>
      </w:rPr>
    </w:lvl>
    <w:lvl w:ilvl="8">
      <w:start w:val="1"/>
      <w:numFmt w:val="decimal"/>
      <w:lvlText w:val="%1.%2.%3.%4.%5.%6.%7.%8.%9"/>
      <w:lvlJc w:val="left"/>
      <w:pPr>
        <w:ind w:left="9288" w:hanging="1800"/>
      </w:pPr>
      <w:rPr>
        <w:rFonts w:hint="default"/>
        <w:i/>
      </w:rPr>
    </w:lvl>
  </w:abstractNum>
  <w:abstractNum w:abstractNumId="6" w15:restartNumberingAfterBreak="0">
    <w:nsid w:val="3AE35033"/>
    <w:multiLevelType w:val="multilevel"/>
    <w:tmpl w:val="9A066C76"/>
    <w:lvl w:ilvl="0">
      <w:start w:val="3"/>
      <w:numFmt w:val="decimal"/>
      <w:lvlText w:val="%1"/>
      <w:lvlJc w:val="left"/>
      <w:pPr>
        <w:ind w:left="360" w:hanging="360"/>
      </w:pPr>
      <w:rPr>
        <w:rFonts w:hint="default"/>
        <w:i/>
      </w:rPr>
    </w:lvl>
    <w:lvl w:ilvl="1">
      <w:start w:val="2"/>
      <w:numFmt w:val="decimal"/>
      <w:lvlText w:val="%1.%2"/>
      <w:lvlJc w:val="left"/>
      <w:pPr>
        <w:ind w:left="1210" w:hanging="360"/>
      </w:pPr>
      <w:rPr>
        <w:rFonts w:hint="default"/>
        <w:i/>
      </w:rPr>
    </w:lvl>
    <w:lvl w:ilvl="2">
      <w:start w:val="1"/>
      <w:numFmt w:val="decimal"/>
      <w:lvlText w:val="%1.%2.%3"/>
      <w:lvlJc w:val="left"/>
      <w:pPr>
        <w:ind w:left="2592" w:hanging="720"/>
      </w:pPr>
      <w:rPr>
        <w:rFonts w:hint="default"/>
        <w:i/>
      </w:rPr>
    </w:lvl>
    <w:lvl w:ilvl="3">
      <w:start w:val="1"/>
      <w:numFmt w:val="decimal"/>
      <w:lvlText w:val="%1.%2.%3.%4"/>
      <w:lvlJc w:val="left"/>
      <w:pPr>
        <w:ind w:left="3528" w:hanging="720"/>
      </w:pPr>
      <w:rPr>
        <w:rFonts w:hint="default"/>
        <w:i/>
      </w:rPr>
    </w:lvl>
    <w:lvl w:ilvl="4">
      <w:start w:val="1"/>
      <w:numFmt w:val="decimal"/>
      <w:lvlText w:val="%1.%2.%3.%4.%5"/>
      <w:lvlJc w:val="left"/>
      <w:pPr>
        <w:ind w:left="4824" w:hanging="1080"/>
      </w:pPr>
      <w:rPr>
        <w:rFonts w:hint="default"/>
        <w:i/>
      </w:rPr>
    </w:lvl>
    <w:lvl w:ilvl="5">
      <w:start w:val="1"/>
      <w:numFmt w:val="decimal"/>
      <w:lvlText w:val="%1.%2.%3.%4.%5.%6"/>
      <w:lvlJc w:val="left"/>
      <w:pPr>
        <w:ind w:left="5760" w:hanging="1080"/>
      </w:pPr>
      <w:rPr>
        <w:rFonts w:hint="default"/>
        <w:i/>
      </w:rPr>
    </w:lvl>
    <w:lvl w:ilvl="6">
      <w:start w:val="1"/>
      <w:numFmt w:val="decimal"/>
      <w:lvlText w:val="%1.%2.%3.%4.%5.%6.%7"/>
      <w:lvlJc w:val="left"/>
      <w:pPr>
        <w:ind w:left="7056" w:hanging="1440"/>
      </w:pPr>
      <w:rPr>
        <w:rFonts w:hint="default"/>
        <w:i/>
      </w:rPr>
    </w:lvl>
    <w:lvl w:ilvl="7">
      <w:start w:val="1"/>
      <w:numFmt w:val="decimal"/>
      <w:lvlText w:val="%1.%2.%3.%4.%5.%6.%7.%8"/>
      <w:lvlJc w:val="left"/>
      <w:pPr>
        <w:ind w:left="7992" w:hanging="1440"/>
      </w:pPr>
      <w:rPr>
        <w:rFonts w:hint="default"/>
        <w:i/>
      </w:rPr>
    </w:lvl>
    <w:lvl w:ilvl="8">
      <w:start w:val="1"/>
      <w:numFmt w:val="decimal"/>
      <w:lvlText w:val="%1.%2.%3.%4.%5.%6.%7.%8.%9"/>
      <w:lvlJc w:val="left"/>
      <w:pPr>
        <w:ind w:left="9288" w:hanging="1800"/>
      </w:pPr>
      <w:rPr>
        <w:rFonts w:hint="default"/>
        <w:i/>
      </w:rPr>
    </w:lvl>
  </w:abstractNum>
  <w:abstractNum w:abstractNumId="7"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8"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9"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A3C4B58"/>
    <w:multiLevelType w:val="multilevel"/>
    <w:tmpl w:val="BFCA285E"/>
    <w:lvl w:ilvl="0">
      <w:start w:val="4"/>
      <w:numFmt w:val="decimal"/>
      <w:lvlText w:val="%1"/>
      <w:lvlJc w:val="left"/>
      <w:pPr>
        <w:ind w:left="360" w:hanging="360"/>
      </w:pPr>
      <w:rPr>
        <w:rFonts w:hint="default"/>
        <w:i/>
      </w:rPr>
    </w:lvl>
    <w:lvl w:ilvl="1">
      <w:start w:val="1"/>
      <w:numFmt w:val="decimal"/>
      <w:lvlText w:val="%1.%2"/>
      <w:lvlJc w:val="left"/>
      <w:pPr>
        <w:ind w:left="936" w:hanging="360"/>
      </w:pPr>
      <w:rPr>
        <w:rFonts w:hint="default"/>
        <w:b w:val="0"/>
        <w:i w:val="0"/>
      </w:rPr>
    </w:lvl>
    <w:lvl w:ilvl="2">
      <w:start w:val="1"/>
      <w:numFmt w:val="decimal"/>
      <w:lvlText w:val="%1.%2.%3"/>
      <w:lvlJc w:val="left"/>
      <w:pPr>
        <w:ind w:left="1872" w:hanging="720"/>
      </w:pPr>
      <w:rPr>
        <w:rFonts w:hint="default"/>
        <w:i/>
      </w:rPr>
    </w:lvl>
    <w:lvl w:ilvl="3">
      <w:start w:val="1"/>
      <w:numFmt w:val="decimal"/>
      <w:lvlText w:val="%1.%2.%3.%4"/>
      <w:lvlJc w:val="left"/>
      <w:pPr>
        <w:ind w:left="2448" w:hanging="720"/>
      </w:pPr>
      <w:rPr>
        <w:rFonts w:hint="default"/>
        <w:i/>
      </w:rPr>
    </w:lvl>
    <w:lvl w:ilvl="4">
      <w:start w:val="1"/>
      <w:numFmt w:val="decimal"/>
      <w:lvlText w:val="%1.%2.%3.%4.%5"/>
      <w:lvlJc w:val="left"/>
      <w:pPr>
        <w:ind w:left="3384" w:hanging="1080"/>
      </w:pPr>
      <w:rPr>
        <w:rFonts w:hint="default"/>
        <w:i/>
      </w:rPr>
    </w:lvl>
    <w:lvl w:ilvl="5">
      <w:start w:val="1"/>
      <w:numFmt w:val="decimal"/>
      <w:lvlText w:val="%1.%2.%3.%4.%5.%6"/>
      <w:lvlJc w:val="left"/>
      <w:pPr>
        <w:ind w:left="3960" w:hanging="1080"/>
      </w:pPr>
      <w:rPr>
        <w:rFonts w:hint="default"/>
        <w:i/>
      </w:rPr>
    </w:lvl>
    <w:lvl w:ilvl="6">
      <w:start w:val="1"/>
      <w:numFmt w:val="decimal"/>
      <w:lvlText w:val="%1.%2.%3.%4.%5.%6.%7"/>
      <w:lvlJc w:val="left"/>
      <w:pPr>
        <w:ind w:left="4896" w:hanging="1440"/>
      </w:pPr>
      <w:rPr>
        <w:rFonts w:hint="default"/>
        <w:i/>
      </w:rPr>
    </w:lvl>
    <w:lvl w:ilvl="7">
      <w:start w:val="1"/>
      <w:numFmt w:val="decimal"/>
      <w:lvlText w:val="%1.%2.%3.%4.%5.%6.%7.%8"/>
      <w:lvlJc w:val="left"/>
      <w:pPr>
        <w:ind w:left="5472" w:hanging="1440"/>
      </w:pPr>
      <w:rPr>
        <w:rFonts w:hint="default"/>
        <w:i/>
      </w:rPr>
    </w:lvl>
    <w:lvl w:ilvl="8">
      <w:start w:val="1"/>
      <w:numFmt w:val="decimal"/>
      <w:lvlText w:val="%1.%2.%3.%4.%5.%6.%7.%8.%9"/>
      <w:lvlJc w:val="left"/>
      <w:pPr>
        <w:ind w:left="6408" w:hanging="1800"/>
      </w:pPr>
      <w:rPr>
        <w:rFonts w:hint="default"/>
        <w:i/>
      </w:rPr>
    </w:lvl>
  </w:abstractNum>
  <w:abstractNum w:abstractNumId="1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D078B6"/>
    <w:multiLevelType w:val="multilevel"/>
    <w:tmpl w:val="3D94E3F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3" w15:restartNumberingAfterBreak="0">
    <w:nsid w:val="77392391"/>
    <w:multiLevelType w:val="multilevel"/>
    <w:tmpl w:val="4B58EB80"/>
    <w:lvl w:ilvl="0">
      <w:start w:val="3"/>
      <w:numFmt w:val="decimal"/>
      <w:lvlText w:val="%1"/>
      <w:lvlJc w:val="left"/>
      <w:pPr>
        <w:ind w:left="360" w:hanging="360"/>
      </w:pPr>
      <w:rPr>
        <w:rFonts w:hint="default"/>
        <w:i/>
      </w:rPr>
    </w:lvl>
    <w:lvl w:ilvl="1">
      <w:start w:val="1"/>
      <w:numFmt w:val="decimal"/>
      <w:lvlText w:val="%1.%2"/>
      <w:lvlJc w:val="left"/>
      <w:pPr>
        <w:ind w:left="936" w:hanging="360"/>
      </w:pPr>
      <w:rPr>
        <w:rFonts w:hint="default"/>
        <w:i/>
      </w:rPr>
    </w:lvl>
    <w:lvl w:ilvl="2">
      <w:start w:val="1"/>
      <w:numFmt w:val="decimal"/>
      <w:lvlText w:val="%1.%2.%3"/>
      <w:lvlJc w:val="left"/>
      <w:pPr>
        <w:ind w:left="1872" w:hanging="720"/>
      </w:pPr>
      <w:rPr>
        <w:rFonts w:hint="default"/>
        <w:i/>
      </w:rPr>
    </w:lvl>
    <w:lvl w:ilvl="3">
      <w:start w:val="1"/>
      <w:numFmt w:val="decimal"/>
      <w:lvlText w:val="%1.%2.%3.%4"/>
      <w:lvlJc w:val="left"/>
      <w:pPr>
        <w:ind w:left="2448" w:hanging="720"/>
      </w:pPr>
      <w:rPr>
        <w:rFonts w:hint="default"/>
        <w:i/>
      </w:rPr>
    </w:lvl>
    <w:lvl w:ilvl="4">
      <w:start w:val="1"/>
      <w:numFmt w:val="decimal"/>
      <w:lvlText w:val="%1.%2.%3.%4.%5"/>
      <w:lvlJc w:val="left"/>
      <w:pPr>
        <w:ind w:left="3384" w:hanging="1080"/>
      </w:pPr>
      <w:rPr>
        <w:rFonts w:hint="default"/>
        <w:i/>
      </w:rPr>
    </w:lvl>
    <w:lvl w:ilvl="5">
      <w:start w:val="1"/>
      <w:numFmt w:val="decimal"/>
      <w:lvlText w:val="%1.%2.%3.%4.%5.%6"/>
      <w:lvlJc w:val="left"/>
      <w:pPr>
        <w:ind w:left="3960" w:hanging="1080"/>
      </w:pPr>
      <w:rPr>
        <w:rFonts w:hint="default"/>
        <w:i/>
      </w:rPr>
    </w:lvl>
    <w:lvl w:ilvl="6">
      <w:start w:val="1"/>
      <w:numFmt w:val="decimal"/>
      <w:lvlText w:val="%1.%2.%3.%4.%5.%6.%7"/>
      <w:lvlJc w:val="left"/>
      <w:pPr>
        <w:ind w:left="4896" w:hanging="1440"/>
      </w:pPr>
      <w:rPr>
        <w:rFonts w:hint="default"/>
        <w:i/>
      </w:rPr>
    </w:lvl>
    <w:lvl w:ilvl="7">
      <w:start w:val="1"/>
      <w:numFmt w:val="decimal"/>
      <w:lvlText w:val="%1.%2.%3.%4.%5.%6.%7.%8"/>
      <w:lvlJc w:val="left"/>
      <w:pPr>
        <w:ind w:left="5472" w:hanging="1440"/>
      </w:pPr>
      <w:rPr>
        <w:rFonts w:hint="default"/>
        <w:i/>
      </w:rPr>
    </w:lvl>
    <w:lvl w:ilvl="8">
      <w:start w:val="1"/>
      <w:numFmt w:val="decimal"/>
      <w:lvlText w:val="%1.%2.%3.%4.%5.%6.%7.%8.%9"/>
      <w:lvlJc w:val="left"/>
      <w:pPr>
        <w:ind w:left="6408" w:hanging="1800"/>
      </w:pPr>
      <w:rPr>
        <w:rFonts w:hint="default"/>
        <w:i/>
      </w:rPr>
    </w:lvl>
  </w:abstractNum>
  <w:abstractNum w:abstractNumId="14" w15:restartNumberingAfterBreak="0">
    <w:nsid w:val="78AB138D"/>
    <w:multiLevelType w:val="multilevel"/>
    <w:tmpl w:val="70DC3B8C"/>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b w:val="0"/>
        <w:bCs/>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7E8B7710"/>
    <w:multiLevelType w:val="hybridMultilevel"/>
    <w:tmpl w:val="32EAC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1B1027"/>
    <w:multiLevelType w:val="multilevel"/>
    <w:tmpl w:val="70DC3B8C"/>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b w:val="0"/>
        <w:bCs/>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num w:numId="1" w16cid:durableId="1392652436">
    <w:abstractNumId w:val="7"/>
  </w:num>
  <w:num w:numId="2" w16cid:durableId="519853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0032504">
    <w:abstractNumId w:val="11"/>
  </w:num>
  <w:num w:numId="4" w16cid:durableId="563293811">
    <w:abstractNumId w:val="1"/>
  </w:num>
  <w:num w:numId="5" w16cid:durableId="1349989010">
    <w:abstractNumId w:val="0"/>
  </w:num>
  <w:num w:numId="6" w16cid:durableId="1692758091">
    <w:abstractNumId w:val="9"/>
  </w:num>
  <w:num w:numId="7" w16cid:durableId="1464301867">
    <w:abstractNumId w:val="8"/>
  </w:num>
  <w:num w:numId="8" w16cid:durableId="2048094438">
    <w:abstractNumId w:val="3"/>
  </w:num>
  <w:num w:numId="9" w16cid:durableId="1189486524">
    <w:abstractNumId w:val="16"/>
  </w:num>
  <w:num w:numId="10" w16cid:durableId="809712514">
    <w:abstractNumId w:val="14"/>
  </w:num>
  <w:num w:numId="11" w16cid:durableId="524944817">
    <w:abstractNumId w:val="13"/>
  </w:num>
  <w:num w:numId="12" w16cid:durableId="1275017411">
    <w:abstractNumId w:val="5"/>
  </w:num>
  <w:num w:numId="13" w16cid:durableId="364907015">
    <w:abstractNumId w:val="6"/>
  </w:num>
  <w:num w:numId="14" w16cid:durableId="1960262396">
    <w:abstractNumId w:val="10"/>
  </w:num>
  <w:num w:numId="15" w16cid:durableId="699014230">
    <w:abstractNumId w:val="4"/>
  </w:num>
  <w:num w:numId="16" w16cid:durableId="1273171692">
    <w:abstractNumId w:val="15"/>
  </w:num>
  <w:num w:numId="17" w16cid:durableId="401954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860"/>
    <w:rsid w:val="00021308"/>
    <w:rsid w:val="000221E6"/>
    <w:rsid w:val="00023F4D"/>
    <w:rsid w:val="00033F1E"/>
    <w:rsid w:val="00050F98"/>
    <w:rsid w:val="00056542"/>
    <w:rsid w:val="00091CF3"/>
    <w:rsid w:val="000A0E19"/>
    <w:rsid w:val="000B4898"/>
    <w:rsid w:val="000C02E3"/>
    <w:rsid w:val="000E7A90"/>
    <w:rsid w:val="00111478"/>
    <w:rsid w:val="00170F0E"/>
    <w:rsid w:val="001900E1"/>
    <w:rsid w:val="001B12F9"/>
    <w:rsid w:val="001C200A"/>
    <w:rsid w:val="001D1A38"/>
    <w:rsid w:val="001E6AB2"/>
    <w:rsid w:val="001F6316"/>
    <w:rsid w:val="00215B5F"/>
    <w:rsid w:val="00223836"/>
    <w:rsid w:val="00231EAE"/>
    <w:rsid w:val="0024655E"/>
    <w:rsid w:val="0027213B"/>
    <w:rsid w:val="002A2E66"/>
    <w:rsid w:val="002A7490"/>
    <w:rsid w:val="002C2FF8"/>
    <w:rsid w:val="002C342C"/>
    <w:rsid w:val="002F7D0C"/>
    <w:rsid w:val="00351852"/>
    <w:rsid w:val="003529CC"/>
    <w:rsid w:val="00371DC9"/>
    <w:rsid w:val="003B16C5"/>
    <w:rsid w:val="003B51A5"/>
    <w:rsid w:val="003C28E4"/>
    <w:rsid w:val="0042120E"/>
    <w:rsid w:val="00453509"/>
    <w:rsid w:val="00453E93"/>
    <w:rsid w:val="00454AC9"/>
    <w:rsid w:val="004947A4"/>
    <w:rsid w:val="00497D9E"/>
    <w:rsid w:val="004F17C0"/>
    <w:rsid w:val="00500B25"/>
    <w:rsid w:val="005115CC"/>
    <w:rsid w:val="00512215"/>
    <w:rsid w:val="00525E23"/>
    <w:rsid w:val="0052766A"/>
    <w:rsid w:val="005344F6"/>
    <w:rsid w:val="005374AE"/>
    <w:rsid w:val="00564480"/>
    <w:rsid w:val="00577B3D"/>
    <w:rsid w:val="0058008E"/>
    <w:rsid w:val="00590CC1"/>
    <w:rsid w:val="005D09D9"/>
    <w:rsid w:val="00614AFD"/>
    <w:rsid w:val="00651698"/>
    <w:rsid w:val="006604BA"/>
    <w:rsid w:val="0067105A"/>
    <w:rsid w:val="006730E3"/>
    <w:rsid w:val="006B5ACF"/>
    <w:rsid w:val="006D3BBB"/>
    <w:rsid w:val="007277A5"/>
    <w:rsid w:val="00733A9B"/>
    <w:rsid w:val="007562D8"/>
    <w:rsid w:val="00762FD4"/>
    <w:rsid w:val="00763241"/>
    <w:rsid w:val="00763E61"/>
    <w:rsid w:val="007716C0"/>
    <w:rsid w:val="0077459F"/>
    <w:rsid w:val="00790A09"/>
    <w:rsid w:val="007C00BF"/>
    <w:rsid w:val="007F2BAE"/>
    <w:rsid w:val="007F36F7"/>
    <w:rsid w:val="007F522C"/>
    <w:rsid w:val="007F6B58"/>
    <w:rsid w:val="0080135B"/>
    <w:rsid w:val="0082459F"/>
    <w:rsid w:val="008631EB"/>
    <w:rsid w:val="00863971"/>
    <w:rsid w:val="00866185"/>
    <w:rsid w:val="00895B15"/>
    <w:rsid w:val="008C61E2"/>
    <w:rsid w:val="00906358"/>
    <w:rsid w:val="00920084"/>
    <w:rsid w:val="0092064F"/>
    <w:rsid w:val="00945E33"/>
    <w:rsid w:val="00985CD4"/>
    <w:rsid w:val="009919DB"/>
    <w:rsid w:val="009E1D1E"/>
    <w:rsid w:val="00A1408A"/>
    <w:rsid w:val="00A14EC2"/>
    <w:rsid w:val="00A1700C"/>
    <w:rsid w:val="00A37F7D"/>
    <w:rsid w:val="00A43505"/>
    <w:rsid w:val="00A84BA1"/>
    <w:rsid w:val="00A877CD"/>
    <w:rsid w:val="00AC0D5A"/>
    <w:rsid w:val="00B84F0D"/>
    <w:rsid w:val="00BA47DC"/>
    <w:rsid w:val="00BB68FD"/>
    <w:rsid w:val="00BC2287"/>
    <w:rsid w:val="00BD11E3"/>
    <w:rsid w:val="00BF4064"/>
    <w:rsid w:val="00C463F5"/>
    <w:rsid w:val="00C560B0"/>
    <w:rsid w:val="00CB1E6A"/>
    <w:rsid w:val="00CB3221"/>
    <w:rsid w:val="00CD5532"/>
    <w:rsid w:val="00CF10A3"/>
    <w:rsid w:val="00CF74E8"/>
    <w:rsid w:val="00D04636"/>
    <w:rsid w:val="00D45F18"/>
    <w:rsid w:val="00D55DA8"/>
    <w:rsid w:val="00D72E5D"/>
    <w:rsid w:val="00D73647"/>
    <w:rsid w:val="00D77712"/>
    <w:rsid w:val="00D86963"/>
    <w:rsid w:val="00DF0BEF"/>
    <w:rsid w:val="00E20001"/>
    <w:rsid w:val="00E6047B"/>
    <w:rsid w:val="00E838BC"/>
    <w:rsid w:val="00E87343"/>
    <w:rsid w:val="00EC010F"/>
    <w:rsid w:val="00EC0510"/>
    <w:rsid w:val="00EC57A0"/>
    <w:rsid w:val="00F06C0F"/>
    <w:rsid w:val="00F23B8F"/>
    <w:rsid w:val="00F91B2D"/>
    <w:rsid w:val="00FD3F21"/>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uiPriority w:val="34"/>
    <w:locked/>
    <w:rsid w:val="00A43505"/>
  </w:style>
  <w:style w:type="paragraph" w:styleId="NoSpacing">
    <w:name w:val="No Spacing"/>
    <w:basedOn w:val="Normal"/>
    <w:uiPriority w:val="1"/>
    <w:qFormat/>
    <w:rsid w:val="00863971"/>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547189">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C9B4-11F7-4F33-B50F-081FA62F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6450</Words>
  <Characters>3677</Characters>
  <Application>Microsoft Office Word</Application>
  <DocSecurity>4</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2</cp:revision>
  <cp:lastPrinted>2021-12-21T14:25:00Z</cp:lastPrinted>
  <dcterms:created xsi:type="dcterms:W3CDTF">2026-03-10T13:03:00Z</dcterms:created>
  <dcterms:modified xsi:type="dcterms:W3CDTF">2026-03-10T13:03:00Z</dcterms:modified>
</cp:coreProperties>
</file>