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template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raopastraipa"/>
        <w:tabs>
          <w:tab w:val="left" w:pos="1134" w:leader="none"/>
        </w:tabs>
        <w:ind w:firstLine="709" w:start="0"/>
        <w:jc w:val="both"/>
        <w:rPr/>
      </w:pPr>
      <w:r>
        <w:rPr/>
      </w:r>
    </w:p>
    <w:p>
      <w:pPr>
        <w:pStyle w:val="Default"/>
        <w:jc w:val="center"/>
        <w:rPr/>
      </w:pPr>
      <w:r>
        <w:rPr>
          <w:rStyle w:val="Numatytasispastraiposriftas"/>
          <w:b/>
          <w:bCs/>
          <w:color w:val="auto"/>
          <w:sz w:val="23"/>
          <w:szCs w:val="23"/>
        </w:rPr>
        <w:t>TECHNINĖ UŽDUOTIS</w:t>
      </w:r>
    </w:p>
    <w:p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</w:r>
    </w:p>
    <w:p>
      <w:pPr>
        <w:pStyle w:val="Default"/>
        <w:jc w:val="center"/>
        <w:rPr/>
      </w:pPr>
      <w:r>
        <w:rPr>
          <w:rStyle w:val="Numatytasispastraiposriftas"/>
          <w:b/>
          <w:bCs/>
          <w:sz w:val="23"/>
          <w:szCs w:val="23"/>
        </w:rPr>
        <w:t>PROJEKTAVIMO IR PROJEKTO PRIEŽIŪROS PASLAUGOS 12 ARŲ AIKŠTELĖS IR 96 M</w:t>
      </w:r>
      <w:r>
        <w:rPr>
          <w:rStyle w:val="Numatytasispastraiposriftas"/>
          <w:b/>
          <w:bCs/>
          <w:position w:val="6"/>
          <w:sz w:val="15"/>
          <w:sz w:val="23"/>
          <w:szCs w:val="23"/>
        </w:rPr>
        <w:t xml:space="preserve">2 </w:t>
      </w:r>
      <w:r>
        <w:rPr>
          <w:rStyle w:val="Numatytasispastraiposriftas"/>
          <w:b/>
          <w:bCs/>
          <w:sz w:val="23"/>
          <w:szCs w:val="23"/>
        </w:rPr>
        <w:t xml:space="preserve"> SANDĖLIAVIMO PASKIRTIES PASTATO SKIRTO ATLIEKŲ , TINKAMŲ PARUOŠTI PAKARTOTINIAM PANAUDOJIMUI, SURINKIMUI GAUDIKAIČIŲ K. TELŠIŲ R. SAV.,  PASLAUGOS</w:t>
      </w:r>
    </w:p>
    <w:p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</w:r>
    </w:p>
    <w:p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</w:r>
    </w:p>
    <w:tbl>
      <w:tblPr>
        <w:tblW w:w="10052" w:type="dxa"/>
        <w:jc w:val="start"/>
        <w:tblInd w:w="-281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728"/>
        <w:gridCol w:w="2694"/>
        <w:gridCol w:w="6630"/>
      </w:tblGrid>
      <w:tr>
        <w:trPr>
          <w:trHeight w:val="266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b/>
                <w:bCs/>
                <w:sz w:val="23"/>
                <w:szCs w:val="23"/>
              </w:rPr>
              <w:t>Eil. Nr.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b/>
                <w:bCs/>
                <w:sz w:val="23"/>
                <w:szCs w:val="23"/>
              </w:rPr>
              <w:t>Pavadinimas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b/>
                <w:bCs/>
                <w:sz w:val="23"/>
                <w:szCs w:val="23"/>
              </w:rPr>
              <w:t>Reikalavimai</w:t>
            </w:r>
          </w:p>
        </w:tc>
      </w:tr>
      <w:tr>
        <w:trPr>
          <w:trHeight w:val="107" w:hRule="atLeast"/>
        </w:trPr>
        <w:tc>
          <w:tcPr>
            <w:tcW w:w="1005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b/>
                <w:bCs/>
                <w:sz w:val="23"/>
                <w:szCs w:val="23"/>
              </w:rPr>
              <w:t>I. Bendra informacija apie pirkimo objektą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Statytojas (Užsakovas)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UAB Telšių regiono atliekų tvarkymo centras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Pirkimo objektas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2"/>
                <w:szCs w:val="22"/>
              </w:rPr>
              <w:t>Techninio darbo projekto parengimas ir projekto priežiūros paslaugos</w:t>
            </w:r>
          </w:p>
          <w:p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67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Projekto pavadinimas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Projektavimo ir projekto priežiūros paslaugos 12 arų aikštelės ir 96 m</w:t>
            </w:r>
            <w:r>
              <w:rPr>
                <w:rStyle w:val="Numatytasispastraiposriftas"/>
                <w:position w:val="6"/>
                <w:sz w:val="15"/>
                <w:sz w:val="23"/>
                <w:szCs w:val="23"/>
              </w:rPr>
              <w:t>2</w:t>
            </w:r>
            <w:r>
              <w:rPr>
                <w:rStyle w:val="Numatytasispastraiposriftas"/>
                <w:sz w:val="23"/>
                <w:szCs w:val="23"/>
              </w:rPr>
              <w:t xml:space="preserve"> sandėliavimo paskirties pastato skirto atliekų, tinkamų paruošti pakartotiniam panaudojimui, surinkimui Gaudikaičių k. Telšių r. sav.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Statinio adresas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  <w:shd w:fill="F2F2F2" w:val="clear"/>
              </w:rPr>
              <w:t>Telšių pl.g. 17,  Gaudikaičių</w:t>
            </w:r>
            <w:r>
              <w:rPr>
                <w:rStyle w:val="Numatytasispastraiposriftas"/>
                <w:sz w:val="23"/>
                <w:szCs w:val="23"/>
              </w:rPr>
              <w:t xml:space="preserve"> k., Telšių raj. sav. 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Statinių grupės sudėtis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Pastatas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6.</w:t>
            </w:r>
          </w:p>
        </w:tc>
        <w:tc>
          <w:tcPr>
            <w:tcW w:w="26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Sattinio charakteristikos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Nauja statyba</w:t>
            </w:r>
          </w:p>
        </w:tc>
      </w:tr>
      <w:tr>
        <w:trPr>
          <w:trHeight w:val="585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/>
              <w:t>Statinio (-ių) ar statinių grupės paskirtis ir bendrieji (techniniai ir paskirties) rodikliai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120"/>
              <w:jc w:val="both"/>
              <w:rPr/>
            </w:pPr>
            <w:r>
              <w:rPr>
                <w:rStyle w:val="Numatytasispastraiposriftas"/>
                <w:rFonts w:cs="Times New Roman" w:ascii="Times New Roman" w:hAnsi="Times New Roman"/>
              </w:rPr>
              <w:t>Pastatas su metalinėmis konstrukcijomis. Pastato užimamas plotas - apie 96 kv. m, aukštis – min. 6 metrai.  Sandėliavimo aikštelės lauke plotas – 12 arų.</w:t>
            </w:r>
            <w:r>
              <w:rPr/>
              <w:t xml:space="preserve">, </w:t>
            </w:r>
            <w:r>
              <w:rPr>
                <w:rStyle w:val="Numatytasispastraiposriftas"/>
                <w:shd w:fill="FFFFFF" w:val="clear"/>
              </w:rPr>
              <w:t xml:space="preserve">įskaitant </w:t>
            </w:r>
            <w:r>
              <w:rPr>
                <w:rStyle w:val="Numatytasispastraiposriftas"/>
                <w:rFonts w:cs="Times New Roman" w:ascii="Times New Roman" w:hAnsi="Times New Roman"/>
                <w:shd w:fill="FFFFFF" w:val="clear"/>
              </w:rPr>
              <w:t>automobilinių svarstyklių(60t) vietos įrengimą.</w:t>
            </w:r>
          </w:p>
          <w:p>
            <w:pPr>
              <w:pStyle w:val="Normal"/>
              <w:spacing w:before="0" w:after="120"/>
              <w:rPr/>
            </w:pPr>
            <w:r>
              <w:rPr>
                <w:rStyle w:val="Numatytasispastraiposriftas"/>
                <w:rFonts w:cs="Times New Roman" w:ascii="Times New Roman" w:hAnsi="Times New Roman"/>
                <w:b/>
                <w:bCs/>
                <w:color w:val="000000"/>
              </w:rPr>
              <w:t>Pagrindinės pastato konstrukcijos:</w:t>
              <w:br/>
            </w:r>
            <w:r>
              <w:rPr>
                <w:rStyle w:val="Numatytasispastraiposriftas"/>
                <w:rFonts w:eastAsia="Symbol" w:cs="Symbol" w:ascii="Times New Roman" w:hAnsi="Times New Roman"/>
                <w:color w:val="000000"/>
              </w:rPr>
              <w:t>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</w:rPr>
              <w:t xml:space="preserve"> Projektuojamo pastato pamatai – poliniai;</w:t>
              <w:br/>
            </w:r>
            <w:r>
              <w:rPr>
                <w:rStyle w:val="Numatytasispastraiposriftas"/>
                <w:rFonts w:eastAsia="Symbol" w:cs="Symbol" w:ascii="Times New Roman" w:hAnsi="Times New Roman"/>
                <w:color w:val="000000"/>
              </w:rPr>
              <w:t>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</w:rPr>
              <w:t xml:space="preserve"> Pastatas karkasinis, karkasą sudaro metalinės kolonos;</w:t>
              <w:br/>
            </w:r>
            <w:r>
              <w:rPr>
                <w:rStyle w:val="Numatytasispastraiposriftas"/>
                <w:rFonts w:eastAsia="Symbol" w:cs="Symbol" w:ascii="Times New Roman" w:hAnsi="Times New Roman"/>
                <w:color w:val="000000"/>
              </w:rPr>
              <w:t>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</w:rPr>
              <w:t xml:space="preserve"> Kraštinės kolonos kas maždaug 6 m;</w:t>
              <w:br/>
            </w:r>
            <w:r>
              <w:rPr>
                <w:rStyle w:val="Numatytasispastraiposriftas"/>
                <w:rFonts w:eastAsia="Symbol" w:cs="Symbol" w:ascii="Times New Roman" w:hAnsi="Times New Roman"/>
                <w:color w:val="000000"/>
              </w:rPr>
              <w:t>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</w:rPr>
              <w:t xml:space="preserve"> Stogą laikanti konstrukcija - plienines santvaros;</w:t>
              <w:br/>
            </w:r>
            <w:r>
              <w:rPr>
                <w:rStyle w:val="Numatytasispastraiposriftas"/>
                <w:rFonts w:eastAsia="Symbol" w:cs="Symbol" w:ascii="Times New Roman" w:hAnsi="Times New Roman"/>
                <w:color w:val="000000"/>
              </w:rPr>
              <w:t>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</w:rPr>
              <w:t xml:space="preserve"> Stogo ir sienų danga - profiliuotas skardos lakštas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  <w:shd w:fill="FFFFFF" w:val="clear"/>
              </w:rPr>
              <w:t xml:space="preserve">;+ </w:t>
            </w:r>
            <w:r>
              <w:rPr>
                <w:rStyle w:val="Numatytasispastraiposriftas"/>
                <w:rFonts w:cs="Times New Roman" w:ascii="Times New Roman" w:hAnsi="Times New Roman"/>
                <w:color w:val="000000"/>
              </w:rPr>
              <w:t>daugiasluoksnė sienų plokštė</w:t>
            </w:r>
          </w:p>
          <w:p>
            <w:pPr>
              <w:pStyle w:val="Default"/>
              <w:shd w:fill="FFFFFF" w:val="clear"/>
              <w:jc w:val="both"/>
              <w:rPr/>
            </w:pPr>
            <w:r>
              <w:rPr/>
              <w:t xml:space="preserve">Konstrukcija tvirta, ilgaamžė. </w:t>
            </w:r>
            <w:r>
              <w:rPr>
                <w:rStyle w:val="Numatytasispastraiposriftas"/>
                <w:shd w:fill="FFFFFF" w:val="clear"/>
              </w:rPr>
              <w:t>Pastato buitinių patalpų dalis šildoma.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Statinio statybos rūšis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Nauja statyba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Statinio kategorija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Neypatingas statinys</w:t>
            </w:r>
          </w:p>
        </w:tc>
      </w:tr>
      <w:tr>
        <w:trPr>
          <w:trHeight w:val="109" w:hRule="atLeast"/>
        </w:trPr>
        <w:tc>
          <w:tcPr>
            <w:tcW w:w="72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10.</w:t>
            </w:r>
          </w:p>
        </w:tc>
        <w:tc>
          <w:tcPr>
            <w:tcW w:w="26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/>
              <w:t>Paslaugų apimtys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72" w:after="0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1"/>
              </w:rPr>
              <w:t xml:space="preserve">Užsakovo vardu gauti prisijungimo sąlygas, specialiuosius reikalavimus ir kitus pagal </w:t>
            </w:r>
            <w:r>
              <w:rPr>
                <w:rStyle w:val="Numatytasispastraiposriftas"/>
                <w:rFonts w:ascii="Times New Roman" w:hAnsi="Times New Roman"/>
                <w:color w:val="000000"/>
                <w:spacing w:val="-3"/>
              </w:rPr>
              <w:t>Lietuvos Respublikos statybos įstatymą projektui parengti reikalingus dokumentus;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2"/>
              </w:rPr>
              <w:t xml:space="preserve">Nuodugniai ištirti esamus sklypą ir inžinerines sistemas, esant poreikiui atlikti </w:t>
            </w:r>
            <w:r>
              <w:rPr>
                <w:rStyle w:val="Numatytasispastraiposriftas"/>
                <w:rFonts w:ascii="Times New Roman" w:hAnsi="Times New Roman"/>
                <w:color w:val="000000"/>
                <w:spacing w:val="-3"/>
              </w:rPr>
              <w:t>ekspertizę;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3"/>
              </w:rPr>
              <w:t>Atlikti reikiamus geologinius (geotechninius) bei kitus tyrimus, jei reikalinga;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3"/>
              </w:rPr>
              <w:t>Užsakyti ir gauti statybos sklypo inžinerinių tinklų ir susisiekimo komunikacijų, trasų, inžinerinių-geodezinių, topografinių tyrinėjimų dokumentus;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3"/>
              </w:rPr>
              <w:t>Projektinių pasiūlymų viešinimas  (jei reikalinga)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3"/>
              </w:rPr>
              <w:t>Statybą leidžiančio leidimo gavimas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  <w:spacing w:val="-4"/>
              </w:rPr>
              <w:t>Projekto rengimas ir suderinimas su visomis reikiamomis instancijomis, pranešimas apie statybų pradžią</w:t>
            </w:r>
            <w:r>
              <w:rPr>
                <w:rStyle w:val="Numatytasispastraiposriftas"/>
                <w:rFonts w:ascii="Times New Roman" w:hAnsi="Times New Roman"/>
                <w:color w:val="000000"/>
              </w:rPr>
              <w:t>.</w:t>
            </w:r>
          </w:p>
          <w:p>
            <w:pPr>
              <w:pStyle w:val="Normal"/>
              <w:ind w:end="72"/>
              <w:jc w:val="both"/>
              <w:rPr/>
            </w:pPr>
            <w:r>
              <w:rPr>
                <w:rStyle w:val="Numatytasispastraiposriftas"/>
                <w:rFonts w:ascii="Times New Roman" w:hAnsi="Times New Roman"/>
                <w:color w:val="000000"/>
              </w:rPr>
              <w:t>Projekto priežiūros vykdymas statybos darbu metu</w:t>
            </w:r>
          </w:p>
        </w:tc>
      </w:tr>
      <w:tr>
        <w:trPr>
          <w:trHeight w:val="268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11.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Lėšų dydis projekto realizavimui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2"/>
                <w:szCs w:val="22"/>
              </w:rPr>
              <w:t>Turi būti įvertintas statinio skaičiuojamosios kainos dalyje.</w:t>
            </w:r>
          </w:p>
          <w:p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07" w:hRule="atLeast"/>
        </w:trPr>
        <w:tc>
          <w:tcPr>
            <w:tcW w:w="1005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jc w:val="center"/>
              <w:rPr/>
            </w:pPr>
            <w:r>
              <w:rPr>
                <w:rStyle w:val="Numatytasispastraiposriftas"/>
                <w:b/>
                <w:bCs/>
                <w:sz w:val="23"/>
                <w:szCs w:val="23"/>
              </w:rPr>
              <w:t>II. Perkamų paslaugų apimtis ir trukmė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3743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12.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Perkamų paslaugų apimtis: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bendroji;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sklypo sutvarkymas (sklypo planas);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architektūros;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konstrukcijų;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  <w:shd w:fill="FFFFFF" w:val="clear"/>
              </w:rPr>
              <w:t xml:space="preserve">vandentiekio ir </w:t>
            </w:r>
            <w:r>
              <w:rPr>
                <w:rStyle w:val="Numatytasispastraiposriftas"/>
                <w:sz w:val="23"/>
                <w:szCs w:val="23"/>
              </w:rPr>
              <w:t>nuotekų šalinimo;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elektrotechnikos;</w:t>
            </w:r>
          </w:p>
          <w:p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 </w:t>
            </w:r>
            <w:r>
              <w:rPr>
                <w:sz w:val="23"/>
                <w:szCs w:val="23"/>
              </w:rPr>
              <w:t>gaisro aptikimo ir signalizavimo;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hd w:fill="FFFFFF" w:val="clear"/>
              </w:rPr>
              <w:t xml:space="preserve"> </w:t>
            </w:r>
            <w:r>
              <w:rPr>
                <w:rStyle w:val="Numatytasispastraiposriftas"/>
                <w:shd w:fill="FFFFFF" w:val="clear"/>
              </w:rPr>
              <w:t>šildymo, vėdinimo ir oro kondicionavimo;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gaisrinės saugos;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statybos skaičiuojamosios kainos nustatymo;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 xml:space="preserve"> </w:t>
            </w:r>
            <w:r>
              <w:rPr>
                <w:rStyle w:val="Numatytasispastraiposriftas"/>
                <w:sz w:val="23"/>
                <w:szCs w:val="23"/>
              </w:rPr>
              <w:t>inžinerinių geologinių tyrinėjimų ataskaita.</w:t>
            </w:r>
          </w:p>
          <w:p>
            <w:pPr>
              <w:pStyle w:val="Default"/>
              <w:rPr/>
            </w:pPr>
            <w:r>
              <w:rPr>
                <w:rStyle w:val="Numatytasispastraiposriftas"/>
                <w:i/>
                <w:iCs/>
                <w:sz w:val="23"/>
                <w:szCs w:val="23"/>
              </w:rPr>
              <w:t>Pastaba</w:t>
            </w:r>
            <w:r>
              <w:rPr>
                <w:rStyle w:val="Numatytasispastraiposriftas"/>
                <w:sz w:val="23"/>
                <w:szCs w:val="23"/>
              </w:rPr>
              <w:t xml:space="preserve">: </w:t>
            </w:r>
            <w:r>
              <w:rPr>
                <w:rStyle w:val="Numatytasispastraiposriftas"/>
                <w:color w:val="auto"/>
              </w:rPr>
              <w:t xml:space="preserve">Projekte parengiamos 2 sąmatos. Viena sąmata – projektuojamam naujos statybos pastatui bei naujai projektuojamai aikštelės daliai (apie 96 </w:t>
            </w:r>
            <w:r>
              <w:rPr>
                <w:rStyle w:val="Numatytasispastraiposriftas"/>
                <w:color w:val="000000"/>
                <w:shd w:fill="FFFFFF" w:val="clear"/>
              </w:rPr>
              <w:t>m</w:t>
            </w:r>
            <w:r>
              <w:rPr>
                <w:rStyle w:val="Numatytasispastraiposriftas"/>
                <w:color w:val="000000"/>
                <w:position w:val="6"/>
                <w:sz w:val="16"/>
                <w:shd w:fill="FFFFFF" w:val="clear"/>
              </w:rPr>
              <w:t>2</w:t>
            </w:r>
            <w:r>
              <w:rPr>
                <w:rStyle w:val="Numatytasispastraiposriftas"/>
                <w:color w:val="000000"/>
                <w:shd w:fill="FFFFFF" w:val="clear"/>
              </w:rPr>
              <w:t>); kita - asfalto dangos įrengimui bei profiliavimui(su automobilinių svarstyklių (60t) įrengimu ir 3 vnt. atliekų konteinerių pastatymu)</w:t>
            </w:r>
          </w:p>
        </w:tc>
      </w:tr>
      <w:tr>
        <w:trPr>
          <w:trHeight w:val="1176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12.1.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projektavimo paslaugos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jc w:val="both"/>
              <w:rPr/>
            </w:pPr>
            <w:r>
              <w:rPr>
                <w:rStyle w:val="Numatytasispastraiposriftas"/>
                <w:color w:val="auto"/>
              </w:rPr>
              <w:t>Perkamos įprastos paslaugos, kurias projektuotojas privalo atlikti pagal Statybos įstatymo, STR 1.04.04:2017 „Statinio projektavimas, projekto ekspertizė“ ir kitų norminių teisės aktų reikalavimus.</w:t>
            </w:r>
          </w:p>
          <w:p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420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12.3.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  <w:shd w:fill="FFFFFF" w:val="clear"/>
              </w:rPr>
              <w:t>projekto vykdymo priežiūra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hd w:fill="FFFFFF" w:val="clear"/>
              </w:rPr>
              <w:t>Projekto priežiūros vykdymas statybos darbu metu</w:t>
            </w:r>
          </w:p>
        </w:tc>
      </w:tr>
      <w:tr>
        <w:trPr>
          <w:trHeight w:val="1290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13.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Paslaugų teikimo pradžia ir trukmė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shd w:fill="F2F2F2" w:val="clear"/>
              <w:rPr/>
            </w:pPr>
            <w:r>
              <w:rPr>
                <w:rStyle w:val="Numatytasispastraiposriftas"/>
                <w:color w:val="auto"/>
              </w:rPr>
              <w:t>Techninio darbo projekto parengim</w:t>
            </w:r>
            <w:r>
              <w:rPr>
                <w:rStyle w:val="Numatytasispastraiposriftas"/>
                <w:color w:val="000000"/>
                <w:shd w:fill="FFFFFF" w:val="clear"/>
              </w:rPr>
              <w:t>as yra  8 mėnesiai.( projektiniai pasiūlymai + techninis projektas)</w:t>
            </w:r>
          </w:p>
          <w:p>
            <w:pPr>
              <w:pStyle w:val="Default"/>
              <w:shd w:fill="F2F2F2" w:val="clear"/>
              <w:rPr/>
            </w:pPr>
            <w:r>
              <w:rPr>
                <w:rStyle w:val="Numatytasispastraiposriftas"/>
                <w:color w:val="auto"/>
              </w:rPr>
              <w:t>Projekto priežiūros paslaugos teikiamos kol bus baigti rangos darbai, tačiau ne ilgiau kaip 36 mėnesius.</w:t>
            </w:r>
          </w:p>
        </w:tc>
      </w:tr>
      <w:tr>
        <w:trPr>
          <w:trHeight w:val="373" w:hRule="atLeast"/>
        </w:trPr>
        <w:tc>
          <w:tcPr>
            <w:tcW w:w="10052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jc w:val="center"/>
              <w:rPr/>
            </w:pPr>
            <w:r>
              <w:rPr>
                <w:rStyle w:val="Numatytasispastraiposriftas"/>
                <w:b/>
                <w:bCs/>
                <w:color w:val="auto"/>
              </w:rPr>
              <w:t>III. Reikalavimai projektavimo paslaugoms</w:t>
            </w:r>
          </w:p>
        </w:tc>
      </w:tr>
      <w:tr>
        <w:trPr>
          <w:trHeight w:val="1290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14.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Projekto rengimo dokumentams taikomi teisės aktai, normatyviniai statybos techniniai dokumentai bei normatyviniai statinio saugos ir paskirties dokumentai, teritorijų planavimo dokumentai.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jc w:val="both"/>
              <w:rPr/>
            </w:pPr>
            <w:r>
              <w:rPr>
                <w:rStyle w:val="Numatytasispastraiposriftas"/>
                <w:color w:val="auto"/>
              </w:rPr>
              <w:t>Projektavimo dokumentai turi atitikti privalomųjų statinio projekto rengimo dokumentų ir kitų norminių teisės aktų reikalavimus, o jais grindžiami sprendiniai suderinti su teritorijos infrastruktūros plėtra.</w:t>
            </w:r>
          </w:p>
        </w:tc>
      </w:tr>
      <w:tr>
        <w:trPr>
          <w:trHeight w:val="1192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15.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Nurodymai sprendinių derinimui, jų pritarimui ir pan.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jc w:val="both"/>
              <w:rPr/>
            </w:pPr>
            <w:r>
              <w:rPr>
                <w:rStyle w:val="Numatytasispastraiposriftas"/>
                <w:color w:val="auto"/>
              </w:rPr>
              <w:t>Atlikti reikalingus suderinimus su atsakingomis institucijomis, organizuoti statinių projekto ekspertizę, gauti reikalingus leidimus, susijusius su planuojama statyba.</w:t>
            </w:r>
          </w:p>
        </w:tc>
      </w:tr>
      <w:tr>
        <w:trPr>
          <w:trHeight w:val="840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16.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Reikalavimai projekto rengimo dokumentų kalbai (-oms)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jc w:val="both"/>
              <w:rPr/>
            </w:pPr>
            <w:r>
              <w:rPr>
                <w:rStyle w:val="Numatytasispastraiposriftas"/>
                <w:color w:val="auto"/>
              </w:rPr>
              <w:t>Visi reikalingi projektavimui dokumentai turi būti pateikti lietuvių kalba.</w:t>
            </w:r>
          </w:p>
        </w:tc>
      </w:tr>
      <w:tr>
        <w:trPr>
          <w:trHeight w:val="415" w:hRule="atLeast"/>
        </w:trPr>
        <w:tc>
          <w:tcPr>
            <w:tcW w:w="7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17.</w:t>
            </w:r>
          </w:p>
        </w:tc>
        <w:tc>
          <w:tcPr>
            <w:tcW w:w="26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sz w:val="23"/>
                <w:szCs w:val="23"/>
              </w:rPr>
              <w:t>Nurodymai statinio projekto dokumentų komplektavimui, įforminimui ir pateikimui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rPr/>
            </w:pPr>
            <w:r>
              <w:rPr>
                <w:rStyle w:val="Numatytasispastraiposriftas"/>
                <w:color w:val="auto"/>
              </w:rPr>
              <w:t>Parengtas projektas privalės būti pateiktas:</w:t>
            </w:r>
          </w:p>
          <w:p>
            <w:pPr>
              <w:pStyle w:val="Default"/>
              <w:numPr>
                <w:ilvl w:val="0"/>
                <w:numId w:val="1"/>
              </w:numPr>
              <w:tabs>
                <w:tab w:val="clear" w:pos="709"/>
              </w:tabs>
              <w:ind w:hanging="1709" w:start="1260" w:end="180"/>
              <w:rPr/>
            </w:pPr>
            <w:r>
              <w:rPr>
                <w:rStyle w:val="Numatytasispastraiposriftas"/>
                <w:color w:val="auto"/>
              </w:rPr>
              <w:t>1 originalus egz. spausdintas ir surištas.</w:t>
            </w:r>
          </w:p>
          <w:p>
            <w:pPr>
              <w:pStyle w:val="Default"/>
              <w:numPr>
                <w:ilvl w:val="0"/>
                <w:numId w:val="1"/>
              </w:numPr>
              <w:tabs>
                <w:tab w:val="clear" w:pos="709"/>
              </w:tabs>
              <w:ind w:hanging="1800" w:start="449" w:end="180"/>
              <w:jc w:val="both"/>
              <w:rPr/>
            </w:pPr>
            <w:r>
              <w:rPr>
                <w:rStyle w:val="Numatytasispastraiposriftas"/>
                <w:color w:val="auto"/>
              </w:rPr>
              <w:t>1 egz. el. formatu su visais brėžiniais, planais ir tekstinėmis dalimis. Suvestinis sklypo planas su visais projektuojamais statiniais pateikiamas pdf ir dwg formatu.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9"/>
          <w:tab w:val="left" w:pos="2552" w:leader="none"/>
          <w:tab w:val="left" w:pos="2694" w:leader="none"/>
        </w:tabs>
        <w:ind w:start="851"/>
        <w:jc w:val="both"/>
        <w:rPr/>
      </w:pPr>
      <w:r>
        <w:rPr/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860" w:hanging="1140"/>
      </w:pPr>
      <w:rPr>
        <w:sz w:val="24"/>
        <w:i w:val="false"/>
        <w:b w:val="false"/>
        <w:szCs w:val="24"/>
        <w:color w:val="000000"/>
      </w:rPr>
    </w:lvl>
    <w:lvl w:ilvl="1">
      <w:start w:val="1"/>
      <w:numFmt w:val="lowerLetter"/>
      <w:lvlText w:val="%2)"/>
      <w:lvlJc w:val="start"/>
      <w:pPr>
        <w:tabs>
          <w:tab w:val="num" w:pos="0"/>
        </w:tabs>
        <w:ind w:start="1260" w:hanging="540"/>
      </w:pPr>
      <w:rPr>
        <w:b w:val="false"/>
        <w:rFonts w:ascii="Times New Roman" w:hAnsi="Times New Roman" w:eastAsia="Times New Roman" w:cs="Times New Roman"/>
      </w:rPr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1440" w:hanging="720"/>
      </w:pPr>
      <w:rPr>
        <w:b w:val="false"/>
      </w:rPr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1440" w:hanging="720"/>
      </w:pPr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800" w:hanging="1080"/>
      </w:pPr>
    </w:lvl>
    <w:lvl w:ilvl="5">
      <w:start w:val="1"/>
      <w:numFmt w:val="decimal"/>
      <w:lvlText w:val="%1.%2.%3.%4.%5.%6."/>
      <w:lvlJc w:val="start"/>
      <w:pPr>
        <w:tabs>
          <w:tab w:val="num" w:pos="0"/>
        </w:tabs>
        <w:ind w:start="1800" w:hanging="1080"/>
      </w:pPr>
    </w:lvl>
    <w:lvl w:ilvl="6">
      <w:start w:val="1"/>
      <w:numFmt w:val="decimal"/>
      <w:lvlText w:val="%1.%2.%3.%4.%5.%6.%7."/>
      <w:lvlJc w:val="start"/>
      <w:pPr>
        <w:tabs>
          <w:tab w:val="num" w:pos="0"/>
        </w:tabs>
        <w:ind w:start="2160" w:hanging="1440"/>
      </w:pPr>
    </w:lvl>
    <w:lvl w:ilvl="7">
      <w:start w:val="1"/>
      <w:numFmt w:val="decimal"/>
      <w:lvlText w:val="%1.%2.%3.%4.%5.%6.%7.%8."/>
      <w:lvlJc w:val="start"/>
      <w:pPr>
        <w:tabs>
          <w:tab w:val="num" w:pos="0"/>
        </w:tabs>
        <w:ind w:start="2160" w:hanging="1440"/>
      </w:pPr>
    </w:lvl>
    <w:lvl w:ilvl="8">
      <w:start w:val="1"/>
      <w:numFmt w:val="decimal"/>
      <w:lvlText w:val="%1.%2.%3.%4.%5.%6.%7.%8.%9."/>
      <w:lvlJc w:val="start"/>
      <w:pPr>
        <w:tabs>
          <w:tab w:val="num" w:pos="0"/>
        </w:tabs>
        <w:ind w:start="2520" w:hanging="180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CN" w:bidi="hi-IN"/>
    </w:rPr>
  </w:style>
  <w:style w:type="character" w:styleId="Numatytasispastraiposriftas">
    <w:name w:val="Numatytasis pastraipos šriftas"/>
    <w:qFormat/>
    <w:rPr/>
  </w:style>
  <w:style w:type="character" w:styleId="WWCharLFO1LVL1">
    <w:name w:val="WW_CharLFO1LVL1"/>
    <w:qFormat/>
    <w:rPr>
      <w:b w:val="false"/>
      <w:i w:val="false"/>
      <w:color w:val="000000"/>
      <w:sz w:val="24"/>
      <w:szCs w:val="24"/>
    </w:rPr>
  </w:style>
  <w:style w:type="character" w:styleId="WWCharLFO1LVL2">
    <w:name w:val="WW_CharLFO1LVL2"/>
    <w:qFormat/>
    <w:rPr>
      <w:rFonts w:ascii="Times New Roman" w:hAnsi="Times New Roman" w:eastAsia="Times New Roman" w:cs="Times New Roman"/>
      <w:b w:val="false"/>
    </w:rPr>
  </w:style>
  <w:style w:type="character" w:styleId="WWCharLFO1LVL3">
    <w:name w:val="WW_CharLFO1LVL3"/>
    <w:qFormat/>
    <w:rPr>
      <w:b w:val="false"/>
    </w:rPr>
  </w:style>
  <w:style w:type="character" w:styleId="WWCharLFO2LVL1">
    <w:name w:val="WW_CharLFO2LVL1"/>
    <w:qFormat/>
    <w:rPr>
      <w:b w:val="false"/>
      <w:i w:val="false"/>
      <w:color w:val="000000"/>
      <w:sz w:val="24"/>
      <w:szCs w:val="24"/>
    </w:rPr>
  </w:style>
  <w:style w:type="character" w:styleId="WWCharLFO2LVL2">
    <w:name w:val="WW_CharLFO2LVL2"/>
    <w:qFormat/>
    <w:rPr>
      <w:rFonts w:ascii="Times New Roman" w:hAnsi="Times New Roman" w:eastAsia="Times New Roman" w:cs="Times New Roman"/>
      <w:b w:val="false"/>
    </w:rPr>
  </w:style>
  <w:style w:type="character" w:styleId="WWCharLFO2LVL3">
    <w:name w:val="WW_CharLFO2LVL3"/>
    <w:qFormat/>
    <w:rPr>
      <w:b w:val="false"/>
    </w:rPr>
  </w:style>
  <w:style w:type="paragraph" w:styleId="Prastasis">
    <w:name w:val="Įprastasis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raas">
    <w:name w:val="Sąrašas"/>
    <w:basedOn w:val="BodyText"/>
    <w:qFormat/>
    <w:pPr>
      <w:suppressAutoHyphens w:val="true"/>
    </w:pPr>
    <w:rPr/>
  </w:style>
  <w:style w:type="paragraph" w:styleId="Antrat">
    <w:name w:val="Antraštė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x">
    <w:name w:val="Index"/>
    <w:basedOn w:val="Normal"/>
    <w:qFormat/>
    <w:pPr>
      <w:suppressLineNumbers/>
      <w:suppressAutoHyphens w:val="true"/>
    </w:pPr>
    <w:rPr/>
  </w:style>
  <w:style w:type="paragraph" w:styleId="Sraopastraipa">
    <w:name w:val="Sąrašo pastraipa"/>
    <w:basedOn w:val="Normal"/>
    <w:qFormat/>
    <w:pPr>
      <w:widowControl w:val="false"/>
      <w:tabs>
        <w:tab w:val="clear" w:pos="709"/>
      </w:tabs>
      <w:suppressAutoHyphens w:val="true"/>
      <w:ind w:start="720"/>
    </w:pPr>
    <w:rPr>
      <w:lang w:val="lt-LT" w:eastAsia="lt-LT"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lt-LT" w:eastAsia="en-US" w:bidi="ar-SA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LibreOffice/7.6.4.1$Windows_X86_64 LibreOffice_project/e19e193f88cd6c0525a17fb7a176ed8e6a3e2aa1</Application>
  <AppVersion>15.0000</AppVersion>
  <Pages>3</Pages>
  <Words>596</Words>
  <Characters>4267</Characters>
  <CharactersWithSpaces>4784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2026-01-14T13:24:00Z</dcterms:created>
  <dc:creator>Vartotojas</dc:creator>
  <dc:description/>
  <dc:language>en-US</dc:language>
  <cp:lastModifiedBy/>
  <dcterms:modified xsi:type="dcterms:W3CDTF">2026-03-16T22:44:30Z</dcterms:modified>
  <cp:revision>7</cp:revision>
  <dc:subject/>
  <dc:title/>
</cp:coreProperties>
</file>