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21121DA6" w:rsidR="008237F5" w:rsidRPr="008237F5" w:rsidRDefault="00E62FFE"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 xml:space="preserve">2026-03-17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77777777"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Pr="008237F5">
        <w:rPr>
          <w:bCs/>
          <w:color w:val="333333"/>
          <w:lang w:val="lt-LT"/>
        </w:rPr>
        <w:t>Greitosios medicinos pagalbos paslaugos</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77777777"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paslaugas,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77777777"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iki CVP IS skelbime nurodyto termino (2026-03-23 09:00 val.)</w:t>
      </w:r>
      <w:r w:rsidRPr="008237F5">
        <w:rPr>
          <w:rFonts w:eastAsia="Calibri"/>
          <w:lang w:val="lt-LT"/>
        </w:rPr>
        <w:t xml:space="preserve"> aktyviai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8237F5">
        <w:rPr>
          <w:shd w:val="clear" w:color="auto" w:fill="FFFFFF"/>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lastRenderedPageBreak/>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F083A74"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54062B"/>
    <w:rsid w:val="00554638"/>
    <w:rsid w:val="005E1F9C"/>
    <w:rsid w:val="008237F5"/>
    <w:rsid w:val="00840F4C"/>
    <w:rsid w:val="008E6B63"/>
    <w:rsid w:val="00966A08"/>
    <w:rsid w:val="00E00708"/>
    <w:rsid w:val="00E62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2375</Words>
  <Characters>1355</Characters>
  <Application>Microsoft Office Word</Application>
  <DocSecurity>0</DocSecurity>
  <Lines>11</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2026-03-17T11:16:00Z</dcterms:created>
  <dcterms:modified xsi:type="dcterms:W3CDTF">2026-03-17T11:40:00Z</dcterms:modified>
</cp:coreProperties>
</file>