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51E7C" w14:textId="60F005C9" w:rsidR="00A432C6" w:rsidRPr="00A432C6" w:rsidRDefault="00A432C6" w:rsidP="00F31DF8">
      <w:pPr>
        <w:spacing w:after="120"/>
        <w:ind w:firstLine="567"/>
        <w:jc w:val="center"/>
        <w:rPr>
          <w:b/>
          <w:sz w:val="22"/>
          <w:szCs w:val="22"/>
          <w:lang w:val="lt-LT"/>
        </w:rPr>
      </w:pPr>
      <w:bookmarkStart w:id="0" w:name="_GoBack"/>
      <w:bookmarkEnd w:id="0"/>
      <w:r w:rsidRPr="00A432C6">
        <w:rPr>
          <w:b/>
          <w:sz w:val="22"/>
          <w:szCs w:val="22"/>
          <w:lang w:val="lt-LT"/>
        </w:rPr>
        <w:t>ELEKTRONINIAI PARAŠAI</w:t>
      </w:r>
    </w:p>
    <w:p w14:paraId="2A0D7D0B" w14:textId="241B3F38" w:rsidR="006310B6" w:rsidRPr="00A432C6" w:rsidRDefault="006310B6" w:rsidP="00F31DF8">
      <w:pPr>
        <w:spacing w:after="120"/>
        <w:ind w:firstLine="567"/>
        <w:jc w:val="center"/>
        <w:rPr>
          <w:b/>
          <w:sz w:val="22"/>
          <w:szCs w:val="22"/>
          <w:lang w:val="lt-LT"/>
        </w:rPr>
      </w:pPr>
      <w:r w:rsidRPr="00A432C6">
        <w:rPr>
          <w:b/>
          <w:sz w:val="22"/>
          <w:szCs w:val="22"/>
          <w:lang w:val="lt-LT"/>
        </w:rPr>
        <w:t>TECHNINĖ SPECIFIKACIJA</w:t>
      </w:r>
    </w:p>
    <w:p w14:paraId="6282CFA8" w14:textId="77777777" w:rsidR="00993C3F" w:rsidRPr="00A432C6" w:rsidRDefault="00C27EEA" w:rsidP="00F31DF8">
      <w:pPr>
        <w:spacing w:after="120"/>
        <w:ind w:firstLine="567"/>
        <w:jc w:val="center"/>
        <w:rPr>
          <w:b/>
          <w:sz w:val="22"/>
          <w:szCs w:val="22"/>
          <w:lang w:val="lt-LT"/>
        </w:rPr>
      </w:pPr>
      <w:r w:rsidRPr="00A432C6">
        <w:rPr>
          <w:b/>
          <w:sz w:val="22"/>
          <w:szCs w:val="22"/>
          <w:lang w:val="lt-LT"/>
        </w:rPr>
        <w:t xml:space="preserve"> </w:t>
      </w:r>
    </w:p>
    <w:p w14:paraId="4F6556DE" w14:textId="77777777" w:rsidR="00F31DF8" w:rsidRPr="00A432C6" w:rsidRDefault="00F31DF8" w:rsidP="00624346">
      <w:pPr>
        <w:ind w:firstLine="567"/>
        <w:jc w:val="center"/>
        <w:rPr>
          <w:b/>
          <w:sz w:val="22"/>
          <w:szCs w:val="22"/>
          <w:lang w:val="lt-LT"/>
        </w:rPr>
      </w:pPr>
      <w:r w:rsidRPr="00A432C6">
        <w:rPr>
          <w:b/>
          <w:sz w:val="22"/>
          <w:szCs w:val="22"/>
          <w:lang w:val="lt-LT"/>
        </w:rPr>
        <w:t>I. PIRKIMO OBJEKTA</w:t>
      </w:r>
      <w:r w:rsidR="00590BB6" w:rsidRPr="00A432C6">
        <w:rPr>
          <w:b/>
          <w:sz w:val="22"/>
          <w:szCs w:val="22"/>
          <w:lang w:val="lt-LT"/>
        </w:rPr>
        <w:t>I</w:t>
      </w:r>
    </w:p>
    <w:p w14:paraId="24DBB3A7" w14:textId="77777777" w:rsidR="006310B6" w:rsidRPr="00A432C6" w:rsidRDefault="006310B6" w:rsidP="00624346">
      <w:pPr>
        <w:ind w:firstLine="567"/>
        <w:jc w:val="center"/>
        <w:rPr>
          <w:rStyle w:val="FontStyle29"/>
          <w:b/>
          <w:sz w:val="22"/>
          <w:szCs w:val="22"/>
          <w:lang w:val="lt-LT"/>
        </w:rPr>
      </w:pPr>
    </w:p>
    <w:p w14:paraId="1B87D36E" w14:textId="0064D120" w:rsidR="006324FA" w:rsidRPr="00A432C6" w:rsidRDefault="00C32846" w:rsidP="00A432C6">
      <w:pPr>
        <w:pStyle w:val="ListParagraph"/>
        <w:numPr>
          <w:ilvl w:val="0"/>
          <w:numId w:val="11"/>
        </w:numPr>
        <w:jc w:val="both"/>
        <w:rPr>
          <w:rStyle w:val="FontStyle29"/>
          <w:b/>
          <w:sz w:val="22"/>
          <w:szCs w:val="22"/>
          <w:lang w:val="lt-LT"/>
        </w:rPr>
      </w:pPr>
      <w:r w:rsidRPr="00A432C6">
        <w:rPr>
          <w:b/>
          <w:sz w:val="22"/>
          <w:szCs w:val="22"/>
          <w:shd w:val="clear" w:color="auto" w:fill="FFFFFF"/>
          <w:lang w:val="lt-LT"/>
        </w:rPr>
        <w:t>Kvalifikuot</w:t>
      </w:r>
      <w:r w:rsidR="00A432C6" w:rsidRPr="00A432C6">
        <w:rPr>
          <w:b/>
          <w:sz w:val="22"/>
          <w:szCs w:val="22"/>
          <w:shd w:val="clear" w:color="auto" w:fill="FFFFFF"/>
          <w:lang w:val="lt-LT"/>
        </w:rPr>
        <w:t>as</w:t>
      </w:r>
      <w:r w:rsidRPr="00A432C6">
        <w:rPr>
          <w:b/>
          <w:sz w:val="22"/>
          <w:szCs w:val="22"/>
          <w:shd w:val="clear" w:color="auto" w:fill="FFFFFF"/>
          <w:lang w:val="lt-LT"/>
        </w:rPr>
        <w:t xml:space="preserve"> elektronini</w:t>
      </w:r>
      <w:r w:rsidR="00A432C6" w:rsidRPr="00A432C6">
        <w:rPr>
          <w:b/>
          <w:sz w:val="22"/>
          <w:szCs w:val="22"/>
          <w:shd w:val="clear" w:color="auto" w:fill="FFFFFF"/>
          <w:lang w:val="lt-LT"/>
        </w:rPr>
        <w:t>s</w:t>
      </w:r>
      <w:r w:rsidRPr="00A432C6">
        <w:rPr>
          <w:b/>
          <w:sz w:val="22"/>
          <w:szCs w:val="22"/>
          <w:shd w:val="clear" w:color="auto" w:fill="FFFFFF"/>
          <w:lang w:val="lt-LT"/>
        </w:rPr>
        <w:t xml:space="preserve"> paraš</w:t>
      </w:r>
      <w:r w:rsidR="00A432C6" w:rsidRPr="00A432C6">
        <w:rPr>
          <w:b/>
          <w:sz w:val="22"/>
          <w:szCs w:val="22"/>
          <w:shd w:val="clear" w:color="auto" w:fill="FFFFFF"/>
          <w:lang w:val="lt-LT"/>
        </w:rPr>
        <w:t>as</w:t>
      </w:r>
      <w:r w:rsidRPr="00A432C6">
        <w:rPr>
          <w:b/>
          <w:sz w:val="22"/>
          <w:szCs w:val="22"/>
          <w:shd w:val="clear" w:color="auto" w:fill="FFFFFF"/>
          <w:lang w:val="lt-LT"/>
        </w:rPr>
        <w:t xml:space="preserve"> USB laikmenoje</w:t>
      </w:r>
      <w:r w:rsidR="00A432C6" w:rsidRPr="00A432C6">
        <w:rPr>
          <w:rStyle w:val="FontStyle29"/>
          <w:b/>
          <w:sz w:val="22"/>
          <w:szCs w:val="22"/>
          <w:lang w:val="lt-LT"/>
        </w:rPr>
        <w:t xml:space="preserve"> (300vnt.)</w:t>
      </w:r>
    </w:p>
    <w:p w14:paraId="44C6DA8F" w14:textId="77777777" w:rsidR="00590BB6" w:rsidRPr="00A432C6" w:rsidRDefault="00590BB6" w:rsidP="00590BB6">
      <w:pPr>
        <w:ind w:left="927"/>
        <w:jc w:val="both"/>
        <w:rPr>
          <w:rStyle w:val="FontStyle29"/>
          <w:sz w:val="22"/>
          <w:szCs w:val="22"/>
          <w:lang w:val="lt-L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67"/>
        <w:gridCol w:w="3274"/>
      </w:tblGrid>
      <w:tr w:rsidR="00A432C6" w:rsidRPr="00A432C6" w14:paraId="397EB56F" w14:textId="77777777" w:rsidTr="00A432C6">
        <w:trPr>
          <w:tblHeader/>
        </w:trPr>
        <w:tc>
          <w:tcPr>
            <w:tcW w:w="546" w:type="dxa"/>
            <w:shd w:val="clear" w:color="auto" w:fill="FBE4D5" w:themeFill="accent2" w:themeFillTint="33"/>
            <w:vAlign w:val="center"/>
          </w:tcPr>
          <w:p w14:paraId="1BBB7140" w14:textId="77777777" w:rsidR="00590BB6" w:rsidRPr="00A432C6" w:rsidRDefault="00590BB6" w:rsidP="006310B6">
            <w:pPr>
              <w:jc w:val="center"/>
              <w:rPr>
                <w:rFonts w:eastAsia="Calibri"/>
                <w:b/>
                <w:sz w:val="22"/>
                <w:szCs w:val="22"/>
                <w:lang w:val="lt-LT"/>
              </w:rPr>
            </w:pPr>
            <w:r w:rsidRPr="00A432C6">
              <w:rPr>
                <w:rFonts w:eastAsia="Calibri"/>
                <w:b/>
                <w:sz w:val="22"/>
                <w:szCs w:val="22"/>
                <w:lang w:val="lt-LT"/>
              </w:rPr>
              <w:t>Eil. Nr.</w:t>
            </w:r>
          </w:p>
        </w:tc>
        <w:tc>
          <w:tcPr>
            <w:tcW w:w="5833" w:type="dxa"/>
            <w:shd w:val="clear" w:color="auto" w:fill="FBE4D5" w:themeFill="accent2" w:themeFillTint="33"/>
            <w:vAlign w:val="center"/>
          </w:tcPr>
          <w:p w14:paraId="00F45ACD" w14:textId="77777777" w:rsidR="00590BB6" w:rsidRPr="00A432C6" w:rsidRDefault="00590BB6" w:rsidP="006310B6">
            <w:pPr>
              <w:jc w:val="center"/>
              <w:rPr>
                <w:rFonts w:eastAsia="Calibri"/>
                <w:b/>
                <w:sz w:val="22"/>
                <w:szCs w:val="22"/>
                <w:lang w:val="lt-LT"/>
              </w:rPr>
            </w:pPr>
            <w:r w:rsidRPr="00A432C6">
              <w:rPr>
                <w:rFonts w:eastAsia="Calibri"/>
                <w:b/>
                <w:sz w:val="22"/>
                <w:szCs w:val="22"/>
                <w:lang w:val="lt-LT"/>
              </w:rPr>
              <w:t>Reikalaujami parametrai</w:t>
            </w:r>
          </w:p>
        </w:tc>
        <w:tc>
          <w:tcPr>
            <w:tcW w:w="3318" w:type="dxa"/>
            <w:shd w:val="clear" w:color="auto" w:fill="FBE4D5" w:themeFill="accent2" w:themeFillTint="33"/>
            <w:vAlign w:val="center"/>
          </w:tcPr>
          <w:p w14:paraId="394C26F1" w14:textId="77777777" w:rsidR="00590BB6" w:rsidRPr="00A432C6" w:rsidRDefault="00590BB6" w:rsidP="006310B6">
            <w:pPr>
              <w:jc w:val="center"/>
              <w:rPr>
                <w:rFonts w:eastAsia="Calibri"/>
                <w:b/>
                <w:sz w:val="22"/>
                <w:szCs w:val="22"/>
                <w:lang w:val="lt-LT"/>
              </w:rPr>
            </w:pPr>
            <w:r w:rsidRPr="00A432C6">
              <w:rPr>
                <w:rFonts w:eastAsia="Calibri"/>
                <w:b/>
                <w:sz w:val="22"/>
                <w:szCs w:val="22"/>
                <w:lang w:val="lt-LT"/>
              </w:rPr>
              <w:t>Siūlomi parametrai</w:t>
            </w:r>
          </w:p>
        </w:tc>
      </w:tr>
      <w:tr w:rsidR="00A432C6" w:rsidRPr="00A432C6" w14:paraId="45876EC4" w14:textId="77777777" w:rsidTr="00244AE7">
        <w:tc>
          <w:tcPr>
            <w:tcW w:w="546" w:type="dxa"/>
            <w:shd w:val="clear" w:color="auto" w:fill="auto"/>
          </w:tcPr>
          <w:p w14:paraId="4D032603" w14:textId="787D787B" w:rsidR="00590BB6" w:rsidRPr="00A432C6" w:rsidRDefault="00A432C6" w:rsidP="00590BB6">
            <w:pPr>
              <w:rPr>
                <w:rFonts w:eastAsia="Calibri"/>
                <w:sz w:val="22"/>
                <w:szCs w:val="22"/>
                <w:lang w:val="lt-LT"/>
              </w:rPr>
            </w:pPr>
            <w:r>
              <w:rPr>
                <w:rFonts w:eastAsia="Calibri"/>
                <w:sz w:val="22"/>
                <w:szCs w:val="22"/>
                <w:lang w:val="lt-LT"/>
              </w:rPr>
              <w:t>1.1</w:t>
            </w:r>
          </w:p>
        </w:tc>
        <w:tc>
          <w:tcPr>
            <w:tcW w:w="5833" w:type="dxa"/>
            <w:shd w:val="clear" w:color="auto" w:fill="auto"/>
          </w:tcPr>
          <w:p w14:paraId="0CD60DE5" w14:textId="74E087F1" w:rsidR="00590BB6" w:rsidRPr="00A432C6" w:rsidRDefault="00F604F0" w:rsidP="00B807D6">
            <w:pPr>
              <w:jc w:val="both"/>
              <w:rPr>
                <w:rFonts w:eastAsia="Calibri"/>
                <w:sz w:val="22"/>
                <w:szCs w:val="22"/>
                <w:lang w:val="lt-LT"/>
              </w:rPr>
            </w:pPr>
            <w:r w:rsidRPr="00A432C6">
              <w:rPr>
                <w:rFonts w:eastAsia="Calibri"/>
                <w:sz w:val="22"/>
                <w:szCs w:val="22"/>
                <w:lang w:val="lt-LT"/>
              </w:rPr>
              <w:t>Į saugią</w:t>
            </w:r>
            <w:r w:rsidR="00590BB6" w:rsidRPr="00A432C6">
              <w:rPr>
                <w:rFonts w:eastAsia="Calibri"/>
                <w:sz w:val="22"/>
                <w:szCs w:val="22"/>
                <w:lang w:val="lt-LT"/>
              </w:rPr>
              <w:t xml:space="preserve"> elektroninio parašo laikmeną turi būti įrašyti specifikacijos punktuose 1.1</w:t>
            </w:r>
            <w:r w:rsidR="00A432C6">
              <w:rPr>
                <w:rFonts w:eastAsia="Calibri"/>
                <w:sz w:val="22"/>
                <w:szCs w:val="22"/>
                <w:lang w:val="lt-LT"/>
              </w:rPr>
              <w:t>.1</w:t>
            </w:r>
            <w:r w:rsidR="00590BB6" w:rsidRPr="00A432C6">
              <w:rPr>
                <w:rFonts w:eastAsia="Calibri"/>
                <w:sz w:val="22"/>
                <w:szCs w:val="22"/>
                <w:lang w:val="lt-LT"/>
              </w:rPr>
              <w:t xml:space="preserve"> ir 1.</w:t>
            </w:r>
            <w:r w:rsidR="00A432C6">
              <w:rPr>
                <w:rFonts w:eastAsia="Calibri"/>
                <w:sz w:val="22"/>
                <w:szCs w:val="22"/>
                <w:lang w:val="lt-LT"/>
              </w:rPr>
              <w:t>1.</w:t>
            </w:r>
            <w:r w:rsidR="00590BB6" w:rsidRPr="00A432C6">
              <w:rPr>
                <w:rFonts w:eastAsia="Calibri"/>
                <w:sz w:val="22"/>
                <w:szCs w:val="22"/>
                <w:lang w:val="lt-LT"/>
              </w:rPr>
              <w:t>2 aprašyti sertifikatai, kurių vienas yra kvalifikuotas, kitas - skirtas asmens tapatybės nustatymui elektroninėje erdvėje.</w:t>
            </w:r>
            <w:r w:rsidRPr="00A432C6">
              <w:rPr>
                <w:rFonts w:eastAsia="Calibri"/>
                <w:sz w:val="22"/>
                <w:szCs w:val="22"/>
                <w:lang w:val="lt-LT"/>
              </w:rPr>
              <w:t xml:space="preserve"> </w:t>
            </w:r>
          </w:p>
        </w:tc>
        <w:tc>
          <w:tcPr>
            <w:tcW w:w="3318" w:type="dxa"/>
            <w:shd w:val="clear" w:color="auto" w:fill="auto"/>
          </w:tcPr>
          <w:p w14:paraId="0ADFC4A4" w14:textId="77777777" w:rsidR="00590BB6" w:rsidRPr="00A432C6" w:rsidRDefault="00590BB6" w:rsidP="00590BB6">
            <w:pPr>
              <w:rPr>
                <w:rFonts w:eastAsia="Calibri"/>
                <w:sz w:val="22"/>
                <w:szCs w:val="22"/>
                <w:lang w:val="lt-LT"/>
              </w:rPr>
            </w:pPr>
          </w:p>
        </w:tc>
      </w:tr>
      <w:tr w:rsidR="00A432C6" w:rsidRPr="00A432C6" w14:paraId="602B4E7B" w14:textId="77777777" w:rsidTr="00A432C6">
        <w:tc>
          <w:tcPr>
            <w:tcW w:w="546" w:type="dxa"/>
            <w:tcBorders>
              <w:bottom w:val="single" w:sz="4" w:space="0" w:color="auto"/>
            </w:tcBorders>
            <w:shd w:val="clear" w:color="auto" w:fill="auto"/>
          </w:tcPr>
          <w:p w14:paraId="77B12EF7" w14:textId="7C8CE43E" w:rsidR="00590BB6" w:rsidRPr="00A432C6" w:rsidRDefault="00A432C6" w:rsidP="00590BB6">
            <w:pPr>
              <w:rPr>
                <w:rFonts w:eastAsia="Calibri"/>
                <w:sz w:val="22"/>
                <w:szCs w:val="22"/>
                <w:lang w:val="lt-LT"/>
              </w:rPr>
            </w:pPr>
            <w:r>
              <w:rPr>
                <w:rFonts w:eastAsia="Calibri"/>
                <w:sz w:val="22"/>
                <w:szCs w:val="22"/>
                <w:lang w:val="lt-LT"/>
              </w:rPr>
              <w:t>1.1.1</w:t>
            </w:r>
          </w:p>
        </w:tc>
        <w:tc>
          <w:tcPr>
            <w:tcW w:w="5833" w:type="dxa"/>
            <w:tcBorders>
              <w:bottom w:val="single" w:sz="4" w:space="0" w:color="auto"/>
            </w:tcBorders>
            <w:shd w:val="clear" w:color="auto" w:fill="auto"/>
          </w:tcPr>
          <w:p w14:paraId="4B56EBBE" w14:textId="38CC5FD3" w:rsidR="009F3FD7" w:rsidRDefault="00590BB6" w:rsidP="006310B6">
            <w:pPr>
              <w:jc w:val="both"/>
              <w:rPr>
                <w:rFonts w:eastAsia="Calibri"/>
                <w:sz w:val="22"/>
                <w:szCs w:val="22"/>
                <w:lang w:val="lt-LT"/>
              </w:rPr>
            </w:pPr>
            <w:r w:rsidRPr="00A432C6">
              <w:rPr>
                <w:rFonts w:eastAsia="Calibri"/>
                <w:sz w:val="22"/>
                <w:szCs w:val="22"/>
                <w:lang w:val="lt-LT"/>
              </w:rPr>
              <w:t xml:space="preserve">Siūlomas sertifikatas turi būti suderinamas su Lietuvoje registruotų ir (ar) akredituotų sertifikavimo paslaugų teikėjų kvalifikuotais sertifikatais, atitinkančiais Lietuvos respublikos piliečiams išduodamoje asmens tapatybės kortelėje įrašomo kvalifikuoto sertifikato profilį. </w:t>
            </w:r>
          </w:p>
          <w:p w14:paraId="1384FC8B" w14:textId="77777777" w:rsidR="009F3FD7" w:rsidRDefault="009F3FD7" w:rsidP="006310B6">
            <w:pPr>
              <w:jc w:val="both"/>
              <w:rPr>
                <w:rFonts w:eastAsia="Calibri"/>
                <w:sz w:val="22"/>
                <w:szCs w:val="22"/>
                <w:lang w:val="lt-LT"/>
              </w:rPr>
            </w:pPr>
          </w:p>
          <w:p w14:paraId="442B50AC" w14:textId="77777777" w:rsidR="009F3FD7" w:rsidRDefault="00590BB6" w:rsidP="006310B6">
            <w:pPr>
              <w:jc w:val="both"/>
              <w:rPr>
                <w:rFonts w:eastAsia="Calibri"/>
                <w:sz w:val="22"/>
                <w:szCs w:val="22"/>
                <w:lang w:val="lt-LT"/>
              </w:rPr>
            </w:pPr>
            <w:r w:rsidRPr="00A432C6">
              <w:rPr>
                <w:rFonts w:eastAsia="Calibri"/>
                <w:sz w:val="22"/>
                <w:szCs w:val="22"/>
                <w:lang w:val="lt-LT"/>
              </w:rPr>
              <w:t xml:space="preserve">Kvalifikuoto sertifikato laukelyje Subject privalo būti nurodyti šie laukai ir jų reikšmės: </w:t>
            </w:r>
          </w:p>
          <w:p w14:paraId="33796E9B" w14:textId="77777777" w:rsidR="009F3FD7" w:rsidRDefault="00590BB6" w:rsidP="009F3FD7">
            <w:pPr>
              <w:pStyle w:val="ListParagraph"/>
              <w:numPr>
                <w:ilvl w:val="0"/>
                <w:numId w:val="12"/>
              </w:numPr>
              <w:jc w:val="both"/>
              <w:rPr>
                <w:rFonts w:eastAsia="Calibri"/>
                <w:sz w:val="22"/>
                <w:szCs w:val="22"/>
                <w:lang w:val="lt-LT"/>
              </w:rPr>
            </w:pPr>
            <w:r w:rsidRPr="009F3FD7">
              <w:rPr>
                <w:rFonts w:eastAsia="Calibri"/>
                <w:sz w:val="22"/>
                <w:szCs w:val="22"/>
                <w:lang w:val="lt-LT"/>
              </w:rPr>
              <w:t xml:space="preserve">comonName (CN) – vardas pavardė; </w:t>
            </w:r>
          </w:p>
          <w:p w14:paraId="7182CA34" w14:textId="77777777" w:rsidR="009F3FD7" w:rsidRDefault="00590BB6" w:rsidP="009F3FD7">
            <w:pPr>
              <w:pStyle w:val="ListParagraph"/>
              <w:numPr>
                <w:ilvl w:val="0"/>
                <w:numId w:val="12"/>
              </w:numPr>
              <w:jc w:val="both"/>
              <w:rPr>
                <w:rFonts w:eastAsia="Calibri"/>
                <w:sz w:val="22"/>
                <w:szCs w:val="22"/>
                <w:lang w:val="lt-LT"/>
              </w:rPr>
            </w:pPr>
            <w:r w:rsidRPr="009F3FD7">
              <w:rPr>
                <w:rFonts w:eastAsia="Calibri"/>
                <w:sz w:val="22"/>
                <w:szCs w:val="22"/>
                <w:lang w:val="lt-LT"/>
              </w:rPr>
              <w:t>givenName (G) – vardas; surname (SN) – pavardė;</w:t>
            </w:r>
          </w:p>
          <w:p w14:paraId="326AD4CC" w14:textId="6FD920A2" w:rsidR="009F3FD7" w:rsidRDefault="00590BB6" w:rsidP="009F3FD7">
            <w:pPr>
              <w:pStyle w:val="ListParagraph"/>
              <w:numPr>
                <w:ilvl w:val="0"/>
                <w:numId w:val="12"/>
              </w:numPr>
              <w:jc w:val="both"/>
              <w:rPr>
                <w:rFonts w:eastAsia="Calibri"/>
                <w:sz w:val="22"/>
                <w:szCs w:val="22"/>
                <w:lang w:val="lt-LT"/>
              </w:rPr>
            </w:pPr>
            <w:r w:rsidRPr="009F3FD7">
              <w:rPr>
                <w:rFonts w:eastAsia="Calibri"/>
                <w:sz w:val="22"/>
                <w:szCs w:val="22"/>
                <w:lang w:val="lt-LT"/>
              </w:rPr>
              <w:t>serialNumber (SERIALNUMBER) – asmens kodas.</w:t>
            </w:r>
          </w:p>
          <w:p w14:paraId="77C5D345" w14:textId="77777777" w:rsidR="009F3FD7" w:rsidRPr="009F3FD7" w:rsidRDefault="009F3FD7" w:rsidP="009F3FD7">
            <w:pPr>
              <w:jc w:val="both"/>
              <w:rPr>
                <w:rFonts w:eastAsia="Calibri"/>
                <w:sz w:val="22"/>
                <w:szCs w:val="22"/>
                <w:lang w:val="lt-LT"/>
              </w:rPr>
            </w:pPr>
          </w:p>
          <w:p w14:paraId="4E2B387E" w14:textId="77777777" w:rsidR="009F3FD7" w:rsidRDefault="00590BB6" w:rsidP="009F3FD7">
            <w:pPr>
              <w:jc w:val="both"/>
              <w:rPr>
                <w:rFonts w:eastAsia="Calibri"/>
                <w:sz w:val="22"/>
                <w:szCs w:val="22"/>
                <w:lang w:val="lt-LT"/>
              </w:rPr>
            </w:pPr>
            <w:r w:rsidRPr="009F3FD7">
              <w:rPr>
                <w:rFonts w:eastAsia="Calibri"/>
                <w:sz w:val="22"/>
                <w:szCs w:val="22"/>
                <w:lang w:val="lt-LT"/>
              </w:rPr>
              <w:t>Kvalifikuoto sertifikato naudojimo būdą nusakančiame laukelyje Key Usage privalo būti nurodytos šios reikšmės:</w:t>
            </w:r>
          </w:p>
          <w:p w14:paraId="75D99F97" w14:textId="77777777" w:rsidR="009F3FD7" w:rsidRDefault="00590BB6" w:rsidP="009F3FD7">
            <w:pPr>
              <w:pStyle w:val="ListParagraph"/>
              <w:numPr>
                <w:ilvl w:val="0"/>
                <w:numId w:val="13"/>
              </w:numPr>
              <w:jc w:val="both"/>
              <w:rPr>
                <w:rFonts w:eastAsia="Calibri"/>
                <w:sz w:val="22"/>
                <w:szCs w:val="22"/>
                <w:lang w:val="lt-LT"/>
              </w:rPr>
            </w:pPr>
            <w:r w:rsidRPr="009F3FD7">
              <w:rPr>
                <w:rFonts w:eastAsia="Calibri"/>
                <w:sz w:val="22"/>
                <w:szCs w:val="22"/>
                <w:lang w:val="lt-LT"/>
              </w:rPr>
              <w:t xml:space="preserve">Digital Signature, </w:t>
            </w:r>
          </w:p>
          <w:p w14:paraId="6363AACC" w14:textId="2EC5D06D" w:rsidR="00590BB6" w:rsidRPr="009F3FD7" w:rsidRDefault="00590BB6" w:rsidP="009F3FD7">
            <w:pPr>
              <w:pStyle w:val="ListParagraph"/>
              <w:numPr>
                <w:ilvl w:val="0"/>
                <w:numId w:val="13"/>
              </w:numPr>
              <w:jc w:val="both"/>
              <w:rPr>
                <w:rFonts w:eastAsia="Calibri"/>
                <w:sz w:val="22"/>
                <w:szCs w:val="22"/>
                <w:lang w:val="lt-LT"/>
              </w:rPr>
            </w:pPr>
            <w:r w:rsidRPr="009F3FD7">
              <w:rPr>
                <w:rFonts w:eastAsia="Calibri"/>
                <w:sz w:val="22"/>
                <w:szCs w:val="22"/>
                <w:lang w:val="lt-LT"/>
              </w:rPr>
              <w:t>Non-Repudation (c0);</w:t>
            </w:r>
          </w:p>
        </w:tc>
        <w:tc>
          <w:tcPr>
            <w:tcW w:w="3318" w:type="dxa"/>
            <w:tcBorders>
              <w:bottom w:val="single" w:sz="4" w:space="0" w:color="auto"/>
            </w:tcBorders>
            <w:shd w:val="clear" w:color="auto" w:fill="auto"/>
          </w:tcPr>
          <w:p w14:paraId="019C31B3" w14:textId="77777777" w:rsidR="00590BB6" w:rsidRPr="00A432C6" w:rsidRDefault="00590BB6" w:rsidP="00590BB6">
            <w:pPr>
              <w:rPr>
                <w:rFonts w:eastAsia="Calibri"/>
                <w:sz w:val="22"/>
                <w:szCs w:val="22"/>
                <w:lang w:val="lt-LT"/>
              </w:rPr>
            </w:pPr>
          </w:p>
        </w:tc>
      </w:tr>
      <w:tr w:rsidR="00A432C6" w:rsidRPr="00A432C6" w14:paraId="06EC2D70" w14:textId="77777777" w:rsidTr="00A432C6">
        <w:tc>
          <w:tcPr>
            <w:tcW w:w="546" w:type="dxa"/>
            <w:tcBorders>
              <w:bottom w:val="single" w:sz="18" w:space="0" w:color="auto"/>
            </w:tcBorders>
            <w:shd w:val="clear" w:color="auto" w:fill="auto"/>
          </w:tcPr>
          <w:p w14:paraId="786EB633" w14:textId="33008104" w:rsidR="00590BB6" w:rsidRPr="00A432C6" w:rsidRDefault="00A432C6" w:rsidP="00590BB6">
            <w:pPr>
              <w:rPr>
                <w:rFonts w:eastAsia="Calibri"/>
                <w:sz w:val="22"/>
                <w:szCs w:val="22"/>
                <w:lang w:val="lt-LT"/>
              </w:rPr>
            </w:pPr>
            <w:r>
              <w:rPr>
                <w:rFonts w:eastAsia="Calibri"/>
                <w:sz w:val="22"/>
                <w:szCs w:val="22"/>
                <w:lang w:val="lt-LT"/>
              </w:rPr>
              <w:t>1.1.2</w:t>
            </w:r>
          </w:p>
        </w:tc>
        <w:tc>
          <w:tcPr>
            <w:tcW w:w="5833" w:type="dxa"/>
            <w:tcBorders>
              <w:bottom w:val="single" w:sz="18" w:space="0" w:color="auto"/>
            </w:tcBorders>
            <w:shd w:val="clear" w:color="auto" w:fill="auto"/>
          </w:tcPr>
          <w:p w14:paraId="69B74A8F" w14:textId="77777777" w:rsidR="009F3FD7" w:rsidRDefault="00590BB6" w:rsidP="006310B6">
            <w:pPr>
              <w:jc w:val="both"/>
              <w:rPr>
                <w:rFonts w:eastAsia="Calibri"/>
                <w:sz w:val="22"/>
                <w:szCs w:val="22"/>
                <w:lang w:val="lt-LT"/>
              </w:rPr>
            </w:pPr>
            <w:r w:rsidRPr="00A432C6">
              <w:rPr>
                <w:rFonts w:eastAsia="Calibri"/>
                <w:sz w:val="22"/>
                <w:szCs w:val="22"/>
                <w:lang w:val="lt-LT"/>
              </w:rPr>
              <w:t xml:space="preserve">Siūlomas sertifikatas turi būti suderinamas su Lietuvoje registruotų ir (ar) akredituotų sertifikavimo paslaugų teikėjų asmens identifikavimo elektroninėje erdvėje sertifikatais, atitinkančiais Lietuvos respublikos piliečiams išduodamoje asmens tapatybės kortelėje įrašomo kvalifikuoto sertifikato profilį. </w:t>
            </w:r>
          </w:p>
          <w:p w14:paraId="1B8D98AE" w14:textId="77777777" w:rsidR="009F3FD7" w:rsidRDefault="009F3FD7" w:rsidP="006310B6">
            <w:pPr>
              <w:jc w:val="both"/>
              <w:rPr>
                <w:rFonts w:eastAsia="Calibri"/>
                <w:sz w:val="22"/>
                <w:szCs w:val="22"/>
                <w:lang w:val="lt-LT"/>
              </w:rPr>
            </w:pPr>
          </w:p>
          <w:p w14:paraId="0683DDEB" w14:textId="77777777" w:rsidR="00D04740" w:rsidRDefault="00590BB6" w:rsidP="006310B6">
            <w:pPr>
              <w:jc w:val="both"/>
              <w:rPr>
                <w:rFonts w:eastAsia="Calibri"/>
                <w:sz w:val="22"/>
                <w:szCs w:val="22"/>
                <w:lang w:val="lt-LT"/>
              </w:rPr>
            </w:pPr>
            <w:r w:rsidRPr="00A432C6">
              <w:rPr>
                <w:rFonts w:eastAsia="Calibri"/>
                <w:sz w:val="22"/>
                <w:szCs w:val="22"/>
                <w:lang w:val="lt-LT"/>
              </w:rPr>
              <w:t xml:space="preserve">Asmens identifikavimo sertifikato laukelyje Subject privalo būti nurodyti šie laukai ir jų reikšmės: </w:t>
            </w:r>
          </w:p>
          <w:p w14:paraId="66252BCE" w14:textId="77777777" w:rsidR="00D04740" w:rsidRDefault="00590BB6" w:rsidP="00D04740">
            <w:pPr>
              <w:pStyle w:val="ListParagraph"/>
              <w:numPr>
                <w:ilvl w:val="0"/>
                <w:numId w:val="14"/>
              </w:numPr>
              <w:jc w:val="both"/>
              <w:rPr>
                <w:rFonts w:eastAsia="Calibri"/>
                <w:sz w:val="22"/>
                <w:szCs w:val="22"/>
                <w:lang w:val="lt-LT"/>
              </w:rPr>
            </w:pPr>
            <w:r w:rsidRPr="00D04740">
              <w:rPr>
                <w:rFonts w:eastAsia="Calibri"/>
                <w:sz w:val="22"/>
                <w:szCs w:val="22"/>
                <w:lang w:val="lt-LT"/>
              </w:rPr>
              <w:t xml:space="preserve">comonName (CN) – vardas pavardė; </w:t>
            </w:r>
          </w:p>
          <w:p w14:paraId="35B59AED" w14:textId="77777777" w:rsidR="00D04740" w:rsidRDefault="00590BB6" w:rsidP="00D04740">
            <w:pPr>
              <w:pStyle w:val="ListParagraph"/>
              <w:numPr>
                <w:ilvl w:val="0"/>
                <w:numId w:val="14"/>
              </w:numPr>
              <w:jc w:val="both"/>
              <w:rPr>
                <w:rFonts w:eastAsia="Calibri"/>
                <w:sz w:val="22"/>
                <w:szCs w:val="22"/>
                <w:lang w:val="lt-LT"/>
              </w:rPr>
            </w:pPr>
            <w:r w:rsidRPr="00D04740">
              <w:rPr>
                <w:rFonts w:eastAsia="Calibri"/>
                <w:sz w:val="22"/>
                <w:szCs w:val="22"/>
                <w:lang w:val="lt-LT"/>
              </w:rPr>
              <w:t>givenName (G) – vardas; surname (SN) – pavardė;</w:t>
            </w:r>
          </w:p>
          <w:p w14:paraId="2887AC88" w14:textId="77777777" w:rsidR="00D04740" w:rsidRDefault="00590BB6" w:rsidP="00D04740">
            <w:pPr>
              <w:pStyle w:val="ListParagraph"/>
              <w:numPr>
                <w:ilvl w:val="0"/>
                <w:numId w:val="14"/>
              </w:numPr>
              <w:jc w:val="both"/>
              <w:rPr>
                <w:rFonts w:eastAsia="Calibri"/>
                <w:sz w:val="22"/>
                <w:szCs w:val="22"/>
                <w:lang w:val="lt-LT"/>
              </w:rPr>
            </w:pPr>
            <w:r w:rsidRPr="00D04740">
              <w:rPr>
                <w:rFonts w:eastAsia="Calibri"/>
                <w:sz w:val="22"/>
                <w:szCs w:val="22"/>
                <w:lang w:val="lt-LT"/>
              </w:rPr>
              <w:t>serialNumber (SERIALNUMBER) – asmens kodas.</w:t>
            </w:r>
          </w:p>
          <w:p w14:paraId="144EB075" w14:textId="77777777" w:rsidR="00D04740" w:rsidRDefault="00590BB6" w:rsidP="00D04740">
            <w:pPr>
              <w:pStyle w:val="ListParagraph"/>
              <w:numPr>
                <w:ilvl w:val="0"/>
                <w:numId w:val="14"/>
              </w:numPr>
              <w:jc w:val="both"/>
              <w:rPr>
                <w:rFonts w:eastAsia="Calibri"/>
                <w:sz w:val="22"/>
                <w:szCs w:val="22"/>
                <w:lang w:val="lt-LT"/>
              </w:rPr>
            </w:pPr>
            <w:r w:rsidRPr="00D04740">
              <w:rPr>
                <w:rFonts w:eastAsia="Calibri"/>
                <w:sz w:val="22"/>
                <w:szCs w:val="22"/>
                <w:lang w:val="lt-LT"/>
              </w:rPr>
              <w:t xml:space="preserve">Sertifikato naudojimo būdą nusakančiame laukelyje Key Usage privalo būti nurodyta reikšmė Digital Signature (80). </w:t>
            </w:r>
          </w:p>
          <w:p w14:paraId="4A50AEF3" w14:textId="339272E6" w:rsidR="00590BB6" w:rsidRPr="00D04740" w:rsidRDefault="00590BB6" w:rsidP="00D04740">
            <w:pPr>
              <w:pStyle w:val="ListParagraph"/>
              <w:numPr>
                <w:ilvl w:val="0"/>
                <w:numId w:val="14"/>
              </w:numPr>
              <w:jc w:val="both"/>
              <w:rPr>
                <w:rFonts w:eastAsia="Calibri"/>
                <w:sz w:val="22"/>
                <w:szCs w:val="22"/>
                <w:lang w:val="lt-LT"/>
              </w:rPr>
            </w:pPr>
            <w:r w:rsidRPr="00D04740">
              <w:rPr>
                <w:rFonts w:eastAsia="Calibri"/>
                <w:sz w:val="22"/>
                <w:szCs w:val="22"/>
                <w:lang w:val="lt-LT"/>
              </w:rPr>
              <w:t xml:space="preserve">Išplėstinį sertifikato taikymo būdą nusakančiame laukelyje Enhanced Key Usage privalo būti nurodyta reikšmė Client Autentication (1.3.6.1.5.5.7.3.2). </w:t>
            </w:r>
          </w:p>
        </w:tc>
        <w:tc>
          <w:tcPr>
            <w:tcW w:w="3318" w:type="dxa"/>
            <w:tcBorders>
              <w:bottom w:val="single" w:sz="18" w:space="0" w:color="auto"/>
            </w:tcBorders>
            <w:shd w:val="clear" w:color="auto" w:fill="auto"/>
          </w:tcPr>
          <w:p w14:paraId="145473D3" w14:textId="77777777" w:rsidR="00590BB6" w:rsidRPr="00A432C6" w:rsidRDefault="00590BB6" w:rsidP="00590BB6">
            <w:pPr>
              <w:rPr>
                <w:rFonts w:eastAsia="Calibri"/>
                <w:sz w:val="22"/>
                <w:szCs w:val="22"/>
                <w:lang w:val="lt-LT"/>
              </w:rPr>
            </w:pPr>
          </w:p>
        </w:tc>
      </w:tr>
      <w:tr w:rsidR="00A432C6" w:rsidRPr="00A432C6" w14:paraId="161516A4" w14:textId="77777777" w:rsidTr="00A432C6">
        <w:tc>
          <w:tcPr>
            <w:tcW w:w="546" w:type="dxa"/>
            <w:tcBorders>
              <w:top w:val="single" w:sz="18" w:space="0" w:color="auto"/>
            </w:tcBorders>
            <w:shd w:val="clear" w:color="auto" w:fill="auto"/>
          </w:tcPr>
          <w:p w14:paraId="2D97D59D" w14:textId="5C098312" w:rsidR="00590BB6" w:rsidRPr="00A432C6" w:rsidRDefault="00A432C6" w:rsidP="00590BB6">
            <w:pPr>
              <w:rPr>
                <w:rFonts w:eastAsia="Calibri"/>
                <w:sz w:val="22"/>
                <w:szCs w:val="22"/>
                <w:lang w:val="lt-LT"/>
              </w:rPr>
            </w:pPr>
            <w:r>
              <w:rPr>
                <w:rFonts w:eastAsia="Calibri"/>
                <w:sz w:val="22"/>
                <w:szCs w:val="22"/>
                <w:lang w:val="lt-LT"/>
              </w:rPr>
              <w:t>1.2.</w:t>
            </w:r>
          </w:p>
        </w:tc>
        <w:tc>
          <w:tcPr>
            <w:tcW w:w="5833" w:type="dxa"/>
            <w:tcBorders>
              <w:top w:val="single" w:sz="18" w:space="0" w:color="auto"/>
            </w:tcBorders>
            <w:shd w:val="clear" w:color="auto" w:fill="auto"/>
          </w:tcPr>
          <w:p w14:paraId="34EABD28" w14:textId="0CD70EF9" w:rsidR="00590BB6" w:rsidRPr="00A432C6" w:rsidRDefault="00590BB6" w:rsidP="006310B6">
            <w:pPr>
              <w:jc w:val="both"/>
              <w:rPr>
                <w:rFonts w:eastAsia="Calibri"/>
                <w:sz w:val="22"/>
                <w:szCs w:val="22"/>
                <w:lang w:val="lt-LT"/>
              </w:rPr>
            </w:pPr>
            <w:r w:rsidRPr="00A432C6">
              <w:rPr>
                <w:rFonts w:eastAsia="Calibri"/>
                <w:sz w:val="22"/>
                <w:szCs w:val="22"/>
                <w:lang w:val="lt-LT"/>
              </w:rPr>
              <w:t>Į sertifikatus turi būti įrašomas sertifikato turėtojo asmens kodas, kuris suteikia galimybę betarpiškai nustatyti naudotojo tapatybę pagal unive</w:t>
            </w:r>
            <w:r w:rsidR="00D04740">
              <w:rPr>
                <w:rFonts w:eastAsia="Calibri"/>
                <w:sz w:val="22"/>
                <w:szCs w:val="22"/>
                <w:lang w:val="lt-LT"/>
              </w:rPr>
              <w:t>rsalų identifikatorių, įrašytą g</w:t>
            </w:r>
            <w:r w:rsidRPr="00A432C6">
              <w:rPr>
                <w:rFonts w:eastAsia="Calibri"/>
                <w:sz w:val="22"/>
                <w:szCs w:val="22"/>
                <w:lang w:val="lt-LT"/>
              </w:rPr>
              <w:t>yventojų registre.</w:t>
            </w:r>
          </w:p>
        </w:tc>
        <w:tc>
          <w:tcPr>
            <w:tcW w:w="3318" w:type="dxa"/>
            <w:tcBorders>
              <w:top w:val="single" w:sz="18" w:space="0" w:color="auto"/>
            </w:tcBorders>
            <w:shd w:val="clear" w:color="auto" w:fill="auto"/>
          </w:tcPr>
          <w:p w14:paraId="2C676832" w14:textId="77777777" w:rsidR="00590BB6" w:rsidRPr="00A432C6" w:rsidRDefault="00590BB6" w:rsidP="00590BB6">
            <w:pPr>
              <w:rPr>
                <w:rFonts w:eastAsia="Calibri"/>
                <w:sz w:val="22"/>
                <w:szCs w:val="22"/>
                <w:lang w:val="lt-LT"/>
              </w:rPr>
            </w:pPr>
          </w:p>
        </w:tc>
      </w:tr>
      <w:tr w:rsidR="00A432C6" w:rsidRPr="00A432C6" w14:paraId="038AAD65" w14:textId="77777777" w:rsidTr="00244AE7">
        <w:tc>
          <w:tcPr>
            <w:tcW w:w="546" w:type="dxa"/>
            <w:shd w:val="clear" w:color="auto" w:fill="auto"/>
          </w:tcPr>
          <w:p w14:paraId="42124833" w14:textId="3E62E3A0" w:rsidR="00590BB6" w:rsidRPr="00A432C6" w:rsidRDefault="00A432C6" w:rsidP="00590BB6">
            <w:pPr>
              <w:rPr>
                <w:rFonts w:eastAsia="Calibri"/>
                <w:sz w:val="22"/>
                <w:szCs w:val="22"/>
                <w:lang w:val="lt-LT"/>
              </w:rPr>
            </w:pPr>
            <w:r>
              <w:rPr>
                <w:rFonts w:eastAsia="Calibri"/>
                <w:sz w:val="22"/>
                <w:szCs w:val="22"/>
                <w:lang w:val="lt-LT"/>
              </w:rPr>
              <w:t>1.3.</w:t>
            </w:r>
          </w:p>
        </w:tc>
        <w:tc>
          <w:tcPr>
            <w:tcW w:w="5833" w:type="dxa"/>
            <w:shd w:val="clear" w:color="auto" w:fill="auto"/>
          </w:tcPr>
          <w:p w14:paraId="5268B653" w14:textId="1FAF816E" w:rsidR="00590BB6" w:rsidRPr="00A432C6" w:rsidRDefault="00590BB6" w:rsidP="009632EC">
            <w:pPr>
              <w:rPr>
                <w:sz w:val="22"/>
                <w:szCs w:val="22"/>
                <w:shd w:val="clear" w:color="auto" w:fill="FFFFFF"/>
                <w:lang w:val="lt-LT"/>
              </w:rPr>
            </w:pPr>
            <w:r w:rsidRPr="00A432C6">
              <w:rPr>
                <w:rFonts w:eastAsia="Calibri"/>
                <w:sz w:val="22"/>
                <w:szCs w:val="22"/>
                <w:lang w:val="lt-LT"/>
              </w:rPr>
              <w:t>Sertifikatai turi atitikti saugiems sertifikatams keliamus reikalavimus</w:t>
            </w:r>
            <w:r w:rsidR="009632EC" w:rsidRPr="00A432C6">
              <w:rPr>
                <w:rFonts w:eastAsia="Calibri"/>
                <w:sz w:val="22"/>
                <w:szCs w:val="22"/>
                <w:lang w:val="lt-LT"/>
              </w:rPr>
              <w:t>, įrašomi į QSCD (angl.</w:t>
            </w:r>
            <w:hyperlink r:id="rId8" w:history="1">
              <w:r w:rsidR="009632EC" w:rsidRPr="00A432C6">
                <w:rPr>
                  <w:rStyle w:val="Hyperlink"/>
                  <w:color w:val="auto"/>
                  <w:sz w:val="22"/>
                  <w:szCs w:val="22"/>
                  <w:u w:val="none"/>
                  <w:shd w:val="clear" w:color="auto" w:fill="FFFFFF"/>
                  <w:lang w:val="lt-LT"/>
                </w:rPr>
                <w:t xml:space="preserve"> </w:t>
              </w:r>
              <w:r w:rsidR="009632EC" w:rsidRPr="00A432C6">
                <w:rPr>
                  <w:rFonts w:eastAsia="Calibri"/>
                  <w:sz w:val="22"/>
                  <w:szCs w:val="22"/>
                  <w:lang w:val="lt-LT"/>
                </w:rPr>
                <w:t>Qualified Signature Creation Devices</w:t>
              </w:r>
            </w:hyperlink>
            <w:r w:rsidR="009632EC" w:rsidRPr="00A432C6">
              <w:rPr>
                <w:rFonts w:eastAsia="Calibri"/>
                <w:sz w:val="22"/>
                <w:szCs w:val="22"/>
                <w:lang w:val="lt-LT"/>
              </w:rPr>
              <w:t>) laikmenas (įrenginius), atitinkančius eIDAS reglamento reikalavimams.</w:t>
            </w:r>
          </w:p>
        </w:tc>
        <w:tc>
          <w:tcPr>
            <w:tcW w:w="3318" w:type="dxa"/>
            <w:shd w:val="clear" w:color="auto" w:fill="auto"/>
          </w:tcPr>
          <w:p w14:paraId="16277A47" w14:textId="77777777" w:rsidR="00590BB6" w:rsidRPr="00A432C6" w:rsidRDefault="00590BB6" w:rsidP="00590BB6">
            <w:pPr>
              <w:rPr>
                <w:rFonts w:eastAsia="Calibri"/>
                <w:sz w:val="22"/>
                <w:szCs w:val="22"/>
                <w:lang w:val="lt-LT"/>
              </w:rPr>
            </w:pPr>
          </w:p>
        </w:tc>
      </w:tr>
      <w:tr w:rsidR="00A432C6" w:rsidRPr="00A432C6" w14:paraId="7E518852" w14:textId="77777777" w:rsidTr="00244AE7">
        <w:tc>
          <w:tcPr>
            <w:tcW w:w="546" w:type="dxa"/>
            <w:shd w:val="clear" w:color="auto" w:fill="auto"/>
          </w:tcPr>
          <w:p w14:paraId="7A2AA69F" w14:textId="4B5B0A1A" w:rsidR="00590BB6" w:rsidRPr="00A432C6" w:rsidRDefault="00A432C6" w:rsidP="00590BB6">
            <w:pPr>
              <w:rPr>
                <w:rFonts w:eastAsia="Calibri"/>
                <w:sz w:val="22"/>
                <w:szCs w:val="22"/>
                <w:lang w:val="lt-LT"/>
              </w:rPr>
            </w:pPr>
            <w:r>
              <w:rPr>
                <w:rFonts w:eastAsia="Calibri"/>
                <w:sz w:val="22"/>
                <w:szCs w:val="22"/>
                <w:lang w:val="lt-LT"/>
              </w:rPr>
              <w:lastRenderedPageBreak/>
              <w:t>1.4.</w:t>
            </w:r>
          </w:p>
        </w:tc>
        <w:tc>
          <w:tcPr>
            <w:tcW w:w="5833" w:type="dxa"/>
            <w:shd w:val="clear" w:color="auto" w:fill="auto"/>
          </w:tcPr>
          <w:p w14:paraId="51472509" w14:textId="7DE2DD86" w:rsidR="00590BB6" w:rsidRPr="00A432C6" w:rsidRDefault="005A64EB" w:rsidP="001A756D">
            <w:pPr>
              <w:jc w:val="both"/>
              <w:rPr>
                <w:rFonts w:eastAsia="Calibri"/>
                <w:sz w:val="22"/>
                <w:szCs w:val="22"/>
                <w:lang w:val="lt-LT"/>
              </w:rPr>
            </w:pPr>
            <w:r w:rsidRPr="00A432C6">
              <w:rPr>
                <w:rFonts w:eastAsia="Calibri"/>
                <w:sz w:val="22"/>
                <w:szCs w:val="22"/>
                <w:lang w:val="lt-LT"/>
              </w:rPr>
              <w:t xml:space="preserve">Kvalifikuotas sertifikatas turi užtikrinti galimybę pasirašyti dokumentus </w:t>
            </w:r>
            <w:r w:rsidR="001A756D" w:rsidRPr="00A432C6">
              <w:rPr>
                <w:rFonts w:eastAsia="Calibri"/>
                <w:sz w:val="22"/>
                <w:szCs w:val="22"/>
                <w:lang w:val="lt-LT"/>
              </w:rPr>
              <w:t>„E</w:t>
            </w:r>
            <w:r w:rsidRPr="00A432C6">
              <w:rPr>
                <w:rFonts w:eastAsia="Calibri"/>
                <w:sz w:val="22"/>
                <w:szCs w:val="22"/>
                <w:lang w:val="lt-LT"/>
              </w:rPr>
              <w:t>.</w:t>
            </w:r>
            <w:r w:rsidR="001A756D" w:rsidRPr="00A432C6">
              <w:rPr>
                <w:rFonts w:eastAsia="Calibri"/>
                <w:sz w:val="22"/>
                <w:szCs w:val="22"/>
                <w:lang w:val="lt-LT"/>
              </w:rPr>
              <w:t>S</w:t>
            </w:r>
            <w:r w:rsidRPr="00A432C6">
              <w:rPr>
                <w:rFonts w:eastAsia="Calibri"/>
                <w:sz w:val="22"/>
                <w:szCs w:val="22"/>
                <w:lang w:val="lt-LT"/>
              </w:rPr>
              <w:t>veikatos</w:t>
            </w:r>
            <w:r w:rsidR="001A756D" w:rsidRPr="00A432C6">
              <w:rPr>
                <w:rFonts w:eastAsia="Calibri"/>
                <w:sz w:val="22"/>
                <w:szCs w:val="22"/>
                <w:lang w:val="lt-LT"/>
              </w:rPr>
              <w:t>“</w:t>
            </w:r>
            <w:r w:rsidRPr="00A432C6">
              <w:rPr>
                <w:rFonts w:eastAsia="Calibri"/>
                <w:sz w:val="22"/>
                <w:szCs w:val="22"/>
                <w:lang w:val="lt-LT"/>
              </w:rPr>
              <w:t xml:space="preserve"> informacinėje sistemoje ESPBI</w:t>
            </w:r>
            <w:r w:rsidR="007D1E55" w:rsidRPr="00A432C6">
              <w:rPr>
                <w:rFonts w:eastAsia="Calibri"/>
                <w:sz w:val="22"/>
                <w:szCs w:val="22"/>
                <w:lang w:val="lt-LT"/>
              </w:rPr>
              <w:t xml:space="preserve"> IS</w:t>
            </w:r>
            <w:r w:rsidRPr="00A432C6">
              <w:rPr>
                <w:rFonts w:eastAsia="Calibri"/>
                <w:sz w:val="22"/>
                <w:szCs w:val="22"/>
                <w:lang w:val="lt-LT"/>
              </w:rPr>
              <w:t xml:space="preserve"> ir SODROS informacinėje sistemoje.</w:t>
            </w:r>
          </w:p>
        </w:tc>
        <w:tc>
          <w:tcPr>
            <w:tcW w:w="3318" w:type="dxa"/>
            <w:shd w:val="clear" w:color="auto" w:fill="auto"/>
          </w:tcPr>
          <w:p w14:paraId="3164AD1A" w14:textId="77777777" w:rsidR="00590BB6" w:rsidRPr="00A432C6" w:rsidRDefault="00590BB6" w:rsidP="00590BB6">
            <w:pPr>
              <w:rPr>
                <w:rFonts w:eastAsia="Calibri"/>
                <w:sz w:val="22"/>
                <w:szCs w:val="22"/>
                <w:lang w:val="lt-LT"/>
              </w:rPr>
            </w:pPr>
          </w:p>
        </w:tc>
      </w:tr>
      <w:tr w:rsidR="00A432C6" w:rsidRPr="00A432C6" w14:paraId="054A3998" w14:textId="77777777" w:rsidTr="00244AE7">
        <w:tc>
          <w:tcPr>
            <w:tcW w:w="546" w:type="dxa"/>
            <w:shd w:val="clear" w:color="auto" w:fill="auto"/>
          </w:tcPr>
          <w:p w14:paraId="18E7B5BE" w14:textId="1364585B" w:rsidR="00590BB6" w:rsidRPr="00A432C6" w:rsidRDefault="00A432C6" w:rsidP="00590BB6">
            <w:pPr>
              <w:rPr>
                <w:rFonts w:eastAsia="Calibri"/>
                <w:sz w:val="22"/>
                <w:szCs w:val="22"/>
                <w:lang w:val="lt-LT"/>
              </w:rPr>
            </w:pPr>
            <w:r>
              <w:rPr>
                <w:rFonts w:eastAsia="Calibri"/>
                <w:sz w:val="22"/>
                <w:szCs w:val="22"/>
                <w:lang w:val="lt-LT"/>
              </w:rPr>
              <w:t>1.5.</w:t>
            </w:r>
          </w:p>
        </w:tc>
        <w:tc>
          <w:tcPr>
            <w:tcW w:w="5833" w:type="dxa"/>
            <w:shd w:val="clear" w:color="auto" w:fill="auto"/>
          </w:tcPr>
          <w:p w14:paraId="0C33E88F" w14:textId="4023CB69" w:rsidR="00590BB6" w:rsidRPr="00A432C6" w:rsidRDefault="00F604F0" w:rsidP="006310B6">
            <w:pPr>
              <w:jc w:val="both"/>
              <w:rPr>
                <w:rFonts w:eastAsia="Calibri"/>
                <w:sz w:val="22"/>
                <w:szCs w:val="22"/>
                <w:lang w:val="lt-LT"/>
              </w:rPr>
            </w:pPr>
            <w:r w:rsidRPr="00A432C6">
              <w:rPr>
                <w:rFonts w:eastAsia="Calibri"/>
                <w:sz w:val="22"/>
                <w:szCs w:val="22"/>
                <w:lang w:val="lt-LT"/>
              </w:rPr>
              <w:t>L</w:t>
            </w:r>
            <w:r w:rsidR="00590BB6" w:rsidRPr="00A432C6">
              <w:rPr>
                <w:rFonts w:eastAsia="Calibri"/>
                <w:sz w:val="22"/>
                <w:szCs w:val="22"/>
                <w:lang w:val="lt-LT"/>
              </w:rPr>
              <w:t>aikmenai suteikiama ne mažiau kaip 12 mėn. garantija nuo išdavimo datos</w:t>
            </w:r>
            <w:r w:rsidR="007606AA" w:rsidRPr="00A432C6">
              <w:rPr>
                <w:rFonts w:eastAsia="Calibri"/>
                <w:sz w:val="22"/>
                <w:szCs w:val="22"/>
                <w:lang w:val="lt-LT"/>
              </w:rPr>
              <w:t>, kai laikmena sugenda ne dėl naudotojo kaltės</w:t>
            </w:r>
            <w:r w:rsidR="00590BB6" w:rsidRPr="00A432C6">
              <w:rPr>
                <w:rFonts w:eastAsia="Calibri"/>
                <w:sz w:val="22"/>
                <w:szCs w:val="22"/>
                <w:lang w:val="lt-LT"/>
              </w:rPr>
              <w:t>.</w:t>
            </w:r>
          </w:p>
        </w:tc>
        <w:tc>
          <w:tcPr>
            <w:tcW w:w="3318" w:type="dxa"/>
            <w:shd w:val="clear" w:color="auto" w:fill="auto"/>
          </w:tcPr>
          <w:p w14:paraId="3E6D61B5" w14:textId="77777777" w:rsidR="00590BB6" w:rsidRPr="00A432C6" w:rsidRDefault="00590BB6" w:rsidP="00590BB6">
            <w:pPr>
              <w:rPr>
                <w:rFonts w:eastAsia="Calibri"/>
                <w:sz w:val="22"/>
                <w:szCs w:val="22"/>
                <w:lang w:val="lt-LT"/>
              </w:rPr>
            </w:pPr>
          </w:p>
        </w:tc>
      </w:tr>
      <w:tr w:rsidR="00A432C6" w:rsidRPr="00A432C6" w14:paraId="3603AF8D" w14:textId="77777777" w:rsidTr="00244AE7">
        <w:tc>
          <w:tcPr>
            <w:tcW w:w="546" w:type="dxa"/>
            <w:shd w:val="clear" w:color="auto" w:fill="auto"/>
          </w:tcPr>
          <w:p w14:paraId="0B9031B9" w14:textId="11671D9A" w:rsidR="00590BB6" w:rsidRPr="00A432C6" w:rsidRDefault="00A432C6" w:rsidP="00590BB6">
            <w:pPr>
              <w:rPr>
                <w:rFonts w:eastAsia="Calibri"/>
                <w:sz w:val="22"/>
                <w:szCs w:val="22"/>
                <w:lang w:val="lt-LT"/>
              </w:rPr>
            </w:pPr>
            <w:r>
              <w:rPr>
                <w:rFonts w:eastAsia="Calibri"/>
                <w:sz w:val="22"/>
                <w:szCs w:val="22"/>
                <w:lang w:val="lt-LT"/>
              </w:rPr>
              <w:t>1.6.</w:t>
            </w:r>
          </w:p>
        </w:tc>
        <w:tc>
          <w:tcPr>
            <w:tcW w:w="5833" w:type="dxa"/>
            <w:shd w:val="clear" w:color="auto" w:fill="auto"/>
          </w:tcPr>
          <w:p w14:paraId="35D02DD8" w14:textId="77777777" w:rsidR="00590BB6" w:rsidRPr="00A432C6" w:rsidRDefault="00590BB6" w:rsidP="006310B6">
            <w:pPr>
              <w:jc w:val="both"/>
              <w:rPr>
                <w:rFonts w:eastAsia="Calibri"/>
                <w:sz w:val="22"/>
                <w:szCs w:val="22"/>
                <w:lang w:val="lt-LT"/>
              </w:rPr>
            </w:pPr>
            <w:r w:rsidRPr="00A432C6">
              <w:rPr>
                <w:rFonts w:eastAsia="Calibri"/>
                <w:sz w:val="22"/>
                <w:szCs w:val="22"/>
                <w:lang w:val="lt-LT"/>
              </w:rPr>
              <w:t>Sertifikat</w:t>
            </w:r>
            <w:r w:rsidR="004E735C" w:rsidRPr="00A432C6">
              <w:rPr>
                <w:rFonts w:eastAsia="Calibri"/>
                <w:sz w:val="22"/>
                <w:szCs w:val="22"/>
                <w:lang w:val="lt-LT"/>
              </w:rPr>
              <w:t>ai turi galioti ne mažiau kaip 2</w:t>
            </w:r>
            <w:r w:rsidR="006310B6" w:rsidRPr="00A432C6">
              <w:rPr>
                <w:rFonts w:eastAsia="Calibri"/>
                <w:sz w:val="22"/>
                <w:szCs w:val="22"/>
                <w:lang w:val="lt-LT"/>
              </w:rPr>
              <w:t xml:space="preserve"> </w:t>
            </w:r>
            <w:r w:rsidRPr="00A432C6">
              <w:rPr>
                <w:rFonts w:eastAsia="Calibri"/>
                <w:sz w:val="22"/>
                <w:szCs w:val="22"/>
                <w:lang w:val="lt-LT"/>
              </w:rPr>
              <w:t>metus nuo išdavimo datos</w:t>
            </w:r>
          </w:p>
        </w:tc>
        <w:tc>
          <w:tcPr>
            <w:tcW w:w="3318" w:type="dxa"/>
            <w:shd w:val="clear" w:color="auto" w:fill="auto"/>
          </w:tcPr>
          <w:p w14:paraId="0E7B94AF" w14:textId="77777777" w:rsidR="00590BB6" w:rsidRPr="00A432C6" w:rsidRDefault="00590BB6" w:rsidP="00590BB6">
            <w:pPr>
              <w:rPr>
                <w:rFonts w:eastAsia="Calibri"/>
                <w:sz w:val="22"/>
                <w:szCs w:val="22"/>
                <w:lang w:val="lt-LT"/>
              </w:rPr>
            </w:pPr>
          </w:p>
        </w:tc>
      </w:tr>
    </w:tbl>
    <w:p w14:paraId="467293FB" w14:textId="77777777" w:rsidR="00590BB6" w:rsidRPr="00A432C6" w:rsidRDefault="00590BB6" w:rsidP="00590BB6">
      <w:pPr>
        <w:jc w:val="both"/>
        <w:rPr>
          <w:rStyle w:val="FontStyle29"/>
          <w:sz w:val="22"/>
          <w:szCs w:val="22"/>
          <w:lang w:val="lt-LT"/>
        </w:rPr>
      </w:pPr>
    </w:p>
    <w:p w14:paraId="34A3E345" w14:textId="77777777" w:rsidR="006310B6" w:rsidRPr="00A432C6" w:rsidRDefault="006310B6" w:rsidP="00590BB6">
      <w:pPr>
        <w:jc w:val="both"/>
        <w:rPr>
          <w:rStyle w:val="FontStyle29"/>
          <w:sz w:val="22"/>
          <w:szCs w:val="22"/>
          <w:lang w:val="lt-LT"/>
        </w:rPr>
      </w:pPr>
    </w:p>
    <w:p w14:paraId="0E5294CD" w14:textId="77777777" w:rsidR="006310B6" w:rsidRPr="00A432C6" w:rsidRDefault="006310B6" w:rsidP="00590BB6">
      <w:pPr>
        <w:jc w:val="both"/>
        <w:rPr>
          <w:rStyle w:val="FontStyle29"/>
          <w:sz w:val="22"/>
          <w:szCs w:val="22"/>
          <w:lang w:val="lt-LT"/>
        </w:rPr>
      </w:pPr>
    </w:p>
    <w:p w14:paraId="112341EF" w14:textId="7C923DAA" w:rsidR="00C32846" w:rsidRPr="00A432C6" w:rsidRDefault="00C32846" w:rsidP="00A432C6">
      <w:pPr>
        <w:pStyle w:val="ListParagraph"/>
        <w:numPr>
          <w:ilvl w:val="0"/>
          <w:numId w:val="11"/>
        </w:numPr>
        <w:rPr>
          <w:b/>
          <w:sz w:val="22"/>
          <w:lang w:val="lt-LT"/>
        </w:rPr>
      </w:pPr>
      <w:r w:rsidRPr="00A432C6">
        <w:rPr>
          <w:b/>
          <w:sz w:val="22"/>
          <w:lang w:val="lt-LT"/>
        </w:rPr>
        <w:t>Kvalifikuoto elektroninio parašo sertifikato atnaujinimas 2 metams</w:t>
      </w:r>
      <w:r w:rsidR="00A432C6" w:rsidRPr="00A432C6">
        <w:rPr>
          <w:b/>
          <w:sz w:val="22"/>
          <w:lang w:val="lt-LT"/>
        </w:rPr>
        <w:t xml:space="preserve"> (1050vnt.)</w:t>
      </w:r>
    </w:p>
    <w:p w14:paraId="10A52FEA" w14:textId="77777777" w:rsidR="00C32846" w:rsidRPr="00A432C6" w:rsidRDefault="00C32846" w:rsidP="00C32846">
      <w:pPr>
        <w:ind w:left="567"/>
        <w:jc w:val="both"/>
        <w:rPr>
          <w:sz w:val="22"/>
          <w:szCs w:val="22"/>
          <w:lang w:val="lt-L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833"/>
        <w:gridCol w:w="3318"/>
      </w:tblGrid>
      <w:tr w:rsidR="00A432C6" w:rsidRPr="00A432C6" w14:paraId="3C2E8684" w14:textId="77777777" w:rsidTr="00D04740">
        <w:trPr>
          <w:tblHeader/>
        </w:trPr>
        <w:tc>
          <w:tcPr>
            <w:tcW w:w="546" w:type="dxa"/>
            <w:shd w:val="clear" w:color="auto" w:fill="FBE4D5" w:themeFill="accent2" w:themeFillTint="33"/>
            <w:vAlign w:val="center"/>
          </w:tcPr>
          <w:p w14:paraId="2C2BDF6D" w14:textId="77777777" w:rsidR="00C32846" w:rsidRPr="00A432C6" w:rsidRDefault="00C32846" w:rsidP="00E04BBD">
            <w:pPr>
              <w:jc w:val="center"/>
              <w:rPr>
                <w:rFonts w:eastAsia="Calibri"/>
                <w:b/>
                <w:sz w:val="22"/>
                <w:szCs w:val="22"/>
                <w:lang w:val="lt-LT"/>
              </w:rPr>
            </w:pPr>
            <w:r w:rsidRPr="00A432C6">
              <w:rPr>
                <w:rFonts w:eastAsia="Calibri"/>
                <w:b/>
                <w:sz w:val="22"/>
                <w:szCs w:val="22"/>
                <w:lang w:val="lt-LT"/>
              </w:rPr>
              <w:t>Eil. Nr.</w:t>
            </w:r>
          </w:p>
        </w:tc>
        <w:tc>
          <w:tcPr>
            <w:tcW w:w="5833" w:type="dxa"/>
            <w:shd w:val="clear" w:color="auto" w:fill="FBE4D5" w:themeFill="accent2" w:themeFillTint="33"/>
            <w:vAlign w:val="center"/>
          </w:tcPr>
          <w:p w14:paraId="2A273403" w14:textId="77777777" w:rsidR="00C32846" w:rsidRPr="00A432C6" w:rsidRDefault="00C32846" w:rsidP="00E04BBD">
            <w:pPr>
              <w:jc w:val="center"/>
              <w:rPr>
                <w:rFonts w:eastAsia="Calibri"/>
                <w:b/>
                <w:sz w:val="22"/>
                <w:szCs w:val="22"/>
                <w:lang w:val="lt-LT"/>
              </w:rPr>
            </w:pPr>
            <w:r w:rsidRPr="00A432C6">
              <w:rPr>
                <w:rFonts w:eastAsia="Calibri"/>
                <w:b/>
                <w:sz w:val="22"/>
                <w:szCs w:val="22"/>
                <w:lang w:val="lt-LT"/>
              </w:rPr>
              <w:t>Reikalaujami parametrai</w:t>
            </w:r>
          </w:p>
        </w:tc>
        <w:tc>
          <w:tcPr>
            <w:tcW w:w="3318" w:type="dxa"/>
            <w:shd w:val="clear" w:color="auto" w:fill="FBE4D5" w:themeFill="accent2" w:themeFillTint="33"/>
            <w:vAlign w:val="center"/>
          </w:tcPr>
          <w:p w14:paraId="3D0321A5" w14:textId="77777777" w:rsidR="00C32846" w:rsidRPr="00A432C6" w:rsidRDefault="00C32846" w:rsidP="00E04BBD">
            <w:pPr>
              <w:jc w:val="center"/>
              <w:rPr>
                <w:rFonts w:eastAsia="Calibri"/>
                <w:b/>
                <w:sz w:val="22"/>
                <w:szCs w:val="22"/>
                <w:lang w:val="lt-LT"/>
              </w:rPr>
            </w:pPr>
            <w:r w:rsidRPr="00A432C6">
              <w:rPr>
                <w:rFonts w:eastAsia="Calibri"/>
                <w:b/>
                <w:sz w:val="22"/>
                <w:szCs w:val="22"/>
                <w:lang w:val="lt-LT"/>
              </w:rPr>
              <w:t>Siūlomi parametrai</w:t>
            </w:r>
          </w:p>
        </w:tc>
      </w:tr>
      <w:tr w:rsidR="00C32846" w:rsidRPr="00A432C6" w14:paraId="2F85B86E" w14:textId="77777777" w:rsidTr="00E04BBD">
        <w:tc>
          <w:tcPr>
            <w:tcW w:w="546" w:type="dxa"/>
            <w:shd w:val="clear" w:color="auto" w:fill="auto"/>
          </w:tcPr>
          <w:p w14:paraId="5FEB4C0B" w14:textId="6D324F03" w:rsidR="00C32846" w:rsidRPr="00A432C6" w:rsidRDefault="00A432C6" w:rsidP="00E04BBD">
            <w:pPr>
              <w:rPr>
                <w:rFonts w:eastAsia="Calibri"/>
                <w:sz w:val="22"/>
                <w:szCs w:val="22"/>
                <w:lang w:val="lt-LT"/>
              </w:rPr>
            </w:pPr>
            <w:r>
              <w:rPr>
                <w:rFonts w:eastAsia="Calibri"/>
                <w:sz w:val="22"/>
                <w:szCs w:val="22"/>
                <w:lang w:val="lt-LT"/>
              </w:rPr>
              <w:t>2.1.</w:t>
            </w:r>
          </w:p>
        </w:tc>
        <w:tc>
          <w:tcPr>
            <w:tcW w:w="5833" w:type="dxa"/>
            <w:shd w:val="clear" w:color="auto" w:fill="auto"/>
          </w:tcPr>
          <w:p w14:paraId="60D136E2" w14:textId="77777777" w:rsidR="00C32846" w:rsidRPr="00A432C6" w:rsidRDefault="00901453" w:rsidP="00E04BBD">
            <w:pPr>
              <w:jc w:val="both"/>
              <w:rPr>
                <w:rFonts w:eastAsia="Calibri"/>
                <w:sz w:val="22"/>
                <w:szCs w:val="22"/>
                <w:lang w:val="lt-LT"/>
              </w:rPr>
            </w:pPr>
            <w:r w:rsidRPr="00A432C6">
              <w:rPr>
                <w:rFonts w:eastAsia="Calibri"/>
                <w:sz w:val="22"/>
                <w:szCs w:val="22"/>
                <w:lang w:val="lt-LT"/>
              </w:rPr>
              <w:t>Į turimą saugią elektroninio parašo sertifikatų laikmeną turi būti įrašyti nauji šio pirkimo 1 dalies reikalavimuose 1.1 ir 1.2 punkte aprašyti sertifikatai, kurių galiojimo laikas ne trumpesnis nei 2 metai.</w:t>
            </w:r>
          </w:p>
        </w:tc>
        <w:tc>
          <w:tcPr>
            <w:tcW w:w="3318" w:type="dxa"/>
            <w:shd w:val="clear" w:color="auto" w:fill="auto"/>
          </w:tcPr>
          <w:p w14:paraId="553363BA" w14:textId="77777777" w:rsidR="00C32846" w:rsidRPr="00A432C6" w:rsidRDefault="00C32846" w:rsidP="00E04BBD">
            <w:pPr>
              <w:rPr>
                <w:rFonts w:eastAsia="Calibri"/>
                <w:sz w:val="22"/>
                <w:szCs w:val="22"/>
                <w:lang w:val="lt-LT"/>
              </w:rPr>
            </w:pPr>
          </w:p>
        </w:tc>
      </w:tr>
    </w:tbl>
    <w:p w14:paraId="38010FFB" w14:textId="77777777" w:rsidR="00C32846" w:rsidRPr="00A432C6" w:rsidRDefault="00C32846" w:rsidP="00C32846">
      <w:pPr>
        <w:ind w:left="567"/>
        <w:jc w:val="both"/>
        <w:rPr>
          <w:rStyle w:val="FontStyle29"/>
          <w:sz w:val="22"/>
          <w:szCs w:val="22"/>
          <w:lang w:val="lt-LT"/>
        </w:rPr>
      </w:pPr>
    </w:p>
    <w:p w14:paraId="1BCED69E" w14:textId="275FCEE5" w:rsidR="006310B6" w:rsidRPr="00A432C6" w:rsidRDefault="00901453" w:rsidP="00A432C6">
      <w:pPr>
        <w:pStyle w:val="ListParagraph"/>
        <w:numPr>
          <w:ilvl w:val="0"/>
          <w:numId w:val="11"/>
        </w:numPr>
        <w:jc w:val="both"/>
        <w:rPr>
          <w:rStyle w:val="FontStyle29"/>
          <w:b/>
          <w:sz w:val="22"/>
          <w:szCs w:val="22"/>
          <w:lang w:val="lt-LT"/>
        </w:rPr>
      </w:pPr>
      <w:r w:rsidRPr="00A432C6">
        <w:rPr>
          <w:rStyle w:val="FontStyle29"/>
          <w:b/>
          <w:sz w:val="22"/>
          <w:szCs w:val="22"/>
          <w:lang w:val="lt-LT"/>
        </w:rPr>
        <w:t>USB laikmenos</w:t>
      </w:r>
      <w:r w:rsidR="00590BB6" w:rsidRPr="00A432C6">
        <w:rPr>
          <w:rStyle w:val="FontStyle29"/>
          <w:b/>
          <w:sz w:val="22"/>
          <w:szCs w:val="22"/>
          <w:lang w:val="lt-LT"/>
        </w:rPr>
        <w:t xml:space="preserve"> </w:t>
      </w:r>
      <w:r w:rsidR="007D1E55" w:rsidRPr="00A432C6">
        <w:rPr>
          <w:rStyle w:val="FontStyle29"/>
          <w:b/>
          <w:sz w:val="22"/>
          <w:szCs w:val="22"/>
          <w:lang w:val="lt-LT"/>
        </w:rPr>
        <w:t>atblokavim</w:t>
      </w:r>
      <w:r w:rsidRPr="00A432C6">
        <w:rPr>
          <w:rStyle w:val="FontStyle29"/>
          <w:b/>
          <w:sz w:val="22"/>
          <w:szCs w:val="22"/>
          <w:lang w:val="lt-LT"/>
        </w:rPr>
        <w:t>as</w:t>
      </w:r>
      <w:r w:rsidR="00A432C6" w:rsidRPr="00A432C6">
        <w:rPr>
          <w:rStyle w:val="FontStyle29"/>
          <w:b/>
          <w:sz w:val="22"/>
          <w:szCs w:val="22"/>
          <w:lang w:val="lt-LT"/>
        </w:rPr>
        <w:t xml:space="preserve"> (200vnt.)</w:t>
      </w:r>
    </w:p>
    <w:p w14:paraId="690C3B58" w14:textId="77777777" w:rsidR="00590BB6" w:rsidRPr="00A432C6" w:rsidRDefault="00590BB6" w:rsidP="00C27EEA">
      <w:pPr>
        <w:ind w:firstLine="567"/>
        <w:jc w:val="both"/>
        <w:rPr>
          <w:rStyle w:val="FontStyle29"/>
          <w:sz w:val="22"/>
          <w:szCs w:val="22"/>
          <w:lang w:val="lt-LT"/>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833"/>
        <w:gridCol w:w="3318"/>
      </w:tblGrid>
      <w:tr w:rsidR="00A432C6" w:rsidRPr="00A432C6" w14:paraId="666553CA" w14:textId="77777777" w:rsidTr="00D04740">
        <w:trPr>
          <w:tblHeader/>
        </w:trPr>
        <w:tc>
          <w:tcPr>
            <w:tcW w:w="546" w:type="dxa"/>
            <w:shd w:val="clear" w:color="auto" w:fill="FBE4D5" w:themeFill="accent2" w:themeFillTint="33"/>
            <w:vAlign w:val="center"/>
          </w:tcPr>
          <w:p w14:paraId="154D97E8" w14:textId="77777777" w:rsidR="00590BB6" w:rsidRPr="00A432C6" w:rsidRDefault="00590BB6" w:rsidP="006310B6">
            <w:pPr>
              <w:jc w:val="center"/>
              <w:rPr>
                <w:rFonts w:eastAsia="Calibri"/>
                <w:b/>
                <w:sz w:val="22"/>
                <w:szCs w:val="22"/>
                <w:lang w:val="lt-LT"/>
              </w:rPr>
            </w:pPr>
            <w:r w:rsidRPr="00A432C6">
              <w:rPr>
                <w:rFonts w:eastAsia="Calibri"/>
                <w:b/>
                <w:sz w:val="22"/>
                <w:szCs w:val="22"/>
                <w:lang w:val="lt-LT"/>
              </w:rPr>
              <w:t>Eil. Nr.</w:t>
            </w:r>
          </w:p>
        </w:tc>
        <w:tc>
          <w:tcPr>
            <w:tcW w:w="5833" w:type="dxa"/>
            <w:shd w:val="clear" w:color="auto" w:fill="FBE4D5" w:themeFill="accent2" w:themeFillTint="33"/>
            <w:vAlign w:val="center"/>
          </w:tcPr>
          <w:p w14:paraId="5CC95933" w14:textId="77777777" w:rsidR="00590BB6" w:rsidRPr="00A432C6" w:rsidRDefault="00590BB6" w:rsidP="006310B6">
            <w:pPr>
              <w:jc w:val="center"/>
              <w:rPr>
                <w:rFonts w:eastAsia="Calibri"/>
                <w:b/>
                <w:sz w:val="22"/>
                <w:szCs w:val="22"/>
                <w:lang w:val="lt-LT"/>
              </w:rPr>
            </w:pPr>
            <w:r w:rsidRPr="00A432C6">
              <w:rPr>
                <w:rFonts w:eastAsia="Calibri"/>
                <w:b/>
                <w:sz w:val="22"/>
                <w:szCs w:val="22"/>
                <w:lang w:val="lt-LT"/>
              </w:rPr>
              <w:t>Reikalaujami parametrai</w:t>
            </w:r>
          </w:p>
        </w:tc>
        <w:tc>
          <w:tcPr>
            <w:tcW w:w="3318" w:type="dxa"/>
            <w:shd w:val="clear" w:color="auto" w:fill="FBE4D5" w:themeFill="accent2" w:themeFillTint="33"/>
            <w:vAlign w:val="center"/>
          </w:tcPr>
          <w:p w14:paraId="336FE307" w14:textId="77777777" w:rsidR="00590BB6" w:rsidRPr="00A432C6" w:rsidRDefault="00590BB6" w:rsidP="006310B6">
            <w:pPr>
              <w:jc w:val="center"/>
              <w:rPr>
                <w:rFonts w:eastAsia="Calibri"/>
                <w:b/>
                <w:sz w:val="22"/>
                <w:szCs w:val="22"/>
                <w:lang w:val="lt-LT"/>
              </w:rPr>
            </w:pPr>
            <w:r w:rsidRPr="00A432C6">
              <w:rPr>
                <w:rFonts w:eastAsia="Calibri"/>
                <w:b/>
                <w:sz w:val="22"/>
                <w:szCs w:val="22"/>
                <w:lang w:val="lt-LT"/>
              </w:rPr>
              <w:t>Siūlomi parametrai</w:t>
            </w:r>
          </w:p>
        </w:tc>
      </w:tr>
      <w:tr w:rsidR="00590BB6" w:rsidRPr="00A432C6" w14:paraId="3E7C4A7A" w14:textId="77777777" w:rsidTr="00244AE7">
        <w:tc>
          <w:tcPr>
            <w:tcW w:w="546" w:type="dxa"/>
            <w:shd w:val="clear" w:color="auto" w:fill="auto"/>
          </w:tcPr>
          <w:p w14:paraId="584C5AD3" w14:textId="3F4073D8" w:rsidR="00590BB6" w:rsidRPr="00A432C6" w:rsidRDefault="00A432C6" w:rsidP="00590BB6">
            <w:pPr>
              <w:rPr>
                <w:rFonts w:eastAsia="Calibri"/>
                <w:sz w:val="22"/>
                <w:szCs w:val="22"/>
                <w:lang w:val="lt-LT"/>
              </w:rPr>
            </w:pPr>
            <w:r>
              <w:rPr>
                <w:rFonts w:eastAsia="Calibri"/>
                <w:sz w:val="22"/>
                <w:szCs w:val="22"/>
                <w:lang w:val="lt-LT"/>
              </w:rPr>
              <w:t>3.1.</w:t>
            </w:r>
          </w:p>
        </w:tc>
        <w:tc>
          <w:tcPr>
            <w:tcW w:w="5833" w:type="dxa"/>
            <w:shd w:val="clear" w:color="auto" w:fill="auto"/>
          </w:tcPr>
          <w:p w14:paraId="044546D1" w14:textId="74313AF3" w:rsidR="00590BB6" w:rsidRPr="00A432C6" w:rsidRDefault="007D1E55" w:rsidP="006310B6">
            <w:pPr>
              <w:jc w:val="both"/>
              <w:rPr>
                <w:rFonts w:eastAsia="Calibri"/>
                <w:sz w:val="22"/>
                <w:szCs w:val="22"/>
                <w:lang w:val="lt-LT"/>
              </w:rPr>
            </w:pPr>
            <w:r w:rsidRPr="00A432C6">
              <w:rPr>
                <w:rFonts w:eastAsia="Calibri"/>
                <w:sz w:val="22"/>
                <w:szCs w:val="22"/>
                <w:lang w:val="lt-LT"/>
              </w:rPr>
              <w:t>Kvalifikuoto parašo turėtojui, dėl jo paties veiksmų, ar dėl kitų priežasčių užblokavus laikmen</w:t>
            </w:r>
            <w:r w:rsidR="00653417" w:rsidRPr="00A432C6">
              <w:rPr>
                <w:rFonts w:eastAsia="Calibri"/>
                <w:sz w:val="22"/>
                <w:szCs w:val="22"/>
                <w:lang w:val="lt-LT"/>
              </w:rPr>
              <w:t>os PIN kodą</w:t>
            </w:r>
            <w:r w:rsidRPr="00A432C6">
              <w:rPr>
                <w:rFonts w:eastAsia="Calibri"/>
                <w:sz w:val="22"/>
                <w:szCs w:val="22"/>
                <w:lang w:val="lt-LT"/>
              </w:rPr>
              <w:t>, paslaugos teikėjas turi atstatyti laikmenos darbingumą (atblokuoti</w:t>
            </w:r>
            <w:r w:rsidR="00653417" w:rsidRPr="00A432C6">
              <w:rPr>
                <w:rFonts w:eastAsia="Calibri"/>
                <w:sz w:val="22"/>
                <w:szCs w:val="22"/>
                <w:lang w:val="lt-LT"/>
              </w:rPr>
              <w:t xml:space="preserve"> PIN kodą</w:t>
            </w:r>
            <w:r w:rsidRPr="00A432C6">
              <w:rPr>
                <w:rFonts w:eastAsia="Calibri"/>
                <w:sz w:val="22"/>
                <w:szCs w:val="22"/>
                <w:lang w:val="lt-LT"/>
              </w:rPr>
              <w:t>) per 3 darbo dienas</w:t>
            </w:r>
          </w:p>
        </w:tc>
        <w:tc>
          <w:tcPr>
            <w:tcW w:w="3318" w:type="dxa"/>
            <w:shd w:val="clear" w:color="auto" w:fill="auto"/>
          </w:tcPr>
          <w:p w14:paraId="70BA848F" w14:textId="77777777" w:rsidR="00590BB6" w:rsidRPr="00A432C6" w:rsidRDefault="00590BB6" w:rsidP="00244AE7">
            <w:pPr>
              <w:rPr>
                <w:rFonts w:eastAsia="Calibri"/>
                <w:sz w:val="22"/>
                <w:szCs w:val="22"/>
                <w:lang w:val="lt-LT"/>
              </w:rPr>
            </w:pPr>
          </w:p>
        </w:tc>
      </w:tr>
    </w:tbl>
    <w:p w14:paraId="4141ECC8" w14:textId="77777777" w:rsidR="00590BB6" w:rsidRPr="00A432C6" w:rsidRDefault="00590BB6" w:rsidP="00C27EEA">
      <w:pPr>
        <w:ind w:firstLine="567"/>
        <w:jc w:val="both"/>
        <w:rPr>
          <w:rStyle w:val="FontStyle29"/>
          <w:sz w:val="22"/>
          <w:szCs w:val="22"/>
          <w:lang w:val="lt-LT"/>
        </w:rPr>
      </w:pPr>
    </w:p>
    <w:p w14:paraId="192592EB" w14:textId="77777777" w:rsidR="00F31DF8" w:rsidRPr="00A432C6" w:rsidRDefault="00F31DF8" w:rsidP="005A64EB">
      <w:pPr>
        <w:spacing w:after="200"/>
        <w:contextualSpacing/>
        <w:jc w:val="center"/>
        <w:rPr>
          <w:b/>
          <w:sz w:val="22"/>
          <w:szCs w:val="22"/>
          <w:lang w:val="lt-LT"/>
        </w:rPr>
      </w:pPr>
      <w:r w:rsidRPr="00A432C6">
        <w:rPr>
          <w:b/>
          <w:sz w:val="22"/>
          <w:szCs w:val="22"/>
          <w:lang w:val="lt-LT"/>
        </w:rPr>
        <w:t xml:space="preserve">II. </w:t>
      </w:r>
      <w:r w:rsidR="009D3E32" w:rsidRPr="00A432C6">
        <w:rPr>
          <w:b/>
          <w:sz w:val="22"/>
          <w:szCs w:val="22"/>
          <w:lang w:val="lt-LT"/>
        </w:rPr>
        <w:t xml:space="preserve">PREKIŲ IR PASLAUGŲ </w:t>
      </w:r>
      <w:r w:rsidRPr="00A432C6">
        <w:rPr>
          <w:b/>
          <w:sz w:val="22"/>
          <w:szCs w:val="22"/>
          <w:lang w:val="lt-LT"/>
        </w:rPr>
        <w:t xml:space="preserve">TEIKIMO </w:t>
      </w:r>
      <w:r w:rsidR="00921153" w:rsidRPr="00A432C6">
        <w:rPr>
          <w:b/>
          <w:sz w:val="22"/>
          <w:szCs w:val="22"/>
          <w:lang w:val="lt-LT"/>
        </w:rPr>
        <w:t>REIKALAVIMAI</w:t>
      </w:r>
    </w:p>
    <w:p w14:paraId="5182082D" w14:textId="77777777" w:rsidR="006310B6" w:rsidRPr="00A432C6" w:rsidRDefault="006310B6" w:rsidP="005A64EB">
      <w:pPr>
        <w:spacing w:after="200"/>
        <w:contextualSpacing/>
        <w:jc w:val="center"/>
        <w:rPr>
          <w:b/>
          <w:sz w:val="22"/>
          <w:szCs w:val="22"/>
          <w:lang w:val="lt-LT"/>
        </w:rPr>
      </w:pPr>
    </w:p>
    <w:p w14:paraId="04809924" w14:textId="77777777" w:rsidR="009D3E32" w:rsidRPr="00A432C6" w:rsidRDefault="0056701B" w:rsidP="00CB2ECC">
      <w:pPr>
        <w:numPr>
          <w:ilvl w:val="0"/>
          <w:numId w:val="9"/>
        </w:numPr>
        <w:tabs>
          <w:tab w:val="left" w:pos="993"/>
        </w:tabs>
        <w:spacing w:after="200"/>
        <w:contextualSpacing/>
        <w:jc w:val="both"/>
        <w:rPr>
          <w:sz w:val="22"/>
          <w:szCs w:val="22"/>
          <w:lang w:val="lt-LT"/>
        </w:rPr>
      </w:pPr>
      <w:r w:rsidRPr="00A432C6">
        <w:rPr>
          <w:sz w:val="22"/>
          <w:szCs w:val="22"/>
          <w:lang w:val="lt-LT"/>
        </w:rPr>
        <w:t xml:space="preserve">Prekės turi būti </w:t>
      </w:r>
      <w:r w:rsidR="00F604F0" w:rsidRPr="00A432C6">
        <w:rPr>
          <w:sz w:val="22"/>
          <w:szCs w:val="22"/>
          <w:lang w:val="lt-LT"/>
        </w:rPr>
        <w:t>pagamintos</w:t>
      </w:r>
      <w:r w:rsidR="009D3E32" w:rsidRPr="00A432C6">
        <w:rPr>
          <w:sz w:val="22"/>
          <w:szCs w:val="22"/>
          <w:lang w:val="lt-LT"/>
        </w:rPr>
        <w:t xml:space="preserve"> ne vėliau kaip per </w:t>
      </w:r>
      <w:r w:rsidR="001D5C86" w:rsidRPr="00A432C6">
        <w:rPr>
          <w:sz w:val="22"/>
          <w:szCs w:val="22"/>
          <w:lang w:val="lt-LT"/>
        </w:rPr>
        <w:t>10</w:t>
      </w:r>
      <w:r w:rsidR="009D3E32" w:rsidRPr="00A432C6">
        <w:rPr>
          <w:sz w:val="22"/>
          <w:szCs w:val="22"/>
          <w:lang w:val="lt-LT"/>
        </w:rPr>
        <w:t xml:space="preserve"> dienų nuo užsakymo pateikimo dienos.</w:t>
      </w:r>
    </w:p>
    <w:p w14:paraId="547FB80B" w14:textId="77777777" w:rsidR="00CB2ECC" w:rsidRPr="00A432C6" w:rsidRDefault="00CB2ECC" w:rsidP="00CB2ECC">
      <w:pPr>
        <w:numPr>
          <w:ilvl w:val="0"/>
          <w:numId w:val="9"/>
        </w:numPr>
        <w:tabs>
          <w:tab w:val="left" w:pos="993"/>
        </w:tabs>
        <w:spacing w:after="200"/>
        <w:contextualSpacing/>
        <w:jc w:val="both"/>
        <w:rPr>
          <w:sz w:val="22"/>
          <w:szCs w:val="22"/>
          <w:lang w:val="lt-LT"/>
        </w:rPr>
      </w:pPr>
      <w:r w:rsidRPr="00A432C6">
        <w:rPr>
          <w:sz w:val="22"/>
          <w:szCs w:val="22"/>
          <w:lang w:val="lt-LT"/>
        </w:rPr>
        <w:t xml:space="preserve">Sugedusios </w:t>
      </w:r>
      <w:r w:rsidR="00190B2B" w:rsidRPr="00A432C6">
        <w:rPr>
          <w:sz w:val="22"/>
          <w:szCs w:val="22"/>
          <w:lang w:val="lt-LT"/>
        </w:rPr>
        <w:t xml:space="preserve">laikmenos, garantinio laikotarpio metu, </w:t>
      </w:r>
      <w:r w:rsidRPr="00A432C6">
        <w:rPr>
          <w:sz w:val="22"/>
          <w:szCs w:val="22"/>
          <w:lang w:val="lt-LT"/>
        </w:rPr>
        <w:t>turi būti pakeistos per 5 darbo dienas.</w:t>
      </w:r>
    </w:p>
    <w:p w14:paraId="42C46027" w14:textId="77777777" w:rsidR="001D351D" w:rsidRPr="00A432C6" w:rsidRDefault="0056701B" w:rsidP="00CB2ECC">
      <w:pPr>
        <w:numPr>
          <w:ilvl w:val="0"/>
          <w:numId w:val="9"/>
        </w:numPr>
        <w:tabs>
          <w:tab w:val="left" w:pos="993"/>
        </w:tabs>
        <w:spacing w:after="200"/>
        <w:contextualSpacing/>
        <w:jc w:val="both"/>
        <w:rPr>
          <w:sz w:val="22"/>
          <w:szCs w:val="22"/>
          <w:lang w:val="lt-LT"/>
        </w:rPr>
      </w:pPr>
      <w:r w:rsidRPr="00A432C6">
        <w:rPr>
          <w:sz w:val="22"/>
          <w:szCs w:val="22"/>
          <w:lang w:val="lt-LT"/>
        </w:rPr>
        <w:t xml:space="preserve">Sertifikatų </w:t>
      </w:r>
      <w:r w:rsidR="00653417" w:rsidRPr="00A432C6">
        <w:rPr>
          <w:sz w:val="22"/>
          <w:szCs w:val="22"/>
          <w:lang w:val="lt-LT"/>
        </w:rPr>
        <w:t xml:space="preserve">laikmenos PIN kodo </w:t>
      </w:r>
      <w:r w:rsidRPr="00A432C6">
        <w:rPr>
          <w:sz w:val="22"/>
          <w:szCs w:val="22"/>
          <w:lang w:val="lt-LT"/>
        </w:rPr>
        <w:t>atblokavimo p</w:t>
      </w:r>
      <w:r w:rsidR="00B93874" w:rsidRPr="00A432C6">
        <w:rPr>
          <w:sz w:val="22"/>
          <w:szCs w:val="22"/>
          <w:lang w:val="lt-LT"/>
        </w:rPr>
        <w:t>aslaug</w:t>
      </w:r>
      <w:r w:rsidR="00F3029B" w:rsidRPr="00A432C6">
        <w:rPr>
          <w:sz w:val="22"/>
          <w:szCs w:val="22"/>
          <w:lang w:val="lt-LT"/>
        </w:rPr>
        <w:t>os</w:t>
      </w:r>
      <w:r w:rsidR="00B93874" w:rsidRPr="00A432C6">
        <w:rPr>
          <w:sz w:val="22"/>
          <w:szCs w:val="22"/>
          <w:lang w:val="lt-LT"/>
        </w:rPr>
        <w:t xml:space="preserve"> turi būti suteikiamos ne </w:t>
      </w:r>
      <w:r w:rsidR="008471A1" w:rsidRPr="00A432C6">
        <w:rPr>
          <w:sz w:val="22"/>
          <w:szCs w:val="22"/>
          <w:lang w:val="lt-LT"/>
        </w:rPr>
        <w:t xml:space="preserve">vėliau </w:t>
      </w:r>
      <w:r w:rsidR="00B93874" w:rsidRPr="00A432C6">
        <w:rPr>
          <w:sz w:val="22"/>
          <w:szCs w:val="22"/>
          <w:lang w:val="lt-LT"/>
        </w:rPr>
        <w:t xml:space="preserve">kaip per </w:t>
      </w:r>
      <w:r w:rsidR="008471A1" w:rsidRPr="00A432C6">
        <w:rPr>
          <w:sz w:val="22"/>
          <w:szCs w:val="22"/>
          <w:lang w:val="lt-LT"/>
        </w:rPr>
        <w:t>3</w:t>
      </w:r>
      <w:r w:rsidR="00B93874" w:rsidRPr="00A432C6">
        <w:rPr>
          <w:sz w:val="22"/>
          <w:szCs w:val="22"/>
          <w:lang w:val="lt-LT"/>
        </w:rPr>
        <w:t xml:space="preserve"> darbo dienas nuo užsakymo pateikimo dienos</w:t>
      </w:r>
      <w:r w:rsidR="001D351D" w:rsidRPr="00A432C6">
        <w:rPr>
          <w:sz w:val="22"/>
          <w:szCs w:val="22"/>
          <w:lang w:val="lt-LT"/>
        </w:rPr>
        <w:t>.</w:t>
      </w:r>
    </w:p>
    <w:p w14:paraId="02A99010" w14:textId="77777777" w:rsidR="00624346" w:rsidRPr="00A432C6" w:rsidRDefault="00624346" w:rsidP="00921153">
      <w:pPr>
        <w:tabs>
          <w:tab w:val="left" w:pos="993"/>
        </w:tabs>
        <w:spacing w:after="200"/>
        <w:contextualSpacing/>
        <w:jc w:val="both"/>
        <w:rPr>
          <w:sz w:val="22"/>
          <w:szCs w:val="22"/>
          <w:lang w:val="lt-LT"/>
        </w:rPr>
      </w:pPr>
    </w:p>
    <w:p w14:paraId="3E086BC3" w14:textId="77777777" w:rsidR="006310B6" w:rsidRPr="00A432C6" w:rsidRDefault="006310B6" w:rsidP="00921153">
      <w:pPr>
        <w:tabs>
          <w:tab w:val="left" w:pos="993"/>
        </w:tabs>
        <w:spacing w:after="200"/>
        <w:contextualSpacing/>
        <w:jc w:val="both"/>
        <w:rPr>
          <w:sz w:val="22"/>
          <w:szCs w:val="22"/>
          <w:lang w:val="lt-LT"/>
        </w:rPr>
      </w:pPr>
    </w:p>
    <w:p w14:paraId="641AE94A" w14:textId="77777777" w:rsidR="00921153" w:rsidRPr="00A432C6" w:rsidRDefault="00921153" w:rsidP="00921153">
      <w:pPr>
        <w:tabs>
          <w:tab w:val="left" w:pos="993"/>
        </w:tabs>
        <w:spacing w:after="200"/>
        <w:contextualSpacing/>
        <w:jc w:val="both"/>
        <w:rPr>
          <w:b/>
          <w:sz w:val="22"/>
          <w:szCs w:val="22"/>
          <w:lang w:val="lt-LT"/>
        </w:rPr>
      </w:pPr>
      <w:r w:rsidRPr="00A432C6">
        <w:rPr>
          <w:sz w:val="22"/>
          <w:szCs w:val="22"/>
          <w:lang w:val="lt-LT"/>
        </w:rPr>
        <w:tab/>
      </w:r>
      <w:r w:rsidRPr="00A432C6">
        <w:rPr>
          <w:sz w:val="22"/>
          <w:szCs w:val="22"/>
          <w:lang w:val="lt-LT"/>
        </w:rPr>
        <w:tab/>
      </w:r>
      <w:r w:rsidRPr="00A432C6">
        <w:rPr>
          <w:sz w:val="22"/>
          <w:szCs w:val="22"/>
          <w:lang w:val="lt-LT"/>
        </w:rPr>
        <w:tab/>
      </w:r>
      <w:r w:rsidRPr="00A432C6">
        <w:rPr>
          <w:b/>
          <w:sz w:val="22"/>
          <w:szCs w:val="22"/>
          <w:lang w:val="lt-LT"/>
        </w:rPr>
        <w:t>III. PASLAUGŲ TEIKIMO PERIODAS</w:t>
      </w:r>
    </w:p>
    <w:p w14:paraId="7774975E" w14:textId="77777777" w:rsidR="006310B6" w:rsidRPr="00A432C6" w:rsidRDefault="006310B6" w:rsidP="00921153">
      <w:pPr>
        <w:tabs>
          <w:tab w:val="left" w:pos="993"/>
        </w:tabs>
        <w:spacing w:after="200"/>
        <w:contextualSpacing/>
        <w:jc w:val="both"/>
        <w:rPr>
          <w:b/>
          <w:sz w:val="22"/>
          <w:szCs w:val="22"/>
          <w:lang w:val="lt-LT"/>
        </w:rPr>
      </w:pPr>
    </w:p>
    <w:p w14:paraId="1C21734E" w14:textId="10451897" w:rsidR="00A617C6" w:rsidRPr="00A432C6" w:rsidRDefault="005A64EB" w:rsidP="00A432C6">
      <w:pPr>
        <w:tabs>
          <w:tab w:val="left" w:pos="851"/>
          <w:tab w:val="left" w:pos="993"/>
        </w:tabs>
        <w:spacing w:after="200"/>
        <w:ind w:left="567"/>
        <w:contextualSpacing/>
        <w:jc w:val="both"/>
        <w:rPr>
          <w:sz w:val="22"/>
          <w:szCs w:val="22"/>
          <w:lang w:val="lt-LT"/>
        </w:rPr>
      </w:pPr>
      <w:r w:rsidRPr="00A432C6">
        <w:rPr>
          <w:sz w:val="22"/>
          <w:szCs w:val="22"/>
          <w:lang w:val="lt-LT"/>
        </w:rPr>
        <w:t>4</w:t>
      </w:r>
      <w:r w:rsidR="00624346" w:rsidRPr="00A432C6">
        <w:rPr>
          <w:sz w:val="22"/>
          <w:szCs w:val="22"/>
          <w:lang w:val="lt-LT"/>
        </w:rPr>
        <w:t>. Pirkimo sutartis sudaroma</w:t>
      </w:r>
      <w:r w:rsidRPr="00A432C6">
        <w:rPr>
          <w:sz w:val="22"/>
          <w:szCs w:val="22"/>
          <w:lang w:val="lt-LT"/>
        </w:rPr>
        <w:t xml:space="preserve"> 24 mėn</w:t>
      </w:r>
      <w:r w:rsidR="006310B6" w:rsidRPr="00A432C6">
        <w:rPr>
          <w:sz w:val="22"/>
          <w:szCs w:val="22"/>
          <w:lang w:val="lt-LT"/>
        </w:rPr>
        <w:t>esių laikotarpiui.</w:t>
      </w:r>
      <w:r w:rsidR="00921153" w:rsidRPr="00A432C6">
        <w:rPr>
          <w:sz w:val="22"/>
          <w:szCs w:val="22"/>
          <w:lang w:val="lt-LT"/>
        </w:rPr>
        <w:tab/>
      </w:r>
      <w:r w:rsidR="00921153" w:rsidRPr="00A432C6">
        <w:rPr>
          <w:sz w:val="22"/>
          <w:szCs w:val="22"/>
          <w:lang w:val="lt-LT"/>
        </w:rPr>
        <w:tab/>
      </w:r>
      <w:r w:rsidR="00921153" w:rsidRPr="00A432C6">
        <w:rPr>
          <w:sz w:val="22"/>
          <w:szCs w:val="22"/>
          <w:lang w:val="lt-LT"/>
        </w:rPr>
        <w:tab/>
      </w:r>
      <w:r w:rsidR="00921153" w:rsidRPr="00A432C6">
        <w:rPr>
          <w:sz w:val="22"/>
          <w:szCs w:val="22"/>
          <w:lang w:val="lt-LT"/>
        </w:rPr>
        <w:tab/>
      </w:r>
      <w:r w:rsidR="00921153" w:rsidRPr="00A432C6">
        <w:rPr>
          <w:sz w:val="22"/>
          <w:szCs w:val="22"/>
          <w:lang w:val="lt-LT"/>
        </w:rPr>
        <w:tab/>
        <w:t xml:space="preserve">                    </w:t>
      </w:r>
    </w:p>
    <w:p w14:paraId="4A5139A6" w14:textId="77777777" w:rsidR="005A64EB" w:rsidRPr="00A432C6" w:rsidRDefault="005A64EB" w:rsidP="00094317">
      <w:pPr>
        <w:spacing w:after="200" w:line="480" w:lineRule="auto"/>
        <w:ind w:left="360"/>
        <w:contextualSpacing/>
        <w:jc w:val="both"/>
        <w:rPr>
          <w:sz w:val="22"/>
          <w:szCs w:val="22"/>
          <w:lang w:val="lt-LT"/>
        </w:rPr>
      </w:pPr>
    </w:p>
    <w:sectPr w:rsidR="005A64EB" w:rsidRPr="00A432C6" w:rsidSect="00CB2ECC">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B36"/>
    <w:multiLevelType w:val="multilevel"/>
    <w:tmpl w:val="2B801420"/>
    <w:lvl w:ilvl="0">
      <w:start w:val="2"/>
      <w:numFmt w:val="decimal"/>
      <w:lvlText w:val="%1."/>
      <w:lvlJc w:val="left"/>
      <w:pPr>
        <w:ind w:left="360" w:hanging="360"/>
      </w:pPr>
    </w:lvl>
    <w:lvl w:ilvl="1">
      <w:start w:val="1"/>
      <w:numFmt w:val="decimal"/>
      <w:lvlText w:val="%1.%2."/>
      <w:lvlJc w:val="left"/>
      <w:pPr>
        <w:ind w:left="1125" w:hanging="360"/>
      </w:pPr>
      <w:rPr>
        <w:b w:val="0"/>
      </w:r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6030" w:hanging="1440"/>
      </w:pPr>
    </w:lvl>
    <w:lvl w:ilvl="7">
      <w:start w:val="1"/>
      <w:numFmt w:val="decimal"/>
      <w:lvlText w:val="%1.%2.%3.%4.%5.%6.%7.%8."/>
      <w:lvlJc w:val="left"/>
      <w:pPr>
        <w:ind w:left="6795" w:hanging="1440"/>
      </w:pPr>
    </w:lvl>
    <w:lvl w:ilvl="8">
      <w:start w:val="1"/>
      <w:numFmt w:val="decimal"/>
      <w:lvlText w:val="%1.%2.%3.%4.%5.%6.%7.%8.%9."/>
      <w:lvlJc w:val="left"/>
      <w:pPr>
        <w:ind w:left="7920" w:hanging="1800"/>
      </w:pPr>
    </w:lvl>
  </w:abstractNum>
  <w:abstractNum w:abstractNumId="1" w15:restartNumberingAfterBreak="0">
    <w:nsid w:val="0BE57166"/>
    <w:multiLevelType w:val="hybridMultilevel"/>
    <w:tmpl w:val="6D446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A1725E"/>
    <w:multiLevelType w:val="singleLevel"/>
    <w:tmpl w:val="4F107174"/>
    <w:lvl w:ilvl="0">
      <w:start w:val="1"/>
      <w:numFmt w:val="decimal"/>
      <w:lvlText w:val="1.%1."/>
      <w:lvlJc w:val="left"/>
      <w:pPr>
        <w:tabs>
          <w:tab w:val="num" w:pos="993"/>
        </w:tabs>
        <w:ind w:left="993" w:firstLine="0"/>
      </w:pPr>
      <w:rPr>
        <w:rFonts w:ascii="Times New Roman" w:hAnsi="Times New Roman" w:cs="Times New Roman" w:hint="default"/>
        <w:b w:val="0"/>
        <w:i w:val="0"/>
      </w:rPr>
    </w:lvl>
  </w:abstractNum>
  <w:abstractNum w:abstractNumId="3" w15:restartNumberingAfterBreak="0">
    <w:nsid w:val="1EC522EB"/>
    <w:multiLevelType w:val="multilevel"/>
    <w:tmpl w:val="0809001F"/>
    <w:lvl w:ilvl="0">
      <w:start w:val="1"/>
      <w:numFmt w:val="decimal"/>
      <w:lvlText w:val="%1."/>
      <w:lvlJc w:val="left"/>
      <w:pPr>
        <w:ind w:left="760" w:hanging="360"/>
      </w:pPr>
    </w:lvl>
    <w:lvl w:ilvl="1">
      <w:start w:val="1"/>
      <w:numFmt w:val="decimal"/>
      <w:lvlText w:val="%1.%2."/>
      <w:lvlJc w:val="left"/>
      <w:pPr>
        <w:ind w:left="432" w:hanging="432"/>
      </w:pPr>
    </w:lvl>
    <w:lvl w:ilvl="2">
      <w:start w:val="1"/>
      <w:numFmt w:val="decimal"/>
      <w:lvlText w:val="%1.%2.%3."/>
      <w:lvlJc w:val="left"/>
      <w:pPr>
        <w:ind w:left="1624" w:hanging="504"/>
      </w:pPr>
    </w:lvl>
    <w:lvl w:ilvl="3">
      <w:start w:val="1"/>
      <w:numFmt w:val="decimal"/>
      <w:lvlText w:val="%1.%2.%3.%4."/>
      <w:lvlJc w:val="left"/>
      <w:pPr>
        <w:ind w:left="2128" w:hanging="648"/>
      </w:pPr>
    </w:lvl>
    <w:lvl w:ilvl="4">
      <w:start w:val="1"/>
      <w:numFmt w:val="decimal"/>
      <w:lvlText w:val="%1.%2.%3.%4.%5."/>
      <w:lvlJc w:val="left"/>
      <w:pPr>
        <w:ind w:left="2632" w:hanging="792"/>
      </w:pPr>
    </w:lvl>
    <w:lvl w:ilvl="5">
      <w:start w:val="1"/>
      <w:numFmt w:val="decimal"/>
      <w:lvlText w:val="%1.%2.%3.%4.%5.%6."/>
      <w:lvlJc w:val="left"/>
      <w:pPr>
        <w:ind w:left="3136" w:hanging="936"/>
      </w:pPr>
    </w:lvl>
    <w:lvl w:ilvl="6">
      <w:start w:val="1"/>
      <w:numFmt w:val="decimal"/>
      <w:lvlText w:val="%1.%2.%3.%4.%5.%6.%7."/>
      <w:lvlJc w:val="left"/>
      <w:pPr>
        <w:ind w:left="3640" w:hanging="1080"/>
      </w:pPr>
    </w:lvl>
    <w:lvl w:ilvl="7">
      <w:start w:val="1"/>
      <w:numFmt w:val="decimal"/>
      <w:lvlText w:val="%1.%2.%3.%4.%5.%6.%7.%8."/>
      <w:lvlJc w:val="left"/>
      <w:pPr>
        <w:ind w:left="4144" w:hanging="1224"/>
      </w:pPr>
    </w:lvl>
    <w:lvl w:ilvl="8">
      <w:start w:val="1"/>
      <w:numFmt w:val="decimal"/>
      <w:lvlText w:val="%1.%2.%3.%4.%5.%6.%7.%8.%9."/>
      <w:lvlJc w:val="left"/>
      <w:pPr>
        <w:ind w:left="4720" w:hanging="1440"/>
      </w:pPr>
    </w:lvl>
  </w:abstractNum>
  <w:abstractNum w:abstractNumId="4" w15:restartNumberingAfterBreak="0">
    <w:nsid w:val="36B634CB"/>
    <w:multiLevelType w:val="hybridMultilevel"/>
    <w:tmpl w:val="3E72E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1178F6"/>
    <w:multiLevelType w:val="hybridMultilevel"/>
    <w:tmpl w:val="924CD912"/>
    <w:lvl w:ilvl="0" w:tplc="AC48E0A4">
      <w:numFmt w:val="bullet"/>
      <w:lvlText w:val="-"/>
      <w:lvlJc w:val="left"/>
      <w:pPr>
        <w:ind w:left="1347" w:hanging="78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498B18FC"/>
    <w:multiLevelType w:val="multilevel"/>
    <w:tmpl w:val="619E61A6"/>
    <w:lvl w:ilvl="0">
      <w:start w:val="3"/>
      <w:numFmt w:val="decimal"/>
      <w:lvlText w:val="%1."/>
      <w:lvlJc w:val="left"/>
      <w:pPr>
        <w:ind w:left="360" w:hanging="360"/>
      </w:pPr>
    </w:lvl>
    <w:lvl w:ilvl="1">
      <w:start w:val="1"/>
      <w:numFmt w:val="decimal"/>
      <w:lvlText w:val="%1.%2."/>
      <w:lvlJc w:val="left"/>
      <w:pPr>
        <w:ind w:left="1125" w:hanging="360"/>
      </w:pPr>
    </w:lvl>
    <w:lvl w:ilvl="2">
      <w:start w:val="1"/>
      <w:numFmt w:val="decimal"/>
      <w:lvlText w:val="%1.%2.%3."/>
      <w:lvlJc w:val="left"/>
      <w:pPr>
        <w:ind w:left="2250" w:hanging="720"/>
      </w:pPr>
    </w:lvl>
    <w:lvl w:ilvl="3">
      <w:start w:val="1"/>
      <w:numFmt w:val="decimal"/>
      <w:lvlText w:val="%1.%2.%3.%4."/>
      <w:lvlJc w:val="left"/>
      <w:pPr>
        <w:ind w:left="3015" w:hanging="720"/>
      </w:pPr>
    </w:lvl>
    <w:lvl w:ilvl="4">
      <w:start w:val="1"/>
      <w:numFmt w:val="decimal"/>
      <w:lvlText w:val="%1.%2.%3.%4.%5."/>
      <w:lvlJc w:val="left"/>
      <w:pPr>
        <w:ind w:left="4140" w:hanging="1080"/>
      </w:pPr>
    </w:lvl>
    <w:lvl w:ilvl="5">
      <w:start w:val="1"/>
      <w:numFmt w:val="decimal"/>
      <w:lvlText w:val="%1.%2.%3.%4.%5.%6."/>
      <w:lvlJc w:val="left"/>
      <w:pPr>
        <w:ind w:left="4905" w:hanging="1080"/>
      </w:pPr>
    </w:lvl>
    <w:lvl w:ilvl="6">
      <w:start w:val="1"/>
      <w:numFmt w:val="decimal"/>
      <w:lvlText w:val="%1.%2.%3.%4.%5.%6.%7."/>
      <w:lvlJc w:val="left"/>
      <w:pPr>
        <w:ind w:left="6030" w:hanging="1440"/>
      </w:pPr>
    </w:lvl>
    <w:lvl w:ilvl="7">
      <w:start w:val="1"/>
      <w:numFmt w:val="decimal"/>
      <w:lvlText w:val="%1.%2.%3.%4.%5.%6.%7.%8."/>
      <w:lvlJc w:val="left"/>
      <w:pPr>
        <w:ind w:left="6795" w:hanging="1440"/>
      </w:pPr>
    </w:lvl>
    <w:lvl w:ilvl="8">
      <w:start w:val="1"/>
      <w:numFmt w:val="decimal"/>
      <w:lvlText w:val="%1.%2.%3.%4.%5.%6.%7.%8.%9."/>
      <w:lvlJc w:val="left"/>
      <w:pPr>
        <w:ind w:left="7920" w:hanging="1800"/>
      </w:pPr>
    </w:lvl>
  </w:abstractNum>
  <w:abstractNum w:abstractNumId="7" w15:restartNumberingAfterBreak="0">
    <w:nsid w:val="4CC262B3"/>
    <w:multiLevelType w:val="hybridMultilevel"/>
    <w:tmpl w:val="BEB81B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4B7E0D"/>
    <w:multiLevelType w:val="hybridMultilevel"/>
    <w:tmpl w:val="3DD47E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60A440E0"/>
    <w:multiLevelType w:val="hybridMultilevel"/>
    <w:tmpl w:val="22A8F0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4A40BC"/>
    <w:multiLevelType w:val="multilevel"/>
    <w:tmpl w:val="D9D2CD04"/>
    <w:lvl w:ilvl="0">
      <w:start w:val="1"/>
      <w:numFmt w:val="decimal"/>
      <w:lvlText w:val="%1."/>
      <w:lvlJc w:val="left"/>
      <w:pPr>
        <w:ind w:left="765" w:hanging="360"/>
      </w:pPr>
    </w:lvl>
    <w:lvl w:ilvl="1">
      <w:start w:val="1"/>
      <w:numFmt w:val="decimal"/>
      <w:lvlText w:val="2.%2"/>
      <w:lvlJc w:val="left"/>
      <w:pPr>
        <w:ind w:left="1170" w:hanging="405"/>
      </w:pPr>
    </w:lvl>
    <w:lvl w:ilvl="2">
      <w:start w:val="1"/>
      <w:numFmt w:val="decimal"/>
      <w:isLgl/>
      <w:lvlText w:val="%1.%2.%3."/>
      <w:lvlJc w:val="left"/>
      <w:pPr>
        <w:ind w:left="1845" w:hanging="720"/>
      </w:pPr>
    </w:lvl>
    <w:lvl w:ilvl="3">
      <w:start w:val="1"/>
      <w:numFmt w:val="decimal"/>
      <w:isLgl/>
      <w:lvlText w:val="%1.%2.%3.%4."/>
      <w:lvlJc w:val="left"/>
      <w:pPr>
        <w:ind w:left="2205" w:hanging="720"/>
      </w:pPr>
    </w:lvl>
    <w:lvl w:ilvl="4">
      <w:start w:val="1"/>
      <w:numFmt w:val="decimal"/>
      <w:isLgl/>
      <w:lvlText w:val="%1.%2.%3.%4.%5."/>
      <w:lvlJc w:val="left"/>
      <w:pPr>
        <w:ind w:left="2925" w:hanging="1080"/>
      </w:pPr>
    </w:lvl>
    <w:lvl w:ilvl="5">
      <w:start w:val="1"/>
      <w:numFmt w:val="decimal"/>
      <w:isLgl/>
      <w:lvlText w:val="%1.%2.%3.%4.%5.%6."/>
      <w:lvlJc w:val="left"/>
      <w:pPr>
        <w:ind w:left="3285" w:hanging="1080"/>
      </w:pPr>
    </w:lvl>
    <w:lvl w:ilvl="6">
      <w:start w:val="1"/>
      <w:numFmt w:val="decimal"/>
      <w:isLgl/>
      <w:lvlText w:val="%1.%2.%3.%4.%5.%6.%7."/>
      <w:lvlJc w:val="left"/>
      <w:pPr>
        <w:ind w:left="4005" w:hanging="1440"/>
      </w:pPr>
    </w:lvl>
    <w:lvl w:ilvl="7">
      <w:start w:val="1"/>
      <w:numFmt w:val="decimal"/>
      <w:isLgl/>
      <w:lvlText w:val="%1.%2.%3.%4.%5.%6.%7.%8."/>
      <w:lvlJc w:val="left"/>
      <w:pPr>
        <w:ind w:left="4365" w:hanging="1440"/>
      </w:pPr>
    </w:lvl>
    <w:lvl w:ilvl="8">
      <w:start w:val="1"/>
      <w:numFmt w:val="decimal"/>
      <w:isLgl/>
      <w:lvlText w:val="%1.%2.%3.%4.%5.%6.%7.%8.%9."/>
      <w:lvlJc w:val="left"/>
      <w:pPr>
        <w:ind w:left="5085" w:hanging="1800"/>
      </w:pPr>
    </w:lvl>
  </w:abstractNum>
  <w:abstractNum w:abstractNumId="11" w15:restartNumberingAfterBreak="0">
    <w:nsid w:val="6A4A78F7"/>
    <w:multiLevelType w:val="singleLevel"/>
    <w:tmpl w:val="E1425DE8"/>
    <w:lvl w:ilvl="0">
      <w:start w:val="5"/>
      <w:numFmt w:val="decimal"/>
      <w:lvlText w:val="1.%1."/>
      <w:lvlJc w:val="left"/>
      <w:pPr>
        <w:tabs>
          <w:tab w:val="num" w:pos="0"/>
        </w:tabs>
        <w:ind w:left="0" w:firstLine="0"/>
      </w:pPr>
      <w:rPr>
        <w:rFonts w:ascii="Times New Roman" w:hAnsi="Times New Roman" w:cs="Times New Roman" w:hint="default"/>
        <w:b w:val="0"/>
        <w:i w:val="0"/>
      </w:rPr>
    </w:lvl>
  </w:abstractNum>
  <w:abstractNum w:abstractNumId="12" w15:restartNumberingAfterBreak="0">
    <w:nsid w:val="6B223DE1"/>
    <w:multiLevelType w:val="hybridMultilevel"/>
    <w:tmpl w:val="3CB0B6D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6C8B6C40"/>
    <w:multiLevelType w:val="hybridMultilevel"/>
    <w:tmpl w:val="B43E3B36"/>
    <w:lvl w:ilvl="0" w:tplc="076E6196">
      <w:start w:val="1"/>
      <w:numFmt w:val="decimal"/>
      <w:lvlText w:val="%1."/>
      <w:lvlJc w:val="left"/>
      <w:pPr>
        <w:ind w:left="927" w:hanging="360"/>
      </w:pPr>
      <w:rPr>
        <w:rFonts w:hint="default"/>
        <w:b w:val="0"/>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11"/>
  </w:num>
  <w:num w:numId="3">
    <w:abstractNumId w:val="3"/>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13"/>
  </w:num>
  <w:num w:numId="10">
    <w:abstractNumId w:val="4"/>
  </w:num>
  <w:num w:numId="11">
    <w:abstractNumId w:val="9"/>
  </w:num>
  <w:num w:numId="12">
    <w:abstractNumId w:val="7"/>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1296"/>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55"/>
    <w:rsid w:val="000773DF"/>
    <w:rsid w:val="00094317"/>
    <w:rsid w:val="000F2862"/>
    <w:rsid w:val="001463D0"/>
    <w:rsid w:val="00190B2B"/>
    <w:rsid w:val="00194BCB"/>
    <w:rsid w:val="001A756D"/>
    <w:rsid w:val="001D351D"/>
    <w:rsid w:val="001D5C86"/>
    <w:rsid w:val="001D7A6E"/>
    <w:rsid w:val="00244AE7"/>
    <w:rsid w:val="002B58FB"/>
    <w:rsid w:val="002F7B55"/>
    <w:rsid w:val="00351862"/>
    <w:rsid w:val="00390532"/>
    <w:rsid w:val="003922A3"/>
    <w:rsid w:val="00395C04"/>
    <w:rsid w:val="004E735C"/>
    <w:rsid w:val="0056701B"/>
    <w:rsid w:val="00590BB6"/>
    <w:rsid w:val="005A64EB"/>
    <w:rsid w:val="00600F80"/>
    <w:rsid w:val="00624346"/>
    <w:rsid w:val="006310B6"/>
    <w:rsid w:val="006324FA"/>
    <w:rsid w:val="00653417"/>
    <w:rsid w:val="007606AA"/>
    <w:rsid w:val="007D1E55"/>
    <w:rsid w:val="008062C0"/>
    <w:rsid w:val="008471A1"/>
    <w:rsid w:val="008E579D"/>
    <w:rsid w:val="00901453"/>
    <w:rsid w:val="00921153"/>
    <w:rsid w:val="009577AC"/>
    <w:rsid w:val="009632EC"/>
    <w:rsid w:val="00984E3D"/>
    <w:rsid w:val="00993C3F"/>
    <w:rsid w:val="009D3E32"/>
    <w:rsid w:val="009F3FD7"/>
    <w:rsid w:val="00A049D3"/>
    <w:rsid w:val="00A432C6"/>
    <w:rsid w:val="00A617C6"/>
    <w:rsid w:val="00A6671F"/>
    <w:rsid w:val="00AC7C21"/>
    <w:rsid w:val="00B2518B"/>
    <w:rsid w:val="00B807D6"/>
    <w:rsid w:val="00B93874"/>
    <w:rsid w:val="00BE2E48"/>
    <w:rsid w:val="00C27EEA"/>
    <w:rsid w:val="00C32846"/>
    <w:rsid w:val="00CB2ECC"/>
    <w:rsid w:val="00CB5234"/>
    <w:rsid w:val="00CD496E"/>
    <w:rsid w:val="00D04740"/>
    <w:rsid w:val="00DE77EB"/>
    <w:rsid w:val="00EE1D4D"/>
    <w:rsid w:val="00F048B0"/>
    <w:rsid w:val="00F3029B"/>
    <w:rsid w:val="00F31DF8"/>
    <w:rsid w:val="00F33047"/>
    <w:rsid w:val="00F60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9A18A"/>
  <w15:chartTrackingRefBased/>
  <w15:docId w15:val="{338949F7-6707-4CA1-AF02-80BD7D3B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B55"/>
    <w:rPr>
      <w:rFonts w:ascii="Times New Roman" w:eastAsia="Times New Roman" w:hAnsi="Times New Roman"/>
      <w:sz w:val="24"/>
      <w:szCs w:val="24"/>
      <w:lang w:val="en-US" w:eastAsia="en-US"/>
    </w:rPr>
  </w:style>
  <w:style w:type="paragraph" w:styleId="Heading3">
    <w:name w:val="heading 3"/>
    <w:basedOn w:val="Normal"/>
    <w:link w:val="Heading3Char"/>
    <w:uiPriority w:val="9"/>
    <w:qFormat/>
    <w:rsid w:val="009632EC"/>
    <w:pPr>
      <w:spacing w:before="100" w:beforeAutospacing="1" w:after="100" w:afterAutospacing="1"/>
      <w:outlineLvl w:val="2"/>
    </w:pPr>
    <w:rPr>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
    <w:name w:val="Style10"/>
    <w:basedOn w:val="Normal"/>
    <w:rsid w:val="002F7B55"/>
    <w:pPr>
      <w:widowControl w:val="0"/>
      <w:autoSpaceDE w:val="0"/>
      <w:autoSpaceDN w:val="0"/>
      <w:adjustRightInd w:val="0"/>
      <w:spacing w:line="418" w:lineRule="exact"/>
      <w:ind w:firstLine="557"/>
      <w:jc w:val="both"/>
    </w:pPr>
    <w:rPr>
      <w:rFonts w:ascii="Impact" w:hAnsi="Impact"/>
      <w:lang w:val="lt-LT" w:eastAsia="lt-LT"/>
    </w:rPr>
  </w:style>
  <w:style w:type="paragraph" w:customStyle="1" w:styleId="Style19">
    <w:name w:val="Style19"/>
    <w:basedOn w:val="Normal"/>
    <w:rsid w:val="002F7B55"/>
    <w:pPr>
      <w:widowControl w:val="0"/>
      <w:autoSpaceDE w:val="0"/>
      <w:autoSpaceDN w:val="0"/>
      <w:adjustRightInd w:val="0"/>
      <w:spacing w:line="418" w:lineRule="exact"/>
      <w:ind w:firstLine="365"/>
      <w:jc w:val="both"/>
    </w:pPr>
    <w:rPr>
      <w:rFonts w:ascii="Impact" w:hAnsi="Impact"/>
      <w:lang w:val="lt-LT" w:eastAsia="lt-LT"/>
    </w:rPr>
  </w:style>
  <w:style w:type="character" w:customStyle="1" w:styleId="FontStyle27">
    <w:name w:val="Font Style27"/>
    <w:rsid w:val="002F7B55"/>
    <w:rPr>
      <w:rFonts w:ascii="Times New Roman" w:hAnsi="Times New Roman" w:cs="Times New Roman"/>
      <w:b/>
      <w:bCs/>
      <w:sz w:val="20"/>
      <w:szCs w:val="20"/>
    </w:rPr>
  </w:style>
  <w:style w:type="character" w:customStyle="1" w:styleId="FontStyle29">
    <w:name w:val="Font Style29"/>
    <w:rsid w:val="002F7B55"/>
    <w:rPr>
      <w:rFonts w:ascii="Times New Roman" w:hAnsi="Times New Roman" w:cs="Times New Roman"/>
      <w:sz w:val="20"/>
      <w:szCs w:val="20"/>
    </w:rPr>
  </w:style>
  <w:style w:type="paragraph" w:styleId="ListParagraph">
    <w:name w:val="List Paragraph"/>
    <w:basedOn w:val="Normal"/>
    <w:uiPriority w:val="34"/>
    <w:qFormat/>
    <w:rsid w:val="002F7B55"/>
    <w:pPr>
      <w:ind w:left="720"/>
      <w:contextualSpacing/>
    </w:pPr>
    <w:rPr>
      <w:szCs w:val="20"/>
      <w:lang w:val="en-GB"/>
    </w:rPr>
  </w:style>
  <w:style w:type="table" w:styleId="TableGrid">
    <w:name w:val="Table Grid"/>
    <w:basedOn w:val="TableNormal"/>
    <w:uiPriority w:val="39"/>
    <w:rsid w:val="00590B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64EB"/>
    <w:rPr>
      <w:color w:val="0563C1"/>
      <w:u w:val="single"/>
    </w:rPr>
  </w:style>
  <w:style w:type="paragraph" w:styleId="BalloonText">
    <w:name w:val="Balloon Text"/>
    <w:basedOn w:val="Normal"/>
    <w:link w:val="BalloonTextChar"/>
    <w:uiPriority w:val="99"/>
    <w:semiHidden/>
    <w:unhideWhenUsed/>
    <w:rsid w:val="00963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EC"/>
    <w:rPr>
      <w:rFonts w:ascii="Segoe UI" w:eastAsia="Times New Roman" w:hAnsi="Segoe UI" w:cs="Segoe UI"/>
      <w:sz w:val="18"/>
      <w:szCs w:val="18"/>
      <w:lang w:val="en-US" w:eastAsia="en-US"/>
    </w:rPr>
  </w:style>
  <w:style w:type="character" w:customStyle="1" w:styleId="Heading3Char">
    <w:name w:val="Heading 3 Char"/>
    <w:basedOn w:val="DefaultParagraphFont"/>
    <w:link w:val="Heading3"/>
    <w:uiPriority w:val="9"/>
    <w:rsid w:val="009632EC"/>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9632EC"/>
    <w:rPr>
      <w:sz w:val="16"/>
      <w:szCs w:val="16"/>
    </w:rPr>
  </w:style>
  <w:style w:type="paragraph" w:styleId="CommentText">
    <w:name w:val="annotation text"/>
    <w:basedOn w:val="Normal"/>
    <w:link w:val="CommentTextChar"/>
    <w:uiPriority w:val="99"/>
    <w:semiHidden/>
    <w:unhideWhenUsed/>
    <w:rsid w:val="009632EC"/>
    <w:rPr>
      <w:sz w:val="20"/>
      <w:szCs w:val="20"/>
    </w:rPr>
  </w:style>
  <w:style w:type="character" w:customStyle="1" w:styleId="CommentTextChar">
    <w:name w:val="Comment Text Char"/>
    <w:basedOn w:val="DefaultParagraphFont"/>
    <w:link w:val="CommentText"/>
    <w:uiPriority w:val="99"/>
    <w:semiHidden/>
    <w:rsid w:val="009632EC"/>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9632EC"/>
    <w:rPr>
      <w:b/>
      <w:bCs/>
    </w:rPr>
  </w:style>
  <w:style w:type="character" w:customStyle="1" w:styleId="CommentSubjectChar">
    <w:name w:val="Comment Subject Char"/>
    <w:basedOn w:val="CommentTextChar"/>
    <w:link w:val="CommentSubject"/>
    <w:uiPriority w:val="99"/>
    <w:semiHidden/>
    <w:rsid w:val="009632EC"/>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7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timaco.com/current-topics/blog/qualified-signature-creation-devices-qscd-under-eidas-example-bank-verla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3A54D-F188-4CC0-AC7B-AB9E66BCBD66}">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7821E6B-3F3F-4B6D-AA15-BA9A86094CCB}">
  <ds:schemaRefs>
    <ds:schemaRef ds:uri="http://schemas.microsoft.com/sharepoint/v3/contenttype/forms"/>
  </ds:schemaRefs>
</ds:datastoreItem>
</file>

<file path=customXml/itemProps3.xml><?xml version="1.0" encoding="utf-8"?>
<ds:datastoreItem xmlns:ds="http://schemas.openxmlformats.org/officeDocument/2006/customXml" ds:itemID="{1B93604A-5DCA-47DB-85D3-D0EE2E785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2499</Words>
  <Characters>1425</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cp:lastModifiedBy>Deimantė Valavičiūtė</cp:lastModifiedBy>
  <cp:revision>2</cp:revision>
  <cp:lastPrinted>2015-10-15T10:14:00Z</cp:lastPrinted>
  <dcterms:created xsi:type="dcterms:W3CDTF">2026-03-17T13:08:00Z</dcterms:created>
  <dcterms:modified xsi:type="dcterms:W3CDTF">2026-03-17T13:08:00Z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