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5A6AD889" w14:textId="14CE57C3" w:rsidR="00A3299F" w:rsidRPr="00B32A24"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 xml:space="preserve">DAUGIABUČIo GYVENAMOJO NAMo, adresu </w:t>
      </w:r>
      <w:r w:rsidR="00CB4BAD">
        <w:rPr>
          <w:rFonts w:asciiTheme="minorHAnsi" w:eastAsia="Arial Unicode MS" w:hAnsiTheme="minorHAnsi" w:cstheme="minorHAnsi"/>
          <w:b/>
          <w:caps/>
        </w:rPr>
        <w:t>AUŠROS G. 67</w:t>
      </w:r>
      <w:r w:rsidR="006D05E7" w:rsidRPr="00B32A24">
        <w:rPr>
          <w:rFonts w:asciiTheme="minorHAnsi" w:eastAsia="Arial Unicode MS" w:hAnsiTheme="minorHAnsi" w:cstheme="minorHAnsi"/>
          <w:b/>
          <w:caps/>
        </w:rPr>
        <w:t>, Utena</w:t>
      </w:r>
      <w:r w:rsidR="00CB4BAD">
        <w:rPr>
          <w:rFonts w:asciiTheme="minorHAnsi" w:eastAsia="Arial Unicode MS" w:hAnsiTheme="minorHAnsi" w:cstheme="minorHAnsi"/>
          <w:b/>
          <w:caps/>
        </w:rPr>
        <w:t xml:space="preserve"> (V, VI LAIPTINĖS) BUITINIŲ NUOTEKŲ VAMZDYNŲ</w:t>
      </w:r>
      <w:r w:rsidR="00E74EA2">
        <w:rPr>
          <w:rFonts w:asciiTheme="minorHAnsi" w:eastAsia="Arial Unicode MS" w:hAnsiTheme="minorHAnsi" w:cstheme="minorHAnsi"/>
          <w:b/>
          <w:caps/>
        </w:rPr>
        <w:t xml:space="preserve"> KEITIMO </w:t>
      </w:r>
      <w:r w:rsidR="006D05E7" w:rsidRPr="00B32A24">
        <w:rPr>
          <w:rFonts w:asciiTheme="minorHAnsi" w:eastAsia="Arial Unicode MS" w:hAnsiTheme="minorHAnsi" w:cstheme="minorHAnsi"/>
          <w:b/>
          <w:caps/>
        </w:rPr>
        <w:t>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47AC133D"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 xml:space="preserve">1.5. 1.5. Tiesioginį ryšį su tiekėjais dėl pirkimo procedūrų įgaliota palaikyti juristę, tel. </w:t>
      </w:r>
      <w:r w:rsidR="00B63551">
        <w:rPr>
          <w:rFonts w:asciiTheme="minorHAnsi" w:hAnsiTheme="minorHAnsi" w:cstheme="minorHAnsi"/>
          <w:noProof/>
        </w:rPr>
        <w:t>+370</w:t>
      </w:r>
      <w:r w:rsidRPr="00B32A24">
        <w:rPr>
          <w:rFonts w:asciiTheme="minorHAnsi" w:hAnsiTheme="minorHAnsi" w:cstheme="minorHAnsi"/>
          <w:noProof/>
        </w:rPr>
        <w:t> 655 06942, el. p. oksana.gile@utbu.lt, dėl pirkimo techninėje specifikacijoje pateiktos informacijos daugiabučių namų priežiūros vadybinink</w:t>
      </w:r>
      <w:r w:rsidR="00B63551">
        <w:rPr>
          <w:rFonts w:asciiTheme="minorHAnsi" w:hAnsiTheme="minorHAnsi" w:cstheme="minorHAnsi"/>
          <w:noProof/>
        </w:rPr>
        <w:t>ą</w:t>
      </w:r>
      <w:r w:rsidR="006D05E7" w:rsidRPr="00B32A24">
        <w:rPr>
          <w:rFonts w:asciiTheme="minorHAnsi" w:hAnsiTheme="minorHAnsi" w:cstheme="minorHAnsi"/>
          <w:noProof/>
        </w:rPr>
        <w:t xml:space="preserve"> </w:t>
      </w:r>
      <w:r w:rsidR="00B63551">
        <w:rPr>
          <w:rFonts w:asciiTheme="minorHAnsi" w:hAnsiTheme="minorHAnsi" w:cstheme="minorHAnsi"/>
          <w:noProof/>
        </w:rPr>
        <w:t>Stasį Alekną</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B63551">
        <w:rPr>
          <w:rFonts w:asciiTheme="minorHAnsi" w:hAnsiTheme="minorHAnsi" w:cstheme="minorHAnsi"/>
          <w:noProof/>
        </w:rPr>
        <w:t>stasys.alekna</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 xml:space="preserve">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w:t>
      </w:r>
      <w:r w:rsidRPr="00B32A24">
        <w:rPr>
          <w:rFonts w:asciiTheme="minorHAnsi" w:hAnsiTheme="minorHAnsi" w:cstheme="minorHAnsi"/>
          <w:lang w:val="lt-LT" w:eastAsia="zh-CN"/>
        </w:rPr>
        <w:lastRenderedPageBreak/>
        <w:t>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1257447B" w:rsidR="0070693C" w:rsidRPr="00B32A24"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daugiabučio namo, adresu </w:t>
      </w:r>
      <w:bookmarkEnd w:id="6"/>
      <w:r w:rsidR="00B63551">
        <w:rPr>
          <w:rFonts w:asciiTheme="minorHAnsi" w:hAnsiTheme="minorHAnsi" w:cstheme="minorHAnsi"/>
        </w:rPr>
        <w:t>Aušros g. 67</w:t>
      </w:r>
      <w:r w:rsidR="00A7105C" w:rsidRPr="00B32A24">
        <w:rPr>
          <w:rFonts w:asciiTheme="minorHAnsi" w:hAnsiTheme="minorHAnsi" w:cstheme="minorHAnsi"/>
        </w:rPr>
        <w:t>, Utena</w:t>
      </w:r>
      <w:r w:rsidR="00B63551">
        <w:rPr>
          <w:rFonts w:asciiTheme="minorHAnsi" w:hAnsiTheme="minorHAnsi" w:cstheme="minorHAnsi"/>
        </w:rPr>
        <w:t xml:space="preserve"> (V ir VI laiptinės)</w:t>
      </w:r>
      <w:r w:rsidR="00A7105C" w:rsidRPr="00B32A24">
        <w:rPr>
          <w:rFonts w:asciiTheme="minorHAnsi" w:hAnsiTheme="minorHAnsi" w:cstheme="minorHAnsi"/>
        </w:rPr>
        <w:t xml:space="preserve">, </w:t>
      </w:r>
      <w:r w:rsidR="00B63551">
        <w:rPr>
          <w:rFonts w:asciiTheme="minorHAnsi" w:hAnsiTheme="minorHAnsi" w:cstheme="minorHAnsi"/>
        </w:rPr>
        <w:t>buitinių nuotekų vamzdynų</w:t>
      </w:r>
      <w:r w:rsidR="00C43BF3" w:rsidRPr="00B32A24">
        <w:rPr>
          <w:rFonts w:asciiTheme="minorHAnsi" w:hAnsiTheme="minorHAnsi" w:cstheme="minorHAnsi"/>
        </w:rPr>
        <w:t xml:space="preserve"> keitimo </w:t>
      </w:r>
      <w:r w:rsidR="0070693C" w:rsidRPr="00B32A24">
        <w:rPr>
          <w:rFonts w:asciiTheme="minorHAnsi" w:hAnsiTheme="minorHAnsi" w:cstheme="minorHAnsi"/>
        </w:rPr>
        <w:t>darbai.</w:t>
      </w:r>
    </w:p>
    <w:p w14:paraId="57D77056" w14:textId="77777777" w:rsidR="00A7105C" w:rsidRPr="00B32A24" w:rsidRDefault="00A3299F"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 Pirkimo objektas į dalis neskirstomas, todėl pasiūlymas turi būti teikiamas visai nurodytai apimčiai. </w:t>
      </w:r>
      <w:r w:rsidRPr="00B32A24">
        <w:rPr>
          <w:rFonts w:asciiTheme="minorHAnsi" w:hAnsiTheme="minorHAnsi" w:cstheme="minorHAnsi"/>
          <w:iCs/>
        </w:rPr>
        <w:t>Alternatyvūs pasiūlymai negalimi.</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0ED22BA"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Detalesnė informacija apie pirkimo objektą pateikiama pirkimo dokumentų 1 priede „Techninė specifikacija“.</w:t>
      </w:r>
      <w:r w:rsidRPr="00B32A24">
        <w:rPr>
          <w:rFonts w:asciiTheme="minorHAnsi" w:hAnsiTheme="minorHAnsi" w:cstheme="minorHAnsi"/>
          <w:lang w:eastAsia="x-none"/>
        </w:rPr>
        <w:t xml:space="preserve"> </w:t>
      </w:r>
      <w:bookmarkStart w:id="8" w:name="_Toc393289930"/>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8"/>
    </w:p>
    <w:p w14:paraId="6E7727CF" w14:textId="1A2F65FA"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6ACD7E02"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B63551">
        <w:rPr>
          <w:rFonts w:asciiTheme="minorHAnsi" w:hAnsiTheme="minorHAnsi" w:cstheme="minorHAnsi"/>
          <w:b/>
        </w:rPr>
        <w:t>45231300</w:t>
      </w:r>
      <w:r w:rsidR="00C43BF3" w:rsidRPr="00B32A24">
        <w:rPr>
          <w:rFonts w:asciiTheme="minorHAnsi" w:hAnsiTheme="minorHAnsi" w:cstheme="minorHAnsi"/>
          <w:b/>
        </w:rPr>
        <w:t xml:space="preserve"> – </w:t>
      </w:r>
      <w:r w:rsidR="00B63551">
        <w:rPr>
          <w:rFonts w:asciiTheme="minorHAnsi" w:hAnsiTheme="minorHAnsi" w:cstheme="minorHAnsi"/>
          <w:b/>
        </w:rPr>
        <w:t>vandentiekio ir kanalizacijos vamzdynų 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9" w:name="_Hlk63070521"/>
      <w:bookmarkStart w:id="10"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9"/>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w:t>
            </w:r>
            <w:r w:rsidRPr="00B32A24">
              <w:rPr>
                <w:rFonts w:asciiTheme="minorHAnsi" w:eastAsia="Calibri" w:hAnsiTheme="minorHAnsi" w:cstheme="minorHAnsi"/>
                <w:kern w:val="2"/>
                <w:lang w:eastAsia="lt-LT"/>
                <w14:ligatures w14:val="standardContextual"/>
              </w:rPr>
              <w:lastRenderedPageBreak/>
              <w:t xml:space="preserve">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r w:rsidRPr="00B32A24">
              <w:rPr>
                <w:rFonts w:asciiTheme="minorHAnsi" w:hAnsiTheme="minorHAnsi" w:cstheme="minorHAnsi"/>
                <w:kern w:val="2"/>
                <w14:ligatures w14:val="standardContextual"/>
              </w:rPr>
              <w:t>Tiekėjas turi turėti teisę vykdyti gyvenamojo pastato bendruosius statybos darbus.</w:t>
            </w:r>
          </w:p>
          <w:p w14:paraId="5E5B4C1B" w14:textId="77777777" w:rsidR="004C6541" w:rsidRPr="00B32A24" w:rsidRDefault="004C6541">
            <w:pPr>
              <w:suppressAutoHyphens w:val="0"/>
              <w:autoSpaceDE w:val="0"/>
              <w:autoSpaceDN/>
              <w:adjustRightInd w:val="0"/>
              <w:spacing w:line="256" w:lineRule="auto"/>
              <w:jc w:val="both"/>
              <w:rPr>
                <w:rFonts w:asciiTheme="minorHAnsi" w:hAnsiTheme="minorHAnsi" w:cstheme="minorHAnsi"/>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p w14:paraId="41AC5AA0" w14:textId="77777777" w:rsidR="004C6541" w:rsidRPr="00B32A24" w:rsidRDefault="004C6541">
            <w:pPr>
              <w:suppressAutoHyphens w:val="0"/>
              <w:spacing w:line="256" w:lineRule="auto"/>
              <w:jc w:val="both"/>
              <w:rPr>
                <w:rFonts w:asciiTheme="minorHAnsi" w:hAnsiTheme="minorHAnsi" w:cstheme="minorHAnsi"/>
                <w:kern w:val="2"/>
                <w14:ligatures w14:val="standardContextual"/>
              </w:rPr>
            </w:pPr>
            <w:r w:rsidRPr="00B32A24">
              <w:rPr>
                <w:rFonts w:asciiTheme="minorHAnsi" w:hAnsiTheme="minorHAnsi" w:cstheme="minorHAnsi"/>
                <w:i/>
                <w:iCs/>
                <w:color w:val="000000"/>
                <w:kern w:val="2"/>
                <w:lang w:eastAsia="ar-SA"/>
                <w14:ligatures w14:val="standardContextual"/>
              </w:rPr>
              <w:t>Pateikiamos skaitmeninės dokumentų kopijos.</w:t>
            </w:r>
          </w:p>
        </w:tc>
      </w:tr>
      <w:tr w:rsidR="004C6541" w:rsidRPr="00B32A24"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arbų sutarties (-</w:t>
            </w:r>
            <w:proofErr w:type="spellStart"/>
            <w:r w:rsidRPr="00B32A24">
              <w:rPr>
                <w:rFonts w:asciiTheme="minorHAnsi" w:eastAsia="Batang" w:hAnsiTheme="minorHAnsi" w:cstheme="minorHAnsi"/>
                <w:kern w:val="2"/>
                <w:lang w:eastAsia="lt-LT" w:bidi="lt-LT"/>
                <w14:ligatures w14:val="standardContextual"/>
              </w:rPr>
              <w:t>čių</w:t>
            </w:r>
            <w:proofErr w:type="spellEnd"/>
            <w:r w:rsidRPr="00B32A24">
              <w:rPr>
                <w:rFonts w:asciiTheme="minorHAnsi" w:eastAsia="Batang" w:hAnsiTheme="minorHAnsi" w:cstheme="minorHAnsi"/>
                <w:kern w:val="2"/>
                <w:lang w:eastAsia="lt-LT" w:bidi="lt-LT"/>
                <w14:ligatures w14:val="standardContextual"/>
              </w:rPr>
              <w:t xml:space="preserve">)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lastRenderedPageBreak/>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B32A24" w14:paraId="298D8D53" w14:textId="77777777" w:rsidTr="006150C5">
        <w:tc>
          <w:tcPr>
            <w:tcW w:w="751" w:type="dxa"/>
            <w:tcBorders>
              <w:top w:val="single" w:sz="4" w:space="0" w:color="auto"/>
              <w:left w:val="single" w:sz="4" w:space="0" w:color="auto"/>
              <w:bottom w:val="single" w:sz="4" w:space="0" w:color="auto"/>
              <w:right w:val="single" w:sz="4" w:space="0" w:color="auto"/>
            </w:tcBorders>
          </w:tcPr>
          <w:p w14:paraId="3CEE3F32" w14:textId="75B2C315"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3.3.4.</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7"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w:t>
      </w:r>
      <w:proofErr w:type="spellStart"/>
      <w:r w:rsidRPr="00B32A24">
        <w:rPr>
          <w:rFonts w:asciiTheme="minorHAnsi" w:eastAsia="Calibri" w:hAnsiTheme="minorHAnsi" w:cstheme="minorHAnsi"/>
          <w:lang w:eastAsia="lt-LT"/>
        </w:rPr>
        <w:t>ių</w:t>
      </w:r>
      <w:proofErr w:type="spellEnd"/>
      <w:r w:rsidRPr="00B32A24">
        <w:rPr>
          <w:rFonts w:asciiTheme="minorHAnsi" w:eastAsia="Calibri" w:hAnsiTheme="minorHAnsi" w:cstheme="minorHAnsi"/>
          <w:lang w:eastAsia="lt-LT"/>
        </w:rPr>
        <w:t xml:space="preserve">) pajėgumais tiekėjas remiasi (išskyrus </w:t>
      </w:r>
      <w:proofErr w:type="spellStart"/>
      <w:r w:rsidRPr="00B32A24">
        <w:rPr>
          <w:rFonts w:asciiTheme="minorHAnsi" w:eastAsia="Calibri" w:hAnsiTheme="minorHAnsi" w:cstheme="minorHAnsi"/>
          <w:lang w:eastAsia="lt-LT"/>
        </w:rPr>
        <w:t>kvazisubtiekėjus</w:t>
      </w:r>
      <w:proofErr w:type="spellEnd"/>
      <w:r w:rsidRPr="00B32A24">
        <w:rPr>
          <w:rFonts w:asciiTheme="minorHAnsi" w:eastAsia="Calibri" w:hAnsiTheme="minorHAnsi" w:cstheme="minorHAns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1"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1"/>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 xml:space="preserve">3.11. Tiekėjas turi užtikrinti, kad jis ir kiti asmenys, veikiantys jo vardu, būtų gavę visus būtinus leidimus, kvalifikacijos atestacijos pažymėjimus ar kitokius dokumentus, leidžiančius </w:t>
      </w:r>
      <w:r w:rsidRPr="00B32A24">
        <w:rPr>
          <w:rFonts w:asciiTheme="minorHAnsi" w:hAnsiTheme="minorHAnsi" w:cstheme="minorHAnsi"/>
          <w:lang w:eastAsia="lt-LT"/>
        </w:rPr>
        <w:lastRenderedPageBreak/>
        <w:t>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0"/>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lastRenderedPageBreak/>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2" w:name="_Toc360582264"/>
      <w:r w:rsidRPr="00B32A24">
        <w:rPr>
          <w:rFonts w:asciiTheme="minorHAnsi" w:hAnsiTheme="minorHAnsi" w:cstheme="minorHAnsi"/>
          <w:b/>
        </w:rPr>
        <w:t>5. PASIŪLYMŲ RENGIMAS, PATEIKIMAS, KEITIMAS</w:t>
      </w:r>
      <w:bookmarkEnd w:id="12"/>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 xml:space="preserve">Visi dokumentai, susiję su </w:t>
      </w:r>
      <w:proofErr w:type="spellStart"/>
      <w:r w:rsidRPr="00B32A24">
        <w:rPr>
          <w:rFonts w:asciiTheme="minorHAnsi" w:hAnsiTheme="minorHAnsi" w:cstheme="minorHAnsi"/>
        </w:rPr>
        <w:t>su</w:t>
      </w:r>
      <w:proofErr w:type="spellEnd"/>
      <w:r w:rsidRPr="00B32A24">
        <w:rPr>
          <w:rFonts w:asciiTheme="minorHAnsi" w:hAnsiTheme="minorHAnsi" w:cstheme="minorHAnsi"/>
        </w:rPr>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32A24">
        <w:rPr>
          <w:rFonts w:asciiTheme="minorHAnsi" w:hAnsiTheme="minorHAnsi" w:cstheme="minorHAnsi"/>
        </w:rPr>
        <w:t>pdf</w:t>
      </w:r>
      <w:proofErr w:type="spellEnd"/>
      <w:r w:rsidRPr="00B32A24">
        <w:rPr>
          <w:rFonts w:asciiTheme="minorHAnsi" w:hAnsiTheme="minorHAnsi" w:cstheme="minorHAnsi"/>
        </w:rPr>
        <w:t xml:space="preserve">, </w:t>
      </w:r>
      <w:proofErr w:type="spellStart"/>
      <w:r w:rsidRPr="00B32A24">
        <w:rPr>
          <w:rFonts w:asciiTheme="minorHAnsi" w:hAnsiTheme="minorHAnsi" w:cstheme="minorHAnsi"/>
        </w:rPr>
        <w:t>doc</w:t>
      </w:r>
      <w:proofErr w:type="spellEnd"/>
      <w:r w:rsidRPr="00B32A24">
        <w:rPr>
          <w:rFonts w:asciiTheme="minorHAnsi" w:hAnsiTheme="minorHAnsi" w:cstheme="minorHAnsi"/>
        </w:rPr>
        <w:t xml:space="preserve">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w:t>
      </w:r>
      <w:r w:rsidRPr="00B32A24">
        <w:rPr>
          <w:rFonts w:asciiTheme="minorHAnsi" w:hAnsiTheme="minorHAnsi" w:cstheme="minorHAnsi"/>
          <w:lang w:eastAsia="lt-LT"/>
        </w:rPr>
        <w:lastRenderedPageBreak/>
        <w:t xml:space="preserve">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nurodytą terminą, kuris negali būti trumpesnis kaip 3 darbo dienos, nepateikia tokių įrodymų arba pateikia netinkamus įrodymus, laikoma, kad tokia informacija 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xml:space="preserve">. Tiekėjams nėra leidžiama pateikti alternatyvius pasiūlymus, </w:t>
      </w:r>
      <w:proofErr w:type="spellStart"/>
      <w:r w:rsidRPr="00B32A24">
        <w:rPr>
          <w:rFonts w:asciiTheme="minorHAnsi" w:hAnsiTheme="minorHAnsi" w:cstheme="minorHAnsi"/>
        </w:rPr>
        <w:t>t.y</w:t>
      </w:r>
      <w:proofErr w:type="spellEnd"/>
      <w:r w:rsidRPr="00B32A24">
        <w:rPr>
          <w:rFonts w:asciiTheme="minorHAnsi" w:hAnsiTheme="minorHAnsi" w:cstheme="minorHAnsi"/>
        </w:rPr>
        <w:t>.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w:t>
      </w:r>
      <w:r w:rsidRPr="00B32A24">
        <w:rPr>
          <w:rFonts w:asciiTheme="minorHAnsi" w:hAnsiTheme="minorHAnsi" w:cstheme="minorHAnsi"/>
        </w:rPr>
        <w:lastRenderedPageBreak/>
        <w:t xml:space="preserve">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naudodamasis CVP IS priemonėmis 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proofErr w:type="spellStart"/>
      <w:r w:rsidRPr="00B32A24">
        <w:rPr>
          <w:rStyle w:val="Hipersaitas"/>
          <w:rFonts w:asciiTheme="minorHAnsi" w:hAnsiTheme="minorHAnsi" w:cstheme="minorHAnsi"/>
          <w:lang w:eastAsia="lt-LT"/>
        </w:rPr>
        <w:t>oksana.gile@utbu.lt</w:t>
      </w:r>
      <w:proofErr w:type="spellEnd"/>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3" w:name="_Toc360582265"/>
      <w:r w:rsidRPr="00B32A24">
        <w:rPr>
          <w:rFonts w:asciiTheme="minorHAnsi" w:hAnsiTheme="minorHAnsi" w:cstheme="minorHAnsi"/>
          <w:b/>
        </w:rPr>
        <w:t>6. PASIŪLYMŲ GALIOJIMAS IR JO UŽTIKRINIMAS</w:t>
      </w:r>
      <w:bookmarkEnd w:id="13"/>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4" w:name="_Toc360582266"/>
      <w:r w:rsidRPr="00B32A24">
        <w:rPr>
          <w:rFonts w:asciiTheme="minorHAnsi" w:hAnsiTheme="minorHAnsi" w:cstheme="minorHAnsi"/>
          <w:b/>
        </w:rPr>
        <w:t>7. VIEŠOJO PIRKIMO DOKUMENTŲ PAAIŠKINIMAS IR PATIKSLINIMAS</w:t>
      </w:r>
      <w:bookmarkEnd w:id="14"/>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lastRenderedPageBreak/>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 xml:space="preserve">Perkantysis </w:t>
      </w:r>
      <w:proofErr w:type="spellStart"/>
      <w:r w:rsidR="003F66B6" w:rsidRPr="00B32A24">
        <w:rPr>
          <w:rFonts w:asciiTheme="minorHAnsi" w:hAnsiTheme="minorHAnsi" w:cstheme="minorHAnsi"/>
        </w:rPr>
        <w:t>subjektas</w:t>
      </w:r>
      <w:r w:rsidRPr="00B32A24">
        <w:rPr>
          <w:rFonts w:asciiTheme="minorHAnsi" w:hAnsiTheme="minorHAnsi" w:cstheme="minorHAnsi"/>
        </w:rPr>
        <w:t>turi</w:t>
      </w:r>
      <w:proofErr w:type="spellEnd"/>
      <w:r w:rsidRPr="00B32A24">
        <w:rPr>
          <w:rFonts w:asciiTheme="minorHAnsi" w:hAnsiTheme="minorHAnsi" w:cstheme="minorHAnsi"/>
        </w:rPr>
        <w:t xml:space="preserve">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5" w:name="_Toc360582267"/>
      <w:r w:rsidRPr="00B32A24">
        <w:rPr>
          <w:rFonts w:asciiTheme="minorHAnsi" w:hAnsiTheme="minorHAnsi" w:cstheme="minorHAnsi"/>
          <w:b/>
        </w:rPr>
        <w:t>8. SUSIPAŽINIMO SU PASIŪLYMAIS PROCEDŪR</w:t>
      </w:r>
      <w:bookmarkEnd w:id="15"/>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16" w:name="_Ref58464669"/>
      <w:bookmarkStart w:id="17"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w:t>
      </w:r>
      <w:proofErr w:type="spellStart"/>
      <w:r w:rsidRPr="00B32A24">
        <w:rPr>
          <w:rFonts w:asciiTheme="minorHAnsi" w:hAnsiTheme="minorHAnsi" w:cstheme="minorHAnsi"/>
          <w:iCs/>
        </w:rPr>
        <w:t>Rašės</w:t>
      </w:r>
      <w:proofErr w:type="spellEnd"/>
      <w:r w:rsidRPr="00B32A24">
        <w:rPr>
          <w:rFonts w:asciiTheme="minorHAnsi" w:hAnsiTheme="minorHAnsi" w:cstheme="minorHAnsi"/>
          <w:iCs/>
        </w:rPr>
        <w:t xml:space="preserve">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9"/>
      <w:bookmarkEnd w:id="16"/>
      <w:bookmarkEnd w:id="17"/>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 xml:space="preserve">Pasiūlyme nurodyta paslaugų kaina visais atvejais turi būti laikoma neįprastai maža, </w:t>
      </w:r>
      <w:r w:rsidRPr="00B32A24">
        <w:rPr>
          <w:rFonts w:asciiTheme="minorHAnsi" w:eastAsia="Calibri" w:hAnsiTheme="minorHAnsi" w:cstheme="minorHAnsi"/>
        </w:rPr>
        <w:lastRenderedPageBreak/>
        <w:t>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lastRenderedPageBreak/>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19" w:name="_Toc360582271"/>
      <w:bookmarkEnd w:id="18"/>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19"/>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0"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w:t>
      </w:r>
      <w:r w:rsidRPr="00B32A24">
        <w:rPr>
          <w:rFonts w:asciiTheme="minorHAnsi" w:eastAsia="Arial Unicode MS" w:hAnsiTheme="minorHAnsi" w:cstheme="minorHAnsi"/>
          <w:bdr w:val="nil"/>
          <w:lang w:eastAsia="lt-LT"/>
        </w:rPr>
        <w:lastRenderedPageBreak/>
        <w:t>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0"/>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w:t>
      </w:r>
      <w:r w:rsidRPr="00B32A24">
        <w:rPr>
          <w:rFonts w:asciiTheme="minorHAnsi" w:hAnsiTheme="minorHAnsi" w:cstheme="minorHAnsi"/>
        </w:rPr>
        <w:lastRenderedPageBreak/>
        <w:t xml:space="preserve">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FC45" w14:textId="77777777" w:rsidR="00A05FF0" w:rsidRDefault="00A05FF0">
      <w:r>
        <w:separator/>
      </w:r>
    </w:p>
  </w:endnote>
  <w:endnote w:type="continuationSeparator" w:id="0">
    <w:p w14:paraId="09407D6E" w14:textId="77777777" w:rsidR="00A05FF0" w:rsidRDefault="00A0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D7D5" w14:textId="77777777" w:rsidR="00A05FF0" w:rsidRDefault="00A05FF0">
      <w:r>
        <w:separator/>
      </w:r>
    </w:p>
  </w:footnote>
  <w:footnote w:type="continuationSeparator" w:id="0">
    <w:p w14:paraId="15C4C07E" w14:textId="77777777" w:rsidR="00A05FF0" w:rsidRDefault="00A05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44A43"/>
    <w:rsid w:val="001E58EE"/>
    <w:rsid w:val="00250DA8"/>
    <w:rsid w:val="002649B9"/>
    <w:rsid w:val="0027615F"/>
    <w:rsid w:val="003979F4"/>
    <w:rsid w:val="003C715D"/>
    <w:rsid w:val="003D510D"/>
    <w:rsid w:val="003F66B6"/>
    <w:rsid w:val="004C029E"/>
    <w:rsid w:val="004C6541"/>
    <w:rsid w:val="00511000"/>
    <w:rsid w:val="00512A61"/>
    <w:rsid w:val="0054233A"/>
    <w:rsid w:val="00685EA1"/>
    <w:rsid w:val="006A468C"/>
    <w:rsid w:val="006B5800"/>
    <w:rsid w:val="006D05E7"/>
    <w:rsid w:val="006D2E1F"/>
    <w:rsid w:val="006F0963"/>
    <w:rsid w:val="0070693C"/>
    <w:rsid w:val="007D1AF4"/>
    <w:rsid w:val="0089700B"/>
    <w:rsid w:val="008B66C8"/>
    <w:rsid w:val="008B755A"/>
    <w:rsid w:val="008D0D48"/>
    <w:rsid w:val="00906DBE"/>
    <w:rsid w:val="00A05FF0"/>
    <w:rsid w:val="00A3299F"/>
    <w:rsid w:val="00A55AB4"/>
    <w:rsid w:val="00A7105C"/>
    <w:rsid w:val="00AD4D7D"/>
    <w:rsid w:val="00AE3C18"/>
    <w:rsid w:val="00AF4A7D"/>
    <w:rsid w:val="00B32A24"/>
    <w:rsid w:val="00B63551"/>
    <w:rsid w:val="00C43BF3"/>
    <w:rsid w:val="00CB4BAD"/>
    <w:rsid w:val="00D25219"/>
    <w:rsid w:val="00D80360"/>
    <w:rsid w:val="00D96F2F"/>
    <w:rsid w:val="00DE58C3"/>
    <w:rsid w:val="00E1200B"/>
    <w:rsid w:val="00E27D9A"/>
    <w:rsid w:val="00E43BDF"/>
    <w:rsid w:val="00E525B0"/>
    <w:rsid w:val="00E74EA2"/>
    <w:rsid w:val="00EB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75F2D"/>
    <w:rsid w:val="002649B9"/>
    <w:rsid w:val="0027615F"/>
    <w:rsid w:val="003C17E3"/>
    <w:rsid w:val="004F509B"/>
    <w:rsid w:val="00512A61"/>
    <w:rsid w:val="00633D5C"/>
    <w:rsid w:val="00650422"/>
    <w:rsid w:val="00685EA1"/>
    <w:rsid w:val="006F0963"/>
    <w:rsid w:val="007358C8"/>
    <w:rsid w:val="009F5F68"/>
    <w:rsid w:val="00AD034C"/>
    <w:rsid w:val="00E27D9A"/>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14</Pages>
  <Words>29099</Words>
  <Characters>16587</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27</cp:revision>
  <cp:lastPrinted>2024-10-13T13:06:00Z</cp:lastPrinted>
  <dcterms:created xsi:type="dcterms:W3CDTF">2024-10-13T12:35:00Z</dcterms:created>
  <dcterms:modified xsi:type="dcterms:W3CDTF">2026-03-18T11:23:00Z</dcterms:modified>
</cp:coreProperties>
</file>