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574C4CB1" w:rsidR="00E16E27" w:rsidRPr="00553CD8" w:rsidRDefault="00E16E27" w:rsidP="00E16E27">
      <w:pPr>
        <w:jc w:val="right"/>
        <w:textAlignment w:val="baseline"/>
        <w:rPr>
          <w:szCs w:val="24"/>
        </w:rPr>
      </w:pPr>
      <w:r>
        <w:rPr>
          <w:szCs w:val="24"/>
        </w:rPr>
        <w:t>Konkurso sąlygų aprašo</w:t>
      </w:r>
      <w:r>
        <w:rPr>
          <w:szCs w:val="24"/>
        </w:rPr>
        <w:br/>
      </w:r>
      <w:r w:rsidR="00792211">
        <w:rPr>
          <w:szCs w:val="24"/>
        </w:rPr>
        <w:t>3</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26A7CE" w:rsidR="00B767F3" w:rsidRPr="00705CC9" w:rsidRDefault="00792211">
            <w:pPr>
              <w:jc w:val="both"/>
              <w:rPr>
                <w:kern w:val="2"/>
                <w:szCs w:val="24"/>
              </w:rPr>
            </w:pPr>
            <w:r>
              <w:rPr>
                <w:rFonts w:eastAsia="TimesNewRomanPS-BoldMT"/>
              </w:rPr>
              <w:t>Lauko garso aparatūra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9E6BBA">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86" w:type="dxa"/>
          </w:tcPr>
          <w:p w14:paraId="1A86750A" w14:textId="389F281D" w:rsidR="00B767F3" w:rsidRDefault="00C8484C">
            <w:pPr>
              <w:jc w:val="center"/>
              <w:rPr>
                <w:kern w:val="2"/>
                <w:szCs w:val="24"/>
              </w:rPr>
            </w:pPr>
            <w:r>
              <w:rPr>
                <w:kern w:val="2"/>
                <w:szCs w:val="24"/>
              </w:rPr>
              <w:t>BĮ Klaipėdos kultūros centras „Žvejų rūmai“</w:t>
            </w:r>
          </w:p>
        </w:tc>
      </w:tr>
      <w:tr w:rsidR="00B767F3" w14:paraId="3C548A23" w14:textId="77777777" w:rsidTr="009E6BBA">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86" w:type="dxa"/>
          </w:tcPr>
          <w:p w14:paraId="79A7FAFC" w14:textId="6B7B3573" w:rsidR="00B767F3" w:rsidRDefault="00C8484C">
            <w:pPr>
              <w:jc w:val="center"/>
              <w:rPr>
                <w:kern w:val="2"/>
                <w:szCs w:val="24"/>
              </w:rPr>
            </w:pPr>
            <w:r w:rsidRPr="008C0F13">
              <w:rPr>
                <w:rFonts w:eastAsia="TimesNewRomanPS-BoldMT"/>
              </w:rPr>
              <w:t>300101454</w:t>
            </w:r>
          </w:p>
        </w:tc>
      </w:tr>
      <w:tr w:rsidR="00B767F3" w14:paraId="7E406A40" w14:textId="77777777" w:rsidTr="009E6BBA">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86" w:type="dxa"/>
          </w:tcPr>
          <w:p w14:paraId="06DD98ED" w14:textId="76A36338" w:rsidR="00B767F3" w:rsidRDefault="00C8484C">
            <w:pPr>
              <w:jc w:val="center"/>
              <w:rPr>
                <w:kern w:val="2"/>
                <w:szCs w:val="24"/>
              </w:rPr>
            </w:pPr>
            <w:r w:rsidRPr="008C0F13">
              <w:rPr>
                <w:rFonts w:eastAsia="TimesNewRomanPS-BoldMT"/>
              </w:rPr>
              <w:t>Taikos pr. 70, LT-93202 Klaipėda</w:t>
            </w:r>
          </w:p>
        </w:tc>
      </w:tr>
      <w:tr w:rsidR="00B767F3" w14:paraId="3B5E3967" w14:textId="77777777" w:rsidTr="009E6BBA">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86"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rsidTr="009E6BBA">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86" w:type="dxa"/>
          </w:tcPr>
          <w:p w14:paraId="6334FED4" w14:textId="10B3CA2C" w:rsidR="00B767F3" w:rsidRPr="00C8484C" w:rsidRDefault="00914277">
            <w:pPr>
              <w:jc w:val="center"/>
              <w:rPr>
                <w:kern w:val="2"/>
                <w:szCs w:val="24"/>
                <w:highlight w:val="yellow"/>
              </w:rPr>
            </w:pPr>
            <w:r w:rsidRPr="007216CC">
              <w:rPr>
                <w:color w:val="000000"/>
                <w:szCs w:val="24"/>
              </w:rPr>
              <w:t>LT97 7300 0100 9334 9364</w:t>
            </w:r>
          </w:p>
        </w:tc>
      </w:tr>
      <w:tr w:rsidR="00B767F3" w14:paraId="1FDDE4A8" w14:textId="77777777" w:rsidTr="009E6BBA">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86" w:type="dxa"/>
          </w:tcPr>
          <w:p w14:paraId="08B8428E" w14:textId="2E8A8703" w:rsidR="00B767F3" w:rsidRPr="00C8484C" w:rsidRDefault="00914277">
            <w:pPr>
              <w:jc w:val="center"/>
              <w:rPr>
                <w:kern w:val="2"/>
                <w:szCs w:val="24"/>
                <w:highlight w:val="yellow"/>
              </w:rPr>
            </w:pPr>
            <w:r w:rsidRPr="007216CC">
              <w:rPr>
                <w:kern w:val="2"/>
                <w:szCs w:val="24"/>
              </w:rPr>
              <w:t>AB „Swedbank“ kodas 73000</w:t>
            </w:r>
          </w:p>
        </w:tc>
      </w:tr>
      <w:tr w:rsidR="00B767F3" w14:paraId="708A92F3" w14:textId="77777777" w:rsidTr="009E6BBA">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86" w:type="dxa"/>
          </w:tcPr>
          <w:p w14:paraId="46DEE882" w14:textId="21E2AFAA" w:rsidR="00B767F3" w:rsidRDefault="00C8484C">
            <w:pPr>
              <w:jc w:val="center"/>
              <w:rPr>
                <w:kern w:val="2"/>
                <w:szCs w:val="24"/>
              </w:rPr>
            </w:pPr>
            <w:r w:rsidRPr="00C8484C">
              <w:rPr>
                <w:kern w:val="2"/>
                <w:szCs w:val="24"/>
              </w:rPr>
              <w:t>+370 46 410565</w:t>
            </w:r>
          </w:p>
        </w:tc>
      </w:tr>
      <w:tr w:rsidR="00B767F3" w14:paraId="78C537A6" w14:textId="77777777" w:rsidTr="009E6BBA">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86" w:type="dxa"/>
          </w:tcPr>
          <w:p w14:paraId="575F296E" w14:textId="7BD69708" w:rsidR="00B767F3" w:rsidRDefault="00C8484C">
            <w:pPr>
              <w:jc w:val="center"/>
              <w:rPr>
                <w:kern w:val="2"/>
                <w:szCs w:val="24"/>
              </w:rPr>
            </w:pPr>
            <w:r w:rsidRPr="00C8484C">
              <w:rPr>
                <w:kern w:val="2"/>
                <w:szCs w:val="24"/>
              </w:rPr>
              <w:t>info@zvejurumai.lt</w:t>
            </w:r>
          </w:p>
        </w:tc>
      </w:tr>
      <w:tr w:rsidR="00B767F3" w14:paraId="75BE758F" w14:textId="77777777" w:rsidTr="009E6BBA">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86" w:type="dxa"/>
          </w:tcPr>
          <w:p w14:paraId="50696116" w14:textId="58D6875A" w:rsidR="00B767F3" w:rsidRDefault="00C8484C">
            <w:pPr>
              <w:jc w:val="center"/>
              <w:rPr>
                <w:kern w:val="2"/>
                <w:szCs w:val="24"/>
              </w:rPr>
            </w:pPr>
            <w:r>
              <w:rPr>
                <w:kern w:val="2"/>
                <w:szCs w:val="24"/>
              </w:rPr>
              <w:t>Direktorė Kristina Jakštė</w:t>
            </w:r>
          </w:p>
        </w:tc>
      </w:tr>
      <w:tr w:rsidR="00B767F3" w14:paraId="10B903FF" w14:textId="77777777" w:rsidTr="009E6BBA">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86" w:type="dxa"/>
          </w:tcPr>
          <w:p w14:paraId="0A30E475" w14:textId="4B9F6379" w:rsidR="00B767F3" w:rsidRDefault="00914277">
            <w:pPr>
              <w:jc w:val="center"/>
              <w:rPr>
                <w:kern w:val="2"/>
                <w:szCs w:val="24"/>
              </w:rPr>
            </w:pPr>
            <w:r w:rsidRPr="00807D82">
              <w:rPr>
                <w:color w:val="000000" w:themeColor="text1"/>
                <w:kern w:val="2"/>
                <w:szCs w:val="24"/>
              </w:rPr>
              <w:t>Veikia pagal įstaigos nuostatus</w:t>
            </w:r>
          </w:p>
        </w:tc>
      </w:tr>
      <w:tr w:rsidR="00B767F3" w14:paraId="297540DE" w14:textId="77777777" w:rsidTr="009E6BBA">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86" w:type="dxa"/>
          </w:tcPr>
          <w:p w14:paraId="4CA678CD" w14:textId="77777777" w:rsidR="00B767F3" w:rsidRDefault="00B767F3">
            <w:pPr>
              <w:jc w:val="center"/>
              <w:rPr>
                <w:kern w:val="2"/>
                <w:szCs w:val="24"/>
              </w:rPr>
            </w:pPr>
          </w:p>
        </w:tc>
      </w:tr>
      <w:tr w:rsidR="00B767F3" w14:paraId="5A1F4414" w14:textId="77777777" w:rsidTr="009E6BBA">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86" w:type="dxa"/>
          </w:tcPr>
          <w:p w14:paraId="2F2FDC32" w14:textId="77777777" w:rsidR="00B767F3" w:rsidRDefault="00B767F3">
            <w:pPr>
              <w:jc w:val="center"/>
              <w:rPr>
                <w:kern w:val="2"/>
                <w:szCs w:val="24"/>
              </w:rPr>
            </w:pPr>
          </w:p>
        </w:tc>
      </w:tr>
      <w:tr w:rsidR="00B767F3" w14:paraId="677DD19F" w14:textId="77777777" w:rsidTr="009E6BBA">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86" w:type="dxa"/>
          </w:tcPr>
          <w:p w14:paraId="2209A7F9" w14:textId="77777777" w:rsidR="00B767F3" w:rsidRDefault="00B767F3">
            <w:pPr>
              <w:jc w:val="center"/>
              <w:rPr>
                <w:kern w:val="2"/>
                <w:szCs w:val="24"/>
              </w:rPr>
            </w:pPr>
          </w:p>
        </w:tc>
      </w:tr>
      <w:tr w:rsidR="00B767F3" w14:paraId="6997CCAA" w14:textId="77777777" w:rsidTr="009E6BBA">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86" w:type="dxa"/>
          </w:tcPr>
          <w:p w14:paraId="664E6C26" w14:textId="77777777" w:rsidR="00B767F3" w:rsidRDefault="00B767F3">
            <w:pPr>
              <w:jc w:val="center"/>
              <w:rPr>
                <w:kern w:val="2"/>
                <w:szCs w:val="24"/>
              </w:rPr>
            </w:pPr>
          </w:p>
        </w:tc>
      </w:tr>
      <w:tr w:rsidR="00B767F3" w14:paraId="56511B3F" w14:textId="77777777" w:rsidTr="009E6BBA">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86" w:type="dxa"/>
          </w:tcPr>
          <w:p w14:paraId="5E8603EA" w14:textId="77777777" w:rsidR="00B767F3" w:rsidRDefault="00B767F3">
            <w:pPr>
              <w:jc w:val="center"/>
              <w:rPr>
                <w:kern w:val="2"/>
                <w:szCs w:val="24"/>
              </w:rPr>
            </w:pPr>
          </w:p>
        </w:tc>
      </w:tr>
      <w:tr w:rsidR="00B767F3" w14:paraId="76D25D72" w14:textId="77777777" w:rsidTr="009E6BBA">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86" w:type="dxa"/>
          </w:tcPr>
          <w:p w14:paraId="5F1D0193" w14:textId="77777777" w:rsidR="00B767F3" w:rsidRDefault="00B767F3">
            <w:pPr>
              <w:jc w:val="center"/>
              <w:rPr>
                <w:kern w:val="2"/>
                <w:szCs w:val="24"/>
              </w:rPr>
            </w:pPr>
          </w:p>
        </w:tc>
      </w:tr>
      <w:tr w:rsidR="00B767F3" w14:paraId="76CF2E45" w14:textId="77777777" w:rsidTr="009E6BBA">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86" w:type="dxa"/>
          </w:tcPr>
          <w:p w14:paraId="04882A66" w14:textId="77777777" w:rsidR="00B767F3" w:rsidRDefault="00B767F3">
            <w:pPr>
              <w:jc w:val="center"/>
              <w:rPr>
                <w:kern w:val="2"/>
                <w:szCs w:val="24"/>
              </w:rPr>
            </w:pPr>
          </w:p>
        </w:tc>
      </w:tr>
      <w:tr w:rsidR="00B767F3" w14:paraId="269EEE8D" w14:textId="77777777" w:rsidTr="009E6BBA">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86" w:type="dxa"/>
          </w:tcPr>
          <w:p w14:paraId="2F7E9821" w14:textId="77777777" w:rsidR="00B767F3" w:rsidRDefault="00B767F3">
            <w:pPr>
              <w:jc w:val="center"/>
              <w:rPr>
                <w:kern w:val="2"/>
                <w:szCs w:val="24"/>
              </w:rPr>
            </w:pPr>
          </w:p>
        </w:tc>
      </w:tr>
      <w:tr w:rsidR="00B767F3" w14:paraId="0CC1CDFC" w14:textId="77777777" w:rsidTr="009E6BBA">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86" w:type="dxa"/>
          </w:tcPr>
          <w:p w14:paraId="4158F528" w14:textId="77777777" w:rsidR="00B767F3" w:rsidRDefault="00B767F3">
            <w:pPr>
              <w:jc w:val="center"/>
              <w:rPr>
                <w:kern w:val="2"/>
                <w:szCs w:val="24"/>
              </w:rPr>
            </w:pPr>
          </w:p>
        </w:tc>
      </w:tr>
      <w:tr w:rsidR="00B767F3" w14:paraId="5CEC3529" w14:textId="77777777" w:rsidTr="009E6BBA">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86"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rsidP="00792211">
            <w:pPr>
              <w:jc w:val="both"/>
              <w:rPr>
                <w:color w:val="4472C4"/>
                <w:kern w:val="2"/>
                <w:szCs w:val="24"/>
              </w:rPr>
            </w:pPr>
            <w:r>
              <w:rPr>
                <w:kern w:val="2"/>
                <w:szCs w:val="24"/>
              </w:rPr>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0"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743C82DD" w:rsidR="00B767F3" w:rsidRPr="001153C2" w:rsidRDefault="00DD7479" w:rsidP="00792211">
            <w:pPr>
              <w:jc w:val="both"/>
              <w:rPr>
                <w:kern w:val="2"/>
                <w:szCs w:val="24"/>
              </w:rPr>
            </w:pPr>
            <w:r w:rsidRPr="001153C2">
              <w:rPr>
                <w:kern w:val="2"/>
                <w:szCs w:val="24"/>
              </w:rPr>
              <w:t xml:space="preserve">Tiekėjas įsipareigoja Sutartyje numatytomis sąlygomis perduoti Pirkėjui </w:t>
            </w:r>
            <w:r w:rsidRPr="00AD0254">
              <w:rPr>
                <w:color w:val="000000" w:themeColor="text1"/>
                <w:kern w:val="2"/>
                <w:szCs w:val="24"/>
              </w:rPr>
              <w:t xml:space="preserve">Prekes </w:t>
            </w:r>
            <w:r w:rsidR="001153C2" w:rsidRPr="00AD0254">
              <w:rPr>
                <w:color w:val="000000" w:themeColor="text1"/>
                <w:kern w:val="2"/>
                <w:szCs w:val="24"/>
              </w:rPr>
              <w:t xml:space="preserve">– </w:t>
            </w:r>
            <w:r w:rsidR="00705CC9" w:rsidRPr="00AD0254">
              <w:rPr>
                <w:color w:val="000000" w:themeColor="text1"/>
                <w:kern w:val="2"/>
                <w:szCs w:val="24"/>
              </w:rPr>
              <w:t>garso aparatūrą</w:t>
            </w:r>
            <w:r w:rsidR="001153C2" w:rsidRPr="00AD0254">
              <w:rPr>
                <w:color w:val="000000" w:themeColor="text1"/>
                <w:kern w:val="2"/>
                <w:szCs w:val="24"/>
              </w:rPr>
              <w:t xml:space="preserve"> bei susijusias paslaugas – prek</w:t>
            </w:r>
            <w:r w:rsidR="00705CC9" w:rsidRPr="00AD0254">
              <w:rPr>
                <w:color w:val="000000" w:themeColor="text1"/>
                <w:kern w:val="2"/>
                <w:szCs w:val="24"/>
              </w:rPr>
              <w:t>ių</w:t>
            </w:r>
            <w:r w:rsidR="001153C2" w:rsidRPr="00AD0254">
              <w:rPr>
                <w:color w:val="000000" w:themeColor="text1"/>
                <w:kern w:val="2"/>
                <w:szCs w:val="24"/>
              </w:rPr>
              <w:t xml:space="preserve"> </w:t>
            </w:r>
            <w:r w:rsidR="00705CC9" w:rsidRPr="00AD0254">
              <w:rPr>
                <w:color w:val="000000" w:themeColor="text1"/>
                <w:kern w:val="2"/>
                <w:szCs w:val="24"/>
              </w:rPr>
              <w:t>pristatymą,</w:t>
            </w:r>
            <w:r w:rsidR="002833F2">
              <w:rPr>
                <w:color w:val="000000" w:themeColor="text1"/>
                <w:kern w:val="2"/>
                <w:szCs w:val="24"/>
              </w:rPr>
              <w:t xml:space="preserve"> surinkimą, derinimą</w:t>
            </w:r>
            <w:r w:rsidR="00705CC9" w:rsidRPr="00AD0254">
              <w:rPr>
                <w:color w:val="000000" w:themeColor="text1"/>
                <w:kern w:val="2"/>
                <w:szCs w:val="24"/>
              </w:rPr>
              <w:t xml:space="preserve"> </w:t>
            </w:r>
            <w:r w:rsidR="001153C2" w:rsidRPr="00AD0254">
              <w:rPr>
                <w:color w:val="000000" w:themeColor="text1"/>
                <w:kern w:val="2"/>
                <w:szCs w:val="24"/>
              </w:rPr>
              <w:t xml:space="preserve">bei personalo apmokymą naudotis preke </w:t>
            </w:r>
            <w:r w:rsidRPr="00AD0254">
              <w:rPr>
                <w:color w:val="000000" w:themeColor="text1"/>
                <w:kern w:val="2"/>
                <w:szCs w:val="24"/>
              </w:rPr>
              <w:t>(toliau – Prekės).</w:t>
            </w:r>
          </w:p>
          <w:p w14:paraId="74009C55" w14:textId="6E290B4D" w:rsidR="00B767F3" w:rsidRDefault="00DD7479" w:rsidP="00792211">
            <w:pPr>
              <w:jc w:val="both"/>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7F32CA9E" w:rsidR="00B767F3" w:rsidRPr="00936116" w:rsidRDefault="00E565A9" w:rsidP="00033879">
            <w:pPr>
              <w:jc w:val="both"/>
              <w:rPr>
                <w:i/>
                <w:iCs/>
                <w:kern w:val="2"/>
                <w:szCs w:val="24"/>
              </w:rPr>
            </w:pPr>
            <w:r w:rsidRPr="00033879">
              <w:rPr>
                <w:iCs/>
                <w:color w:val="000000" w:themeColor="text1"/>
                <w:kern w:val="2"/>
                <w:szCs w:val="24"/>
              </w:rPr>
              <w:t>Lauko garso aparatūros pirkimas supaprastinto atviro konkurs</w:t>
            </w:r>
            <w:r w:rsidR="00033879">
              <w:rPr>
                <w:iCs/>
                <w:color w:val="000000" w:themeColor="text1"/>
                <w:kern w:val="2"/>
                <w:szCs w:val="24"/>
              </w:rPr>
              <w:t>o</w:t>
            </w:r>
            <w:r w:rsidRPr="00033879">
              <w:rPr>
                <w:iCs/>
                <w:color w:val="000000" w:themeColor="text1"/>
                <w:kern w:val="2"/>
                <w:szCs w:val="24"/>
              </w:rPr>
              <w:t xml:space="preserve"> būdu (CVP IS ID</w:t>
            </w:r>
            <w:r w:rsidRPr="00033879">
              <w:rPr>
                <w:i/>
                <w:iCs/>
                <w:color w:val="000000" w:themeColor="text1"/>
                <w:kern w:val="2"/>
                <w:szCs w:val="24"/>
              </w:rPr>
              <w:t xml:space="preserve"> </w:t>
            </w:r>
            <w:r>
              <w:rPr>
                <w:i/>
                <w:iCs/>
                <w:color w:val="4472C4"/>
                <w:kern w:val="2"/>
                <w:szCs w:val="24"/>
              </w:rPr>
              <w:t>(</w:t>
            </w:r>
            <w:r w:rsidR="00936116" w:rsidRPr="00936116">
              <w:rPr>
                <w:i/>
                <w:iCs/>
                <w:color w:val="4472C4"/>
                <w:kern w:val="2"/>
                <w:szCs w:val="24"/>
              </w:rPr>
              <w:t>įrašyti</w:t>
            </w:r>
            <w:r>
              <w:rPr>
                <w:i/>
                <w:iCs/>
                <w:color w:val="4472C4"/>
                <w:kern w:val="2"/>
                <w:szCs w:val="24"/>
              </w:rPr>
              <w:t>)</w:t>
            </w:r>
            <w:r w:rsidRPr="00033879">
              <w:rPr>
                <w:i/>
                <w:iCs/>
                <w:color w:val="000000" w:themeColor="text1"/>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34C0C136" w:rsidR="00B767F3" w:rsidRDefault="00DD7479" w:rsidP="003B331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1F47E4">
              <w:rPr>
                <w:b/>
                <w:bCs/>
                <w:kern w:val="2"/>
                <w:szCs w:val="24"/>
              </w:rPr>
              <w:t xml:space="preserve">per </w:t>
            </w:r>
            <w:r w:rsidR="00792211">
              <w:rPr>
                <w:b/>
                <w:bCs/>
                <w:kern w:val="2"/>
                <w:szCs w:val="24"/>
              </w:rPr>
              <w:t>2</w:t>
            </w:r>
            <w:r w:rsidR="00FA1F2A" w:rsidRPr="00936116">
              <w:rPr>
                <w:b/>
                <w:bCs/>
                <w:kern w:val="2"/>
                <w:szCs w:val="24"/>
              </w:rPr>
              <w:t xml:space="preserve"> (</w:t>
            </w:r>
            <w:r w:rsidR="00792211">
              <w:rPr>
                <w:b/>
                <w:bCs/>
                <w:kern w:val="2"/>
                <w:szCs w:val="24"/>
              </w:rPr>
              <w:t>du</w:t>
            </w:r>
            <w:r w:rsidR="00FA1F2A" w:rsidRPr="00936116">
              <w:rPr>
                <w:b/>
                <w:bCs/>
                <w:kern w:val="2"/>
                <w:szCs w:val="24"/>
              </w:rPr>
              <w:t>) mėnesius</w:t>
            </w:r>
            <w:r w:rsidR="00FA1F2A">
              <w:rPr>
                <w:kern w:val="2"/>
                <w:szCs w:val="24"/>
              </w:rPr>
              <w:t xml:space="preserve"> </w:t>
            </w:r>
            <w:r>
              <w:rPr>
                <w:color w:val="000000"/>
                <w:kern w:val="2"/>
                <w:szCs w:val="24"/>
              </w:rPr>
              <w:t xml:space="preserve">nuo Sutarties įsigaliojimo dienos šiuo adresu: </w:t>
            </w:r>
            <w:r w:rsidR="00FA1F2A" w:rsidRPr="007E3D1A">
              <w:rPr>
                <w:color w:val="000000"/>
                <w:szCs w:val="24"/>
              </w:rPr>
              <w:t>Taikos pr. 70, Klaipėda</w:t>
            </w:r>
            <w:r w:rsidR="00FA1F2A" w:rsidRPr="005625C1">
              <w:rPr>
                <w:szCs w:val="24"/>
              </w:rPr>
              <w:t>.</w:t>
            </w:r>
            <w:r w:rsidR="00FA1F2A">
              <w:rPr>
                <w:szCs w:val="24"/>
              </w:rPr>
              <w:t xml:space="preserve"> </w:t>
            </w:r>
          </w:p>
          <w:p w14:paraId="692B09C4" w14:textId="79B6C8A2" w:rsidR="00B767F3" w:rsidRDefault="00B767F3">
            <w:pPr>
              <w:textAlignment w:val="baseline"/>
              <w:rPr>
                <w:szCs w:val="24"/>
              </w:rPr>
            </w:pP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620D8010" w:rsidR="00B767F3" w:rsidRDefault="001F47E4" w:rsidP="0003387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006452A0" w:rsidRPr="00E565A9">
              <w:rPr>
                <w:b/>
                <w:kern w:val="2"/>
                <w:szCs w:val="24"/>
              </w:rPr>
              <w:t>5</w:t>
            </w:r>
            <w:r w:rsidR="00033879">
              <w:rPr>
                <w:b/>
                <w:kern w:val="2"/>
                <w:szCs w:val="24"/>
              </w:rPr>
              <w:t xml:space="preserve"> (penkias) darbo dienas, </w:t>
            </w:r>
            <w:r w:rsidRPr="00DF40BD">
              <w:rPr>
                <w:kern w:val="2"/>
                <w:szCs w:val="24"/>
              </w:rPr>
              <w:t xml:space="preserve">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rsidP="00792211">
            <w:pPr>
              <w:jc w:val="both"/>
              <w:rPr>
                <w:kern w:val="2"/>
                <w:szCs w:val="24"/>
              </w:rPr>
            </w:pPr>
            <w:r>
              <w:rPr>
                <w:kern w:val="2"/>
                <w:szCs w:val="24"/>
              </w:rPr>
              <w:t>Kartu su Prekėmis pateikiami šie dokumentai:</w:t>
            </w:r>
          </w:p>
          <w:p w14:paraId="3F0DE75D" w14:textId="77777777" w:rsidR="00E3035F" w:rsidRDefault="00E3035F" w:rsidP="00792211">
            <w:pPr>
              <w:jc w:val="both"/>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0FD2BCB1" w14:textId="63F31B9A" w:rsidR="00E3035F" w:rsidRDefault="00E3035F" w:rsidP="00792211">
            <w:pPr>
              <w:jc w:val="both"/>
              <w:rPr>
                <w:color w:val="4472C4"/>
                <w:kern w:val="2"/>
                <w:szCs w:val="24"/>
              </w:rPr>
            </w:pPr>
            <w:r>
              <w:rPr>
                <w:color w:val="4472C4"/>
                <w:kern w:val="2"/>
                <w:szCs w:val="24"/>
              </w:rPr>
              <w:t xml:space="preserve">- </w:t>
            </w:r>
            <w:r>
              <w:t xml:space="preserve">Prekių </w:t>
            </w:r>
            <w:r w:rsidR="001F47E4">
              <w:t>priežiūros ir naudojimosi instrukcijas</w:t>
            </w:r>
            <w:r w:rsidR="00BC6342">
              <w:t xml:space="preserve"> (originalo kalba);</w:t>
            </w:r>
            <w:r>
              <w:rPr>
                <w:color w:val="4472C4"/>
                <w:kern w:val="2"/>
                <w:szCs w:val="24"/>
              </w:rPr>
              <w:t xml:space="preserve"> </w:t>
            </w:r>
          </w:p>
          <w:p w14:paraId="7E525CB4" w14:textId="7D37C843" w:rsidR="00E3035F" w:rsidRDefault="00E3035F" w:rsidP="00792211">
            <w:pPr>
              <w:jc w:val="both"/>
            </w:pPr>
            <w:r>
              <w:t xml:space="preserve">- </w:t>
            </w:r>
            <w:r w:rsidR="00BC6342">
              <w:t>Prekių naudojimosi aprašą lietuvių kalba, patvarioje laikmenoje</w:t>
            </w:r>
            <w:r w:rsidR="00BC6342">
              <w:rPr>
                <w:rStyle w:val="Puslapioinaosnuoroda"/>
              </w:rPr>
              <w:footnoteReference w:id="1"/>
            </w:r>
            <w:r w:rsidR="00EE4497">
              <w:t>;</w:t>
            </w:r>
          </w:p>
          <w:p w14:paraId="600AAEA5" w14:textId="13AD911B" w:rsidR="00EE4497" w:rsidRDefault="00EE4497" w:rsidP="00792211">
            <w:pPr>
              <w:jc w:val="both"/>
              <w:rPr>
                <w:color w:val="4472C4"/>
                <w:kern w:val="2"/>
                <w:szCs w:val="24"/>
              </w:rPr>
            </w:pPr>
            <w:r>
              <w:rPr>
                <w:color w:val="4472C4"/>
                <w:kern w:val="2"/>
                <w:szCs w:val="24"/>
              </w:rPr>
              <w:t xml:space="preserve">- </w:t>
            </w:r>
            <w:r w:rsidR="00FA686B" w:rsidRPr="00535771">
              <w:rPr>
                <w:color w:val="000000" w:themeColor="text1"/>
                <w:kern w:val="2"/>
                <w:szCs w:val="24"/>
              </w:rPr>
              <w:t>T</w:t>
            </w:r>
            <w:r w:rsidR="00FA686B" w:rsidRPr="007677BF">
              <w:t>iekėjo ir (ar) gamintojo patvirtinimas (deklaracija) arba kiti lygiaverčiai įrodymai, patvirtinantys prekių garantijos terminą.</w:t>
            </w:r>
          </w:p>
          <w:p w14:paraId="75089EB3" w14:textId="77777777" w:rsidR="00936116" w:rsidRDefault="00936116" w:rsidP="00792211">
            <w:pPr>
              <w:jc w:val="both"/>
              <w:rPr>
                <w:kern w:val="2"/>
                <w:szCs w:val="24"/>
              </w:rPr>
            </w:pPr>
          </w:p>
          <w:p w14:paraId="73FFA04B" w14:textId="5DB7F396" w:rsidR="00B767F3" w:rsidRDefault="00DD7479" w:rsidP="00792211">
            <w:pPr>
              <w:jc w:val="both"/>
              <w:rPr>
                <w:kern w:val="2"/>
                <w:szCs w:val="24"/>
              </w:rPr>
            </w:pPr>
            <w:r>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79221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79221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79221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79221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rsidP="00792211">
            <w:pPr>
              <w:jc w:val="both"/>
              <w:rPr>
                <w:color w:val="4472C4"/>
                <w:kern w:val="2"/>
              </w:rPr>
            </w:pPr>
            <w:r w:rsidRPr="00936116">
              <w:rPr>
                <w:kern w:val="2"/>
                <w:szCs w:val="24"/>
              </w:rPr>
              <w:t xml:space="preserve">Sutarties kaina bus </w:t>
            </w:r>
            <w:r>
              <w:rPr>
                <w:kern w:val="2"/>
                <w:szCs w:val="24"/>
              </w:rPr>
              <w:t>perskaičiuojam</w:t>
            </w:r>
            <w:r w:rsidR="00E3035F">
              <w:rPr>
                <w:kern w:val="2"/>
                <w:szCs w:val="24"/>
              </w:rPr>
              <w:t>a</w:t>
            </w:r>
            <w:r w:rsidR="00936116">
              <w:rPr>
                <w:kern w:val="2"/>
                <w:szCs w:val="24"/>
              </w:rPr>
              <w:t xml:space="preserve"> </w:t>
            </w:r>
            <w:r>
              <w:rPr>
                <w:kern w:val="2"/>
                <w:szCs w:val="24"/>
              </w:rPr>
              <w:t>dėl PVM tarifo pasikeitimo</w:t>
            </w:r>
            <w:r w:rsidR="00E3035F">
              <w:rPr>
                <w:kern w:val="2"/>
                <w:szCs w:val="24"/>
              </w:rPr>
              <w:t>.</w:t>
            </w:r>
          </w:p>
          <w:p w14:paraId="7CE73E9A" w14:textId="7853F1E5" w:rsidR="00B767F3" w:rsidRDefault="00B767F3" w:rsidP="00792211">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67DD9E08" w:rsidR="00B767F3" w:rsidRPr="00DA09F0" w:rsidRDefault="00DD7479" w:rsidP="00792211">
            <w:pPr>
              <w:jc w:val="both"/>
              <w:rPr>
                <w:color w:val="FF0000"/>
                <w:kern w:val="2"/>
              </w:rPr>
            </w:pPr>
            <w:r>
              <w:rPr>
                <w:kern w:val="2"/>
              </w:rPr>
              <w:t xml:space="preserve">Perskaičiavimas įforminamas Susitarimu ne vėliau kaip per </w:t>
            </w:r>
            <w:r w:rsidR="00DA09F0">
              <w:rPr>
                <w:kern w:val="2"/>
              </w:rPr>
              <w:t xml:space="preserve">10 (dešimt) darbo dienų </w:t>
            </w:r>
            <w:r>
              <w:rPr>
                <w:kern w:val="2"/>
              </w:rPr>
              <w:t xml:space="preserve">nuo PVM mokėjimą reglamentuojančių teisės aktų pasikeitimo, kuris tampa neatskiriama Sutarties dalimi. Perskaičiuota Sutarties kaina taikoma už tą Prekių dalį, </w:t>
            </w:r>
            <w:r w:rsidRPr="00DA09F0">
              <w:rPr>
                <w:kern w:val="2"/>
              </w:rPr>
              <w:t>kurios bus tiekiamos nuo Šalių pasirašyto Susitarimo įsigaliojimo dienos</w:t>
            </w:r>
            <w:r w:rsidR="00BC6342">
              <w:rPr>
                <w:kern w:val="2"/>
              </w:rPr>
              <w:t>.</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792211">
            <w:pPr>
              <w:jc w:val="both"/>
              <w:rPr>
                <w:kern w:val="2"/>
                <w:szCs w:val="24"/>
              </w:rPr>
            </w:pPr>
            <w:r>
              <w:rPr>
                <w:kern w:val="2"/>
                <w:szCs w:val="24"/>
              </w:rPr>
              <w:t>Netaikoma</w:t>
            </w:r>
          </w:p>
          <w:p w14:paraId="3E0BF6EB" w14:textId="6F0B337D" w:rsidR="00B767F3" w:rsidRDefault="00B767F3" w:rsidP="00792211">
            <w:pPr>
              <w:jc w:val="both"/>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lastRenderedPageBreak/>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B767F3" w:rsidRDefault="00DD7479" w:rsidP="00792211">
            <w:pPr>
              <w:jc w:val="both"/>
              <w:rPr>
                <w:kern w:val="2"/>
                <w:szCs w:val="24"/>
              </w:rPr>
            </w:pPr>
            <w:r>
              <w:rPr>
                <w:kern w:val="2"/>
                <w:szCs w:val="24"/>
              </w:rPr>
              <w:t xml:space="preserve">Pirkėjas atsiskaito su Tiekėju ne vėliau kaip per </w:t>
            </w:r>
            <w:r w:rsidR="00454797">
              <w:rPr>
                <w:kern w:val="2"/>
                <w:szCs w:val="24"/>
              </w:rPr>
              <w:t xml:space="preserve">30 (trisdešimt) kalendorinių dienų </w:t>
            </w:r>
            <w:r>
              <w:rPr>
                <w:kern w:val="2"/>
                <w:szCs w:val="24"/>
              </w:rPr>
              <w:t>nuo Sąskaitos gavimo dienos.</w:t>
            </w:r>
          </w:p>
          <w:p w14:paraId="04C22127" w14:textId="6F5DD1AB" w:rsidR="00B767F3" w:rsidRPr="00454797" w:rsidRDefault="00DD7479" w:rsidP="00792211">
            <w:pPr>
              <w:jc w:val="both"/>
              <w:rPr>
                <w:color w:val="000000"/>
                <w:kern w:val="2"/>
                <w:szCs w:val="24"/>
                <w:shd w:val="clear" w:color="auto" w:fill="FFFFFF"/>
              </w:rPr>
            </w:pPr>
            <w:r w:rsidRPr="00454797">
              <w:rPr>
                <w:kern w:val="2"/>
                <w:szCs w:val="24"/>
                <w:shd w:val="clear" w:color="auto" w:fill="FFFFFF"/>
              </w:rPr>
              <w:t>Apmokėjimo sąlygos</w:t>
            </w:r>
            <w:r w:rsidR="00454797" w:rsidRPr="00454797">
              <w:rPr>
                <w:kern w:val="2"/>
                <w:szCs w:val="24"/>
                <w:shd w:val="clear" w:color="auto" w:fill="FFFFFF"/>
              </w:rPr>
              <w:t xml:space="preserve">: </w:t>
            </w:r>
            <w:r w:rsidRPr="00454797">
              <w:rPr>
                <w:kern w:val="2"/>
                <w:szCs w:val="24"/>
                <w:shd w:val="clear" w:color="auto" w:fill="FFFFFF"/>
              </w:rPr>
              <w:t>įvykdžius visus sutartinius įsipareigojimus, sumokama</w:t>
            </w:r>
            <w:r w:rsidR="00B93A66">
              <w:rPr>
                <w:kern w:val="2"/>
                <w:szCs w:val="24"/>
                <w:shd w:val="clear" w:color="auto" w:fill="FFFFFF"/>
              </w:rPr>
              <w:t xml:space="preserve"> </w:t>
            </w:r>
            <w:r w:rsidR="004324B2">
              <w:rPr>
                <w:kern w:val="2"/>
                <w:szCs w:val="24"/>
                <w:shd w:val="clear" w:color="auto" w:fill="FFFFFF"/>
              </w:rPr>
              <w:t>visa</w:t>
            </w:r>
            <w:r w:rsidR="00B93A66">
              <w:rPr>
                <w:kern w:val="2"/>
                <w:szCs w:val="24"/>
                <w:shd w:val="clear" w:color="auto" w:fill="FFFFFF"/>
              </w:rPr>
              <w:t xml:space="preserve">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065B5AC6" w:rsidR="00B767F3" w:rsidRDefault="00DD7479" w:rsidP="00792211">
            <w:pPr>
              <w:jc w:val="both"/>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yra </w:t>
            </w:r>
            <w:r w:rsidR="00FA7754">
              <w:rPr>
                <w:kern w:val="2"/>
                <w:szCs w:val="24"/>
              </w:rPr>
              <w:t xml:space="preserve">ne mažesnis </w:t>
            </w:r>
            <w:r w:rsidR="00FA7754" w:rsidRPr="002A16E0">
              <w:rPr>
                <w:color w:val="000000" w:themeColor="text1"/>
                <w:kern w:val="2"/>
                <w:szCs w:val="24"/>
              </w:rPr>
              <w:t xml:space="preserve">kaip </w:t>
            </w:r>
            <w:r w:rsidR="00EA25FB" w:rsidRPr="002A16E0">
              <w:rPr>
                <w:color w:val="000000" w:themeColor="text1"/>
                <w:kern w:val="2"/>
                <w:szCs w:val="24"/>
              </w:rPr>
              <w:t xml:space="preserve">12 </w:t>
            </w:r>
            <w:r w:rsidR="00FA7754" w:rsidRPr="002A16E0">
              <w:rPr>
                <w:color w:val="000000" w:themeColor="text1"/>
                <w:kern w:val="2"/>
                <w:szCs w:val="24"/>
              </w:rPr>
              <w:t xml:space="preserve">mėn. ar ne mažesnis kaip 36 mėn. (konkretus garantinis terminas prekėms nurodytas Techninėje specifikacijoje prie konkrečios prekės pozicijos).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sidP="00792211">
            <w:pPr>
              <w:jc w:val="both"/>
            </w:pPr>
            <w:r>
              <w:t xml:space="preserve">Garantinio termino laikotarpiu nustačius Prekių trūkumų, Tiekėjas turi </w:t>
            </w:r>
            <w:r>
              <w:rPr>
                <w:b/>
                <w:bCs/>
              </w:rPr>
              <w:t>ne vėliau kaip</w:t>
            </w:r>
            <w:r>
              <w:t xml:space="preserve"> per </w:t>
            </w:r>
            <w:r w:rsidR="007751AF">
              <w:t xml:space="preserve">20 (dvidešimt) darbo dienų </w:t>
            </w:r>
            <w:r>
              <w:t>nuo rašytinės pretenzijos gavimo dienos pašalinti Prekių trūkumus.</w:t>
            </w:r>
          </w:p>
          <w:p w14:paraId="768CD3B5" w14:textId="77777777" w:rsidR="00B767F3" w:rsidRDefault="00B767F3" w:rsidP="00792211">
            <w:pPr>
              <w:jc w:val="both"/>
              <w:rPr>
                <w:color w:val="FF0000"/>
                <w:kern w:val="2"/>
                <w:szCs w:val="24"/>
              </w:rPr>
            </w:pPr>
          </w:p>
          <w:p w14:paraId="19A8D037" w14:textId="16CEC7AF" w:rsidR="00B767F3" w:rsidRDefault="00DD7479" w:rsidP="00792211">
            <w:pPr>
              <w:jc w:val="both"/>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54536663" w:rsidR="00B767F3" w:rsidRDefault="00792211" w:rsidP="00792211">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4121AC">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B767F3" w:rsidRPr="00C75043" w:rsidRDefault="00DD7479" w:rsidP="004121AC">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C75043" w:rsidRPr="004324B2">
              <w:rPr>
                <w:szCs w:val="24"/>
                <w:lang w:val="lt"/>
              </w:rPr>
              <w:t>0,</w:t>
            </w:r>
            <w:r w:rsidR="004324B2" w:rsidRPr="004324B2">
              <w:rPr>
                <w:szCs w:val="24"/>
                <w:lang w:val="lt"/>
              </w:rPr>
              <w:t>02</w:t>
            </w:r>
            <w:r w:rsidR="00C75043" w:rsidRPr="00C75043">
              <w:rPr>
                <w:szCs w:val="24"/>
                <w:lang w:val="lt"/>
              </w:rPr>
              <w:t xml:space="preserve"> (</w:t>
            </w:r>
            <w:r w:rsidR="004324B2" w:rsidRPr="004324B2">
              <w:rPr>
                <w:szCs w:val="24"/>
                <w:lang w:val="lt"/>
              </w:rPr>
              <w:t>dvi šimtosios</w:t>
            </w:r>
            <w:r w:rsidR="00C75043" w:rsidRPr="00C75043">
              <w:rPr>
                <w:szCs w:val="24"/>
                <w:lang w:val="lt"/>
              </w:rPr>
              <w:t xml:space="preserve">) </w:t>
            </w:r>
            <w:bookmarkStart w:id="0" w:name="_Hlk207801384"/>
            <w:r w:rsidRPr="00C75043">
              <w:rPr>
                <w:kern w:val="2"/>
              </w:rPr>
              <w:t xml:space="preserve">dydžio delspinigius </w:t>
            </w:r>
            <w:bookmarkStart w:id="1" w:name="_Hlk207801371"/>
            <w:r w:rsidRPr="00C75043">
              <w:rPr>
                <w:kern w:val="2"/>
              </w:rPr>
              <w:t>už kiekvieną uždelstą dieną nuo laiku neperduotų Prekių ar Prekių, turinčių trūkumų, kainos be PVM. </w:t>
            </w:r>
            <w:r w:rsidR="00C75043" w:rsidRPr="00C75043">
              <w:rPr>
                <w:kern w:val="2"/>
              </w:rPr>
              <w:t xml:space="preserve"> </w:t>
            </w:r>
            <w:bookmarkEnd w:id="0"/>
          </w:p>
          <w:bookmarkEnd w:id="1"/>
          <w:p w14:paraId="610DA498" w14:textId="12545775" w:rsidR="00B767F3" w:rsidRPr="00C75043" w:rsidRDefault="00DD7479" w:rsidP="004121AC">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C75043">
              <w:rPr>
                <w:szCs w:val="24"/>
                <w:lang w:val="lt"/>
              </w:rPr>
              <w:t xml:space="preserve">(dvi šimtosios) procento dydžio delspinigius </w:t>
            </w:r>
            <w:bookmarkEnd w:id="2"/>
            <w:r w:rsidRPr="00C75043">
              <w:rPr>
                <w:szCs w:val="24"/>
                <w:lang w:val="lt"/>
              </w:rPr>
              <w:t>už kiekvieną uždelstą dieną nuo laiku negrąžintos permokos, kainos be PVM.</w:t>
            </w:r>
          </w:p>
          <w:p w14:paraId="63704FE1" w14:textId="3B977B1D" w:rsidR="00B767F3" w:rsidRPr="00C75043" w:rsidRDefault="00DD7479" w:rsidP="004121AC">
            <w:pPr>
              <w:jc w:val="both"/>
              <w:rPr>
                <w:b/>
                <w:kern w:val="2"/>
              </w:rPr>
            </w:pPr>
            <w:r w:rsidRPr="00C75043">
              <w:rPr>
                <w:kern w:val="2"/>
              </w:rPr>
              <w:t>9.2.3. Tiekėjas priva</w:t>
            </w:r>
            <w:r w:rsidRPr="00475016">
              <w:rPr>
                <w:color w:val="000000" w:themeColor="text1"/>
                <w:kern w:val="2"/>
              </w:rPr>
              <w:t xml:space="preserve">lo sumokėti Pirkėjui netesybas per </w:t>
            </w:r>
            <w:r w:rsidR="00475016" w:rsidRPr="00475016">
              <w:rPr>
                <w:color w:val="000000" w:themeColor="text1"/>
                <w:kern w:val="2"/>
              </w:rPr>
              <w:t>1</w:t>
            </w:r>
            <w:r w:rsidR="00E36837" w:rsidRPr="00475016">
              <w:rPr>
                <w:color w:val="000000" w:themeColor="text1"/>
                <w:kern w:val="2"/>
              </w:rPr>
              <w:t>0</w:t>
            </w:r>
            <w:r w:rsidR="00C75043" w:rsidRPr="00475016">
              <w:rPr>
                <w:color w:val="000000" w:themeColor="text1"/>
                <w:kern w:val="2"/>
              </w:rPr>
              <w:t xml:space="preserve"> (</w:t>
            </w:r>
            <w:r w:rsidR="00475016" w:rsidRPr="00475016">
              <w:rPr>
                <w:color w:val="000000" w:themeColor="text1"/>
                <w:kern w:val="2"/>
              </w:rPr>
              <w:t>dešimt</w:t>
            </w:r>
            <w:r w:rsidR="00C75043" w:rsidRPr="00475016">
              <w:rPr>
                <w:color w:val="000000" w:themeColor="text1"/>
                <w:kern w:val="2"/>
              </w:rPr>
              <w:t xml:space="preserve">) </w:t>
            </w:r>
            <w:r w:rsidR="00475016" w:rsidRPr="00475016">
              <w:rPr>
                <w:color w:val="000000" w:themeColor="text1"/>
                <w:kern w:val="2"/>
              </w:rPr>
              <w:t>kalendorinių</w:t>
            </w:r>
            <w:r w:rsidR="00C75043" w:rsidRPr="00475016">
              <w:rPr>
                <w:color w:val="000000" w:themeColor="text1"/>
                <w:kern w:val="2"/>
              </w:rPr>
              <w:t xml:space="preserve"> </w:t>
            </w:r>
            <w:r w:rsidRPr="00475016">
              <w:rPr>
                <w:color w:val="000000" w:themeColor="text1"/>
                <w:kern w:val="2"/>
              </w:rPr>
              <w:t xml:space="preserve">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792211" w:rsidRPr="00475016" w:rsidRDefault="00792211" w:rsidP="00792211">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792211" w:rsidRDefault="00792211" w:rsidP="00792211">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0AAC32DF" w:rsidR="00B767F3" w:rsidRDefault="00041773" w:rsidP="004121AC">
            <w:pPr>
              <w:jc w:val="both"/>
              <w:rPr>
                <w:kern w:val="2"/>
                <w:szCs w:val="24"/>
              </w:rPr>
            </w:pPr>
            <w:r>
              <w:rPr>
                <w:bCs/>
                <w:color w:val="000000"/>
                <w:kern w:val="2"/>
                <w:szCs w:val="24"/>
              </w:rPr>
              <w:t>5</w:t>
            </w:r>
            <w:r w:rsidR="00792211">
              <w:rPr>
                <w:bCs/>
                <w:color w:val="000000"/>
                <w:kern w:val="2"/>
                <w:szCs w:val="24"/>
              </w:rPr>
              <w:t>00</w:t>
            </w:r>
            <w:r w:rsidR="002F316A" w:rsidRPr="000C709B">
              <w:rPr>
                <w:bCs/>
                <w:color w:val="000000"/>
                <w:kern w:val="2"/>
                <w:szCs w:val="24"/>
              </w:rPr>
              <w:t xml:space="preserve"> (</w:t>
            </w:r>
            <w:r>
              <w:rPr>
                <w:bCs/>
                <w:color w:val="000000"/>
                <w:kern w:val="2"/>
                <w:szCs w:val="24"/>
              </w:rPr>
              <w:t>penki</w:t>
            </w:r>
            <w:r w:rsidR="002F316A">
              <w:rPr>
                <w:bCs/>
                <w:color w:val="000000"/>
                <w:kern w:val="2"/>
                <w:szCs w:val="24"/>
              </w:rPr>
              <w:t xml:space="preserve"> šimtai</w:t>
            </w:r>
            <w:r w:rsidR="002F316A"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5559DB4E" w:rsidR="00B767F3" w:rsidRPr="009A4206" w:rsidRDefault="009A4206" w:rsidP="004121AC">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13.1 p. nesilaikymą, bus taikoma bauda 300 (trys šimtai)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4591328" w14:textId="74E2A56D" w:rsidR="00BF5577" w:rsidRPr="00F51E11" w:rsidRDefault="00792211" w:rsidP="00BF5577">
            <w:pPr>
              <w:rPr>
                <w:color w:val="4472C4"/>
                <w:kern w:val="2"/>
                <w:szCs w:val="24"/>
              </w:rPr>
            </w:pPr>
            <w:r>
              <w:rPr>
                <w:kern w:val="2"/>
                <w:szCs w:val="24"/>
              </w:rPr>
              <w:t>Netaikoma</w:t>
            </w:r>
          </w:p>
          <w:p w14:paraId="5C591A2E" w14:textId="636B064D" w:rsidR="00B767F3" w:rsidRDefault="00B767F3" w:rsidP="00BF5577">
            <w:pPr>
              <w:rPr>
                <w:color w:val="4472C4"/>
                <w:kern w:val="2"/>
                <w:szCs w:val="24"/>
              </w:rPr>
            </w:pP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5B320BA9" w:rsidR="00B767F3" w:rsidRDefault="00695EA3" w:rsidP="009A0815">
            <w:pPr>
              <w:jc w:val="both"/>
              <w:rPr>
                <w:color w:val="4472C4"/>
                <w:kern w:val="2"/>
                <w:szCs w:val="24"/>
              </w:rPr>
            </w:pPr>
            <w:r w:rsidRPr="0027588E">
              <w:rPr>
                <w:kern w:val="2"/>
                <w:szCs w:val="24"/>
              </w:rPr>
              <w:t>Tiekėjui nustatoma 300 (trys šimtai) Eur vertės bauda 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E36E47">
            <w:pPr>
              <w:jc w:val="both"/>
              <w:rPr>
                <w:kern w:val="2"/>
                <w:szCs w:val="24"/>
              </w:rPr>
            </w:pPr>
            <w:r>
              <w:rPr>
                <w:kern w:val="2"/>
                <w:szCs w:val="24"/>
              </w:rPr>
              <w:t>Ši Sutartis laikoma sudaryta ir įsigalioja nuo Sutarties pasirašymo dienos (antrosios Šalies pasirašymo dieną).</w:t>
            </w:r>
          </w:p>
          <w:p w14:paraId="0DC01EF2" w14:textId="58D27F77" w:rsidR="00B767F3" w:rsidRDefault="00DD7479" w:rsidP="00E36E4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92211">
              <w:rPr>
                <w:color w:val="000000"/>
                <w:kern w:val="2"/>
                <w:szCs w:val="24"/>
              </w:rPr>
              <w:t>3</w:t>
            </w:r>
            <w:r w:rsidR="00E25594">
              <w:rPr>
                <w:color w:val="000000"/>
                <w:kern w:val="2"/>
                <w:szCs w:val="24"/>
              </w:rPr>
              <w:t xml:space="preserve"> (</w:t>
            </w:r>
            <w:r w:rsidR="00792211">
              <w:rPr>
                <w:color w:val="000000"/>
                <w:kern w:val="2"/>
                <w:szCs w:val="24"/>
              </w:rPr>
              <w:t>trys</w:t>
            </w:r>
            <w:r w:rsidR="00E25594">
              <w:rPr>
                <w:color w:val="000000"/>
                <w:kern w:val="2"/>
                <w:szCs w:val="24"/>
              </w:rPr>
              <w:t>) mėnesiai</w:t>
            </w:r>
            <w:r w:rsidR="002113F2">
              <w:rPr>
                <w:color w:val="000000"/>
                <w:kern w:val="2"/>
                <w:szCs w:val="24"/>
              </w:rPr>
              <w:t xml:space="preserve">, </w:t>
            </w:r>
            <w:r w:rsidR="002113F2" w:rsidRPr="00E0081F">
              <w:rPr>
                <w:bCs/>
                <w:kern w:val="2"/>
                <w:szCs w:val="24"/>
              </w:rPr>
              <w:t xml:space="preserve">išskyrus </w:t>
            </w:r>
            <w:r w:rsidR="00752DA8">
              <w:rPr>
                <w:bCs/>
                <w:kern w:val="2"/>
                <w:szCs w:val="24"/>
              </w:rPr>
              <w:t>Tiekėjo</w:t>
            </w:r>
            <w:r w:rsidR="002113F2" w:rsidRPr="00E0081F">
              <w:rPr>
                <w:bCs/>
                <w:kern w:val="2"/>
                <w:szCs w:val="24"/>
              </w:rPr>
              <w:t xml:space="preserve"> įsipareigojimus, susijusius su </w:t>
            </w:r>
            <w:r w:rsidR="002113F2">
              <w:rPr>
                <w:bCs/>
                <w:kern w:val="2"/>
                <w:szCs w:val="24"/>
              </w:rPr>
              <w:t>Prekių</w:t>
            </w:r>
            <w:r w:rsidR="002113F2" w:rsidRPr="00E0081F">
              <w:rPr>
                <w:bCs/>
                <w:kern w:val="2"/>
                <w:szCs w:val="24"/>
              </w:rPr>
              <w:t xml:space="preserve"> garantiniu aptarnavimu. </w:t>
            </w:r>
            <w:r w:rsidR="00752DA8">
              <w:rPr>
                <w:bCs/>
                <w:kern w:val="2"/>
                <w:szCs w:val="24"/>
              </w:rPr>
              <w:t xml:space="preserve">Tiekėjo </w:t>
            </w:r>
            <w:r w:rsidR="002113F2" w:rsidRPr="00E0081F">
              <w:rPr>
                <w:bCs/>
                <w:kern w:val="2"/>
                <w:szCs w:val="24"/>
              </w:rPr>
              <w:t xml:space="preserve">garantiniai įsipareigojimai galioja visą </w:t>
            </w:r>
            <w:r w:rsidR="002113F2">
              <w:rPr>
                <w:bCs/>
                <w:kern w:val="2"/>
                <w:szCs w:val="24"/>
              </w:rPr>
              <w:t>Prekių</w:t>
            </w:r>
            <w:r w:rsidR="002113F2" w:rsidRPr="00E0081F">
              <w:rPr>
                <w:bCs/>
                <w:kern w:val="2"/>
                <w:szCs w:val="24"/>
              </w:rPr>
              <w:t xml:space="preserve"> garantinį laikotarpį.</w:t>
            </w: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1E70E029" w:rsidR="00B767F3" w:rsidRDefault="00DF0BB0" w:rsidP="00E36E47">
            <w:pPr>
              <w:jc w:val="both"/>
              <w:rPr>
                <w:kern w:val="2"/>
                <w:szCs w:val="24"/>
              </w:rPr>
            </w:pPr>
            <w:r w:rsidRPr="00A23F4B">
              <w:rPr>
                <w:kern w:val="2"/>
                <w:szCs w:val="24"/>
              </w:rPr>
              <w:t xml:space="preserve">Šalių abipusiu rašytiniu Susitarimu Sutartis tomis pačiomis sąlygomis (nedidinant Sutarties kainos) gali būti pratęsta 1 (vieną) kartą </w:t>
            </w:r>
            <w:r w:rsidR="002113F2">
              <w:rPr>
                <w:kern w:val="2"/>
                <w:szCs w:val="24"/>
              </w:rPr>
              <w:t>1</w:t>
            </w:r>
            <w:r w:rsidRPr="00A23F4B">
              <w:rPr>
                <w:kern w:val="2"/>
                <w:szCs w:val="24"/>
              </w:rPr>
              <w:t> (</w:t>
            </w:r>
            <w:r w:rsidR="002113F2">
              <w:rPr>
                <w:kern w:val="2"/>
                <w:szCs w:val="24"/>
              </w:rPr>
              <w:t>vienam</w:t>
            </w:r>
            <w:r w:rsidRPr="00A23F4B">
              <w:rPr>
                <w:kern w:val="2"/>
                <w:szCs w:val="24"/>
              </w:rPr>
              <w:t>) mėnesi</w:t>
            </w:r>
            <w:r w:rsidR="002113F2">
              <w:rPr>
                <w:kern w:val="2"/>
                <w:szCs w:val="24"/>
              </w:rPr>
              <w:t>ui</w:t>
            </w:r>
            <w:r w:rsidRPr="00A23F4B">
              <w:rPr>
                <w:kern w:val="2"/>
                <w:szCs w:val="24"/>
              </w:rPr>
              <w:t xml:space="preserve">, jeigu yra išlikęs poreikis ir esant aplinkybėms nurodytoms šių specialiųjų sąlygų 4.2 p. </w:t>
            </w:r>
            <w:bookmarkStart w:id="3" w:name="_GoBack"/>
            <w:bookmarkEnd w:id="3"/>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rsidP="00E36E47">
            <w:pPr>
              <w:jc w:val="both"/>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6937" w:type="dxa"/>
            <w:gridSpan w:val="4"/>
          </w:tcPr>
          <w:p w14:paraId="3485F3B3" w14:textId="77777777" w:rsidR="00E36E47" w:rsidRPr="002D3ECE" w:rsidRDefault="00E36E47" w:rsidP="00E36E47">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1E2EEA0" w14:textId="77777777" w:rsidR="00E36E47" w:rsidRPr="002D3ECE" w:rsidRDefault="00E36E47" w:rsidP="00E36E47">
            <w:pPr>
              <w:jc w:val="both"/>
              <w:rPr>
                <w:kern w:val="2"/>
                <w:szCs w:val="24"/>
              </w:rPr>
            </w:pPr>
            <w:r w:rsidRPr="002D3ECE">
              <w:rPr>
                <w:kern w:val="2"/>
                <w:szCs w:val="24"/>
              </w:rPr>
              <w:t xml:space="preserve">12.2.2. </w:t>
            </w:r>
            <w:r w:rsidRPr="002D3ECE">
              <w:t>jeigu Tiekėjas nesilaiko Sutartyje nustatytų Prekės tiekimo termino ir vėluoja pristatyti Prekę daugiau nei 15 (penkiolika) kalendorinių dienų;</w:t>
            </w:r>
          </w:p>
          <w:p w14:paraId="429894E5" w14:textId="77777777" w:rsidR="002D5CA6" w:rsidRDefault="00E36E47" w:rsidP="00E36E47">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12.2.3. jeigu Tiekėjas pažeidžia Prekių pristatymo terminus ir priskaičiuotų netesybų už vėlavimą suma viršija 20 (dvidešimt) proc. Pradinės sutarties vertės</w:t>
            </w:r>
            <w:r w:rsidR="002D5CA6">
              <w:rPr>
                <w:rFonts w:eastAsia="Arial"/>
                <w:kern w:val="2"/>
                <w:szCs w:val="24"/>
              </w:rPr>
              <w:t>.</w:t>
            </w:r>
          </w:p>
          <w:p w14:paraId="49E9265F" w14:textId="3E0D849B" w:rsidR="00E36E47" w:rsidRPr="002D3ECE" w:rsidRDefault="002D5CA6" w:rsidP="00E36E47">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00E36E47" w:rsidRPr="002D3ECE">
              <w:rPr>
                <w:rFonts w:eastAsia="Arial"/>
                <w:kern w:val="2"/>
                <w:szCs w:val="24"/>
              </w:rPr>
              <w:t xml:space="preserve"> </w:t>
            </w:r>
            <w:r>
              <w:rPr>
                <w:rFonts w:eastAsia="Arial"/>
                <w:kern w:val="2"/>
                <w:szCs w:val="24"/>
              </w:rPr>
              <w:t>jeigu Tiekėjas</w:t>
            </w:r>
            <w:r w:rsidR="00E36E47" w:rsidRPr="002D3ECE">
              <w:rPr>
                <w:rFonts w:eastAsia="Arial"/>
                <w:kern w:val="2"/>
                <w:szCs w:val="24"/>
              </w:rPr>
              <w:t xml:space="preserve"> pažeidžia Prekių pristatymo terminus ir dėl Prekių pristatymo vėlavimo Prekės tampa nebereikalingos; </w:t>
            </w:r>
          </w:p>
          <w:p w14:paraId="03DDA9E3" w14:textId="796D4AA9" w:rsidR="001E60E1" w:rsidRPr="00E36E47" w:rsidRDefault="00E36E47" w:rsidP="00E36E47">
            <w:pPr>
              <w:rPr>
                <w:kern w:val="2"/>
                <w:szCs w:val="24"/>
              </w:rPr>
            </w:pPr>
            <w:r w:rsidRPr="002D3ECE">
              <w:rPr>
                <w:rFonts w:eastAsia="Arial"/>
                <w:kern w:val="2"/>
                <w:szCs w:val="24"/>
              </w:rPr>
              <w:t>12.2.</w:t>
            </w:r>
            <w:r w:rsidR="002D5CA6">
              <w:rPr>
                <w:rFonts w:eastAsia="Arial"/>
                <w:kern w:val="2"/>
                <w:szCs w:val="24"/>
              </w:rPr>
              <w:t>5</w:t>
            </w:r>
            <w:r w:rsidRPr="002D3ECE">
              <w:rPr>
                <w:rFonts w:eastAsia="Arial"/>
                <w:kern w:val="2"/>
                <w:szCs w:val="24"/>
              </w:rPr>
              <w:t xml:space="preserve">. </w:t>
            </w:r>
            <w:r w:rsidRPr="002D3ECE">
              <w:t>Tiekėjas pristato Prekę, kuri neatitinka Sutartyje, Techninėje specifikacijoje ir (ar) Įstatymuose nustatytų reikalavimų Prekėms.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108A2091" w14:textId="27CF042C" w:rsidR="00A11D39" w:rsidRPr="00015D62" w:rsidRDefault="00A11D39" w:rsidP="000C5FB7">
            <w:pPr>
              <w:jc w:val="both"/>
              <w:rPr>
                <w:color w:val="000000" w:themeColor="text1"/>
                <w:kern w:val="2"/>
                <w:szCs w:val="24"/>
                <w:shd w:val="clear" w:color="auto" w:fill="FFFFFF"/>
              </w:rPr>
            </w:pPr>
            <w:r w:rsidRPr="00015D62">
              <w:rPr>
                <w:color w:val="000000" w:themeColor="text1"/>
                <w:kern w:val="2"/>
                <w:szCs w:val="24"/>
                <w:shd w:val="clear" w:color="auto" w:fill="FFFFFF"/>
              </w:rPr>
              <w:t xml:space="preserve">Aplinkosauginiai kriterijai Prekėms nustatomi vadovaujantis </w:t>
            </w:r>
            <w:r w:rsidR="00E36E47" w:rsidRPr="00015D62">
              <w:rPr>
                <w:color w:val="000000" w:themeColor="text1"/>
                <w:kern w:val="2"/>
                <w:szCs w:val="24"/>
                <w:shd w:val="clear" w:color="auto" w:fill="FFFFFF"/>
              </w:rPr>
              <w:t xml:space="preserve">Lietuvos Respublikos aplinkos ministro </w:t>
            </w:r>
            <w:r w:rsidRPr="00015D62">
              <w:rPr>
                <w:color w:val="000000" w:themeColor="text1"/>
                <w:kern w:val="2"/>
                <w:szCs w:val="24"/>
                <w:shd w:val="clear" w:color="auto" w:fill="FFFFFF"/>
              </w:rPr>
              <w:t>2011 m. birželio 28 d. įsakymu</w:t>
            </w:r>
            <w:r w:rsidR="00E36E47" w:rsidRPr="00015D62">
              <w:rPr>
                <w:color w:val="000000" w:themeColor="text1"/>
                <w:kern w:val="2"/>
                <w:szCs w:val="24"/>
                <w:shd w:val="clear" w:color="auto" w:fill="FFFFFF"/>
              </w:rPr>
              <w:t xml:space="preserve"> Nr.</w:t>
            </w:r>
            <w:r w:rsidRPr="00015D62">
              <w:rPr>
                <w:color w:val="000000" w:themeColor="text1"/>
                <w:kern w:val="2"/>
                <w:szCs w:val="24"/>
                <w:shd w:val="clear" w:color="auto" w:fill="FFFFFF"/>
              </w:rPr>
              <w:t xml:space="preserve"> D1-508 „Dėl Aplinkos apsaugos kriterijų taikymo, vykdant žaliuosius pirkimus, tvarkos aprašo patvirtinimo“ (toliau – Tvarkos aprašas) 4.4.4.4 p. </w:t>
            </w:r>
          </w:p>
          <w:p w14:paraId="1E1018DE" w14:textId="77777777" w:rsidR="00A11D39" w:rsidRDefault="00A11D39" w:rsidP="000C5FB7">
            <w:pPr>
              <w:jc w:val="both"/>
              <w:rPr>
                <w:color w:val="000000"/>
                <w:kern w:val="2"/>
                <w:szCs w:val="24"/>
                <w:shd w:val="clear" w:color="auto" w:fill="FFFFFF"/>
              </w:rPr>
            </w:pPr>
          </w:p>
          <w:p w14:paraId="4B6631DF" w14:textId="6A96CD58" w:rsidR="00B767F3" w:rsidRPr="00974A28" w:rsidRDefault="00A11D39" w:rsidP="000C5FB7">
            <w:pPr>
              <w:jc w:val="both"/>
              <w:rPr>
                <w:color w:val="000000"/>
                <w:kern w:val="2"/>
                <w:szCs w:val="24"/>
                <w:shd w:val="clear" w:color="auto" w:fill="FFFFFF"/>
              </w:rPr>
            </w:pPr>
            <w:r w:rsidRPr="00EF425B">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0FBA4F9A" w:rsidR="00B767F3" w:rsidRPr="005D24E0" w:rsidRDefault="00B767F3">
            <w:pPr>
              <w:rPr>
                <w:kern w:val="2"/>
                <w:szCs w:val="24"/>
                <w:highlight w:val="yellow"/>
              </w:rPr>
            </w:pP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0153CF78" w:rsidR="00B767F3" w:rsidRPr="00936116" w:rsidRDefault="00936116" w:rsidP="00936116">
            <w:pPr>
              <w:rPr>
                <w:kern w:val="2"/>
                <w:szCs w:val="24"/>
              </w:rPr>
            </w:pPr>
            <w:r w:rsidRPr="00936116">
              <w:rPr>
                <w:kern w:val="2"/>
                <w:szCs w:val="24"/>
              </w:rPr>
              <w:t>Pasiūlymas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51AD8878" w:rsidR="00B767F3" w:rsidRPr="00936116" w:rsidRDefault="00936116" w:rsidP="00936116">
            <w:pPr>
              <w:rPr>
                <w:kern w:val="2"/>
                <w:szCs w:val="24"/>
              </w:rPr>
            </w:pPr>
            <w:r w:rsidRPr="00936116">
              <w:rPr>
                <w:kern w:val="2"/>
                <w:szCs w:val="24"/>
              </w:rPr>
              <w:t>Techninė specifikacija</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40C92B0F" w:rsidR="00B767F3" w:rsidRPr="00D90C16" w:rsidRDefault="00D90C16" w:rsidP="00D90C16">
            <w:pPr>
              <w:rPr>
                <w:b/>
                <w:bCs/>
                <w:i/>
                <w:iCs/>
                <w:kern w:val="2"/>
                <w:szCs w:val="24"/>
              </w:rPr>
            </w:pPr>
            <w:r w:rsidRPr="00D90C16">
              <w:rPr>
                <w:i/>
                <w:iCs/>
                <w:color w:val="4472C4"/>
                <w:kern w:val="2"/>
                <w:szCs w:val="24"/>
              </w:rPr>
              <w:t>įrašyti</w:t>
            </w: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53ECDA0F" w:rsidR="00B767F3" w:rsidRPr="00D90C16" w:rsidRDefault="00D90C16" w:rsidP="00D90C16">
            <w:pPr>
              <w:rPr>
                <w:b/>
                <w:bCs/>
                <w:i/>
                <w:iCs/>
                <w:kern w:val="2"/>
                <w:szCs w:val="24"/>
              </w:rPr>
            </w:pPr>
            <w:r w:rsidRPr="00D90C16">
              <w:rPr>
                <w:i/>
                <w:iCs/>
                <w:color w:val="4472C4"/>
                <w:kern w:val="2"/>
                <w:szCs w:val="24"/>
              </w:rPr>
              <w:t>įrašyti</w:t>
            </w: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61486F1E" w:rsidR="00B767F3" w:rsidRPr="00D90C16" w:rsidRDefault="00D90C16" w:rsidP="00D90C16">
            <w:pPr>
              <w:rPr>
                <w:b/>
                <w:bCs/>
                <w:i/>
                <w:iCs/>
                <w:kern w:val="2"/>
                <w:szCs w:val="24"/>
              </w:rPr>
            </w:pPr>
            <w:r w:rsidRPr="00D90C16">
              <w:rPr>
                <w:i/>
                <w:iCs/>
                <w:color w:val="4472C4"/>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2F066D0D" w14:textId="77777777" w:rsidR="009E6BBA" w:rsidRDefault="009E6BBA">
            <w:pPr>
              <w:jc w:val="center"/>
              <w:rPr>
                <w:kern w:val="2"/>
                <w:szCs w:val="24"/>
              </w:rPr>
            </w:pPr>
            <w:r>
              <w:rPr>
                <w:kern w:val="2"/>
                <w:szCs w:val="24"/>
              </w:rPr>
              <w:t xml:space="preserve">Direktorė </w:t>
            </w:r>
          </w:p>
          <w:p w14:paraId="79278680" w14:textId="533B8FBF" w:rsidR="00B767F3" w:rsidRDefault="009E6BBA">
            <w:pPr>
              <w:jc w:val="center"/>
              <w:rPr>
                <w:color w:val="4472C4"/>
                <w:kern w:val="2"/>
                <w:szCs w:val="24"/>
              </w:rPr>
            </w:pPr>
            <w:r>
              <w:rPr>
                <w:kern w:val="2"/>
                <w:szCs w:val="24"/>
              </w:rPr>
              <w:t xml:space="preserve">Kristina </w:t>
            </w:r>
            <w:proofErr w:type="spellStart"/>
            <w:r>
              <w:rPr>
                <w:kern w:val="2"/>
                <w:szCs w:val="24"/>
              </w:rPr>
              <w:t>Jakštė</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EE4497" w:rsidRDefault="00EE4497">
      <w:r>
        <w:separator/>
      </w:r>
    </w:p>
  </w:endnote>
  <w:endnote w:type="continuationSeparator" w:id="0">
    <w:p w14:paraId="78C17AB7" w14:textId="77777777" w:rsidR="00EE4497" w:rsidRDefault="00EE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EE4497" w:rsidRDefault="00EE449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EE4497" w:rsidRDefault="00EE449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EE4497" w:rsidRDefault="00EE449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EE4497" w:rsidRDefault="00EE4497">
      <w:r>
        <w:separator/>
      </w:r>
    </w:p>
  </w:footnote>
  <w:footnote w:type="continuationSeparator" w:id="0">
    <w:p w14:paraId="5420AC00" w14:textId="77777777" w:rsidR="00EE4497" w:rsidRDefault="00EE4497">
      <w:r>
        <w:continuationSeparator/>
      </w:r>
    </w:p>
  </w:footnote>
  <w:footnote w:id="1">
    <w:p w14:paraId="27FE489B" w14:textId="47439717" w:rsidR="00EE4497" w:rsidRDefault="00EE4497">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EE4497" w:rsidRDefault="00EE449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EE4497" w:rsidRDefault="00EE449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EE4497" w:rsidRDefault="00EE449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D62"/>
    <w:rsid w:val="00033879"/>
    <w:rsid w:val="000338BE"/>
    <w:rsid w:val="00041773"/>
    <w:rsid w:val="000C5FB7"/>
    <w:rsid w:val="001153C2"/>
    <w:rsid w:val="00125E94"/>
    <w:rsid w:val="00170787"/>
    <w:rsid w:val="00182D15"/>
    <w:rsid w:val="001B13CE"/>
    <w:rsid w:val="001B2EB7"/>
    <w:rsid w:val="001D4329"/>
    <w:rsid w:val="001E60E1"/>
    <w:rsid w:val="001F47E4"/>
    <w:rsid w:val="00201136"/>
    <w:rsid w:val="00201517"/>
    <w:rsid w:val="00202E5E"/>
    <w:rsid w:val="002056FD"/>
    <w:rsid w:val="002113F2"/>
    <w:rsid w:val="00220E83"/>
    <w:rsid w:val="00261457"/>
    <w:rsid w:val="002833F2"/>
    <w:rsid w:val="00291A45"/>
    <w:rsid w:val="002A16E0"/>
    <w:rsid w:val="002B3E53"/>
    <w:rsid w:val="002D5CA6"/>
    <w:rsid w:val="002F0B5F"/>
    <w:rsid w:val="002F316A"/>
    <w:rsid w:val="003802F1"/>
    <w:rsid w:val="003B2818"/>
    <w:rsid w:val="003B331D"/>
    <w:rsid w:val="003C50CE"/>
    <w:rsid w:val="003E51B0"/>
    <w:rsid w:val="003E5D1D"/>
    <w:rsid w:val="004121AC"/>
    <w:rsid w:val="004324B2"/>
    <w:rsid w:val="00454797"/>
    <w:rsid w:val="00475016"/>
    <w:rsid w:val="004B069B"/>
    <w:rsid w:val="004C0B67"/>
    <w:rsid w:val="00535771"/>
    <w:rsid w:val="00541386"/>
    <w:rsid w:val="005828DD"/>
    <w:rsid w:val="00587E3C"/>
    <w:rsid w:val="005D24E0"/>
    <w:rsid w:val="006452A0"/>
    <w:rsid w:val="00695EA3"/>
    <w:rsid w:val="007038DE"/>
    <w:rsid w:val="00705CC9"/>
    <w:rsid w:val="00752DA8"/>
    <w:rsid w:val="007677BF"/>
    <w:rsid w:val="007751AF"/>
    <w:rsid w:val="007919E1"/>
    <w:rsid w:val="00792211"/>
    <w:rsid w:val="008007FB"/>
    <w:rsid w:val="008B5831"/>
    <w:rsid w:val="00914277"/>
    <w:rsid w:val="00914BB9"/>
    <w:rsid w:val="00932029"/>
    <w:rsid w:val="00936116"/>
    <w:rsid w:val="00974A28"/>
    <w:rsid w:val="009A0815"/>
    <w:rsid w:val="009A4206"/>
    <w:rsid w:val="009D6915"/>
    <w:rsid w:val="009E6BBA"/>
    <w:rsid w:val="009F2612"/>
    <w:rsid w:val="00A11D39"/>
    <w:rsid w:val="00AA44F9"/>
    <w:rsid w:val="00AD0254"/>
    <w:rsid w:val="00AE6744"/>
    <w:rsid w:val="00AF555B"/>
    <w:rsid w:val="00B23B35"/>
    <w:rsid w:val="00B53B6C"/>
    <w:rsid w:val="00B6779F"/>
    <w:rsid w:val="00B767F3"/>
    <w:rsid w:val="00B93A66"/>
    <w:rsid w:val="00BC6342"/>
    <w:rsid w:val="00BF2420"/>
    <w:rsid w:val="00BF5577"/>
    <w:rsid w:val="00C13F2D"/>
    <w:rsid w:val="00C258D7"/>
    <w:rsid w:val="00C75043"/>
    <w:rsid w:val="00C8484C"/>
    <w:rsid w:val="00C91C0B"/>
    <w:rsid w:val="00D35E45"/>
    <w:rsid w:val="00D41C2B"/>
    <w:rsid w:val="00D90C16"/>
    <w:rsid w:val="00DA09F0"/>
    <w:rsid w:val="00DC1CDE"/>
    <w:rsid w:val="00DD7479"/>
    <w:rsid w:val="00DF0BB0"/>
    <w:rsid w:val="00DF40BD"/>
    <w:rsid w:val="00E16E27"/>
    <w:rsid w:val="00E25594"/>
    <w:rsid w:val="00E3035F"/>
    <w:rsid w:val="00E36837"/>
    <w:rsid w:val="00E36E47"/>
    <w:rsid w:val="00E565A9"/>
    <w:rsid w:val="00E64803"/>
    <w:rsid w:val="00EA1D67"/>
    <w:rsid w:val="00EA25FB"/>
    <w:rsid w:val="00EE4497"/>
    <w:rsid w:val="00F45638"/>
    <w:rsid w:val="00F80E58"/>
    <w:rsid w:val="00F960B6"/>
    <w:rsid w:val="00FA1F2A"/>
    <w:rsid w:val="00FA686B"/>
    <w:rsid w:val="00FA7754"/>
    <w:rsid w:val="00FC7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2C84C-232C-4E60-BD6D-2ECF670F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62730</Words>
  <Characters>35757</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2026-03-10T07:11:00Z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