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DECF9" w14:textId="77777777" w:rsidR="00243E8E" w:rsidRDefault="00243E8E" w:rsidP="00243E8E">
      <w:pPr>
        <w:spacing w:line="300" w:lineRule="atLeast"/>
        <w:jc w:val="both"/>
        <w:rPr>
          <w:b/>
          <w:bCs/>
          <w:color w:val="000000"/>
          <w:lang w:val="lt-LT"/>
        </w:rPr>
      </w:pPr>
    </w:p>
    <w:p w14:paraId="6F396A14" w14:textId="77777777" w:rsidR="00243E8E" w:rsidRDefault="00243E8E" w:rsidP="00243E8E">
      <w:pPr>
        <w:spacing w:line="300" w:lineRule="atLeast"/>
        <w:jc w:val="both"/>
        <w:rPr>
          <w:b/>
          <w:bCs/>
          <w:color w:val="000000"/>
          <w:lang w:val="lt-LT"/>
        </w:rPr>
      </w:pPr>
    </w:p>
    <w:p w14:paraId="4D96C48A" w14:textId="28A8CFD2" w:rsidR="00243E8E" w:rsidRPr="00243E8E" w:rsidRDefault="00243E8E" w:rsidP="00243E8E">
      <w:pPr>
        <w:spacing w:line="300" w:lineRule="atLeast"/>
        <w:jc w:val="both"/>
        <w:rPr>
          <w:b/>
          <w:bCs/>
          <w:color w:val="000000"/>
          <w:lang w:val="lt-LT"/>
        </w:rPr>
      </w:pPr>
      <w:r w:rsidRPr="00243E8E">
        <w:rPr>
          <w:b/>
          <w:bCs/>
          <w:color w:val="000000"/>
          <w:lang w:val="lt-LT"/>
        </w:rPr>
        <w:t>DĖL ATSAKYMO Į KLAUSIMUS</w:t>
      </w:r>
    </w:p>
    <w:p w14:paraId="2BFEC052" w14:textId="77777777" w:rsidR="00243E8E" w:rsidRPr="00243E8E" w:rsidRDefault="00243E8E" w:rsidP="00243E8E">
      <w:pPr>
        <w:spacing w:line="300" w:lineRule="atLeast"/>
        <w:jc w:val="both"/>
        <w:rPr>
          <w:color w:val="000000"/>
          <w:lang w:val="lt-LT"/>
        </w:rPr>
      </w:pPr>
    </w:p>
    <w:p w14:paraId="6724C9A0" w14:textId="77777777" w:rsidR="00243E8E" w:rsidRPr="00243E8E" w:rsidRDefault="00243E8E" w:rsidP="00243E8E">
      <w:pPr>
        <w:spacing w:line="300" w:lineRule="atLeast"/>
        <w:ind w:firstLine="720"/>
        <w:jc w:val="both"/>
        <w:rPr>
          <w:color w:val="000000"/>
          <w:lang w:val="lt-LT"/>
        </w:rPr>
      </w:pPr>
    </w:p>
    <w:p w14:paraId="0957F60A" w14:textId="77777777" w:rsidR="00243E8E" w:rsidRPr="00243E8E" w:rsidRDefault="00243E8E" w:rsidP="00243E8E">
      <w:pPr>
        <w:spacing w:line="300" w:lineRule="atLeast"/>
        <w:ind w:firstLine="720"/>
        <w:jc w:val="both"/>
        <w:rPr>
          <w:color w:val="000000"/>
          <w:lang w:val="lt-LT"/>
        </w:rPr>
      </w:pPr>
      <w:r w:rsidRPr="00243E8E">
        <w:rPr>
          <w:color w:val="000000"/>
          <w:lang w:val="lt-LT"/>
        </w:rPr>
        <w:t>Viešoji įstaiga CPO LT, vykdydama viešąjį pirkimą atviro konkurso būdu (supaprastintas pirkimas) „SKAITMENINIŲ PASLAUGŲ PLATFORMOS DIRBTINIO INTELEKTO POSISTEMĖS KŪRIMO IR DIEGIMO PASLAUGOS</w:t>
      </w:r>
      <w:r w:rsidRPr="00243E8E">
        <w:rPr>
          <w:lang w:val="lt-LT"/>
        </w:rPr>
        <w:t>“, CVP IS</w:t>
      </w:r>
      <w:r w:rsidRPr="00243E8E">
        <w:rPr>
          <w:rFonts w:eastAsia="Times New Roman"/>
          <w:lang w:val="lt-LT"/>
        </w:rPr>
        <w:t xml:space="preserve"> ID </w:t>
      </w:r>
      <w:r w:rsidRPr="00243E8E">
        <w:rPr>
          <w:lang w:val="lt-LT"/>
        </w:rPr>
        <w:t>6887011</w:t>
      </w:r>
      <w:r w:rsidRPr="00243E8E">
        <w:rPr>
          <w:color w:val="000000"/>
          <w:lang w:val="lt-LT"/>
        </w:rPr>
        <w:t xml:space="preserve">, gavo suinteresuotų tiekėjo klausimų. </w:t>
      </w:r>
    </w:p>
    <w:p w14:paraId="0E869B3A" w14:textId="77777777" w:rsidR="00243E8E" w:rsidRPr="00243E8E" w:rsidRDefault="00243E8E" w:rsidP="00243E8E">
      <w:pPr>
        <w:ind w:firstLine="851"/>
        <w:jc w:val="both"/>
        <w:rPr>
          <w:lang w:val="lt-LT"/>
        </w:rPr>
      </w:pPr>
      <w:r w:rsidRPr="00243E8E">
        <w:rPr>
          <w:lang w:val="lt-LT" w:eastAsia="en-GB"/>
        </w:rPr>
        <w:t xml:space="preserve">Vadovaudamiesi Lietuvos Respublikos viešųjų pirkimų įstatymo 36 straipsnio 5 dalimi </w:t>
      </w:r>
      <w:bookmarkStart w:id="0" w:name="_Hlk98232754"/>
      <w:r w:rsidRPr="00243E8E">
        <w:rPr>
          <w:lang w:val="lt-LT" w:eastAsia="en-GB"/>
        </w:rPr>
        <w:t>bei Bendrųjų pirkimo sąlygų 5.2 pun</w:t>
      </w:r>
      <w:bookmarkEnd w:id="0"/>
      <w:r w:rsidRPr="00243E8E">
        <w:rPr>
          <w:lang w:val="lt-LT" w:eastAsia="en-GB"/>
        </w:rPr>
        <w:t>ktu,</w:t>
      </w:r>
      <w:r w:rsidRPr="00243E8E">
        <w:rPr>
          <w:lang w:val="lt-LT"/>
        </w:rPr>
        <w:t xml:space="preserve"> teikiame atsakymus į klausimus:</w:t>
      </w:r>
    </w:p>
    <w:p w14:paraId="5CFDBF62" w14:textId="77777777" w:rsidR="00243E8E" w:rsidRPr="00243E8E" w:rsidRDefault="00243E8E" w:rsidP="00243E8E">
      <w:pPr>
        <w:rPr>
          <w:lang w:val="lt-LT"/>
        </w:rPr>
      </w:pPr>
    </w:p>
    <w:tbl>
      <w:tblPr>
        <w:tblStyle w:val="TableGrid"/>
        <w:tblW w:w="10816" w:type="dxa"/>
        <w:tblInd w:w="-725" w:type="dxa"/>
        <w:tblLook w:val="04A0" w:firstRow="1" w:lastRow="0" w:firstColumn="1" w:lastColumn="0" w:noHBand="0" w:noVBand="1"/>
      </w:tblPr>
      <w:tblGrid>
        <w:gridCol w:w="570"/>
        <w:gridCol w:w="4650"/>
        <w:gridCol w:w="5596"/>
      </w:tblGrid>
      <w:tr w:rsidR="00243E8E" w:rsidRPr="00243E8E" w14:paraId="0D76244D" w14:textId="77777777" w:rsidTr="007E5A47">
        <w:tc>
          <w:tcPr>
            <w:tcW w:w="570" w:type="dxa"/>
            <w:vAlign w:val="center"/>
          </w:tcPr>
          <w:p w14:paraId="0DA3FF1A" w14:textId="77777777" w:rsidR="00243E8E" w:rsidRPr="00243E8E" w:rsidRDefault="00243E8E" w:rsidP="007E5A47">
            <w:pPr>
              <w:rPr>
                <w:b/>
                <w:bCs/>
                <w:i/>
                <w:iCs/>
                <w:sz w:val="24"/>
                <w:szCs w:val="24"/>
              </w:rPr>
            </w:pPr>
            <w:r w:rsidRPr="00243E8E">
              <w:rPr>
                <w:b/>
                <w:bCs/>
                <w:i/>
                <w:iCs/>
                <w:sz w:val="24"/>
                <w:szCs w:val="24"/>
              </w:rPr>
              <w:t>Eil. Nr.</w:t>
            </w:r>
          </w:p>
        </w:tc>
        <w:tc>
          <w:tcPr>
            <w:tcW w:w="4650" w:type="dxa"/>
            <w:vAlign w:val="center"/>
          </w:tcPr>
          <w:p w14:paraId="677E3C85" w14:textId="77777777" w:rsidR="00243E8E" w:rsidRPr="00243E8E" w:rsidRDefault="00243E8E" w:rsidP="007E5A47">
            <w:pPr>
              <w:jc w:val="center"/>
              <w:rPr>
                <w:b/>
                <w:bCs/>
                <w:i/>
                <w:iCs/>
                <w:sz w:val="24"/>
                <w:szCs w:val="24"/>
              </w:rPr>
            </w:pPr>
            <w:r w:rsidRPr="00243E8E">
              <w:rPr>
                <w:b/>
                <w:bCs/>
                <w:i/>
                <w:iCs/>
                <w:sz w:val="24"/>
                <w:szCs w:val="24"/>
              </w:rPr>
              <w:t>KLAUSIMAS</w:t>
            </w:r>
          </w:p>
        </w:tc>
        <w:tc>
          <w:tcPr>
            <w:tcW w:w="5596" w:type="dxa"/>
            <w:vAlign w:val="center"/>
          </w:tcPr>
          <w:p w14:paraId="70E49D5E" w14:textId="77777777" w:rsidR="00243E8E" w:rsidRPr="00243E8E" w:rsidRDefault="00243E8E" w:rsidP="007E5A47">
            <w:pPr>
              <w:jc w:val="both"/>
              <w:rPr>
                <w:b/>
                <w:bCs/>
                <w:i/>
                <w:iCs/>
                <w:sz w:val="24"/>
                <w:szCs w:val="24"/>
              </w:rPr>
            </w:pPr>
            <w:r w:rsidRPr="00243E8E">
              <w:rPr>
                <w:b/>
                <w:bCs/>
                <w:i/>
                <w:iCs/>
                <w:sz w:val="24"/>
                <w:szCs w:val="24"/>
              </w:rPr>
              <w:t>ATSAKYMAS</w:t>
            </w:r>
          </w:p>
        </w:tc>
      </w:tr>
      <w:tr w:rsidR="00243E8E" w:rsidRPr="00243E8E" w14:paraId="6564F3BB" w14:textId="77777777" w:rsidTr="007E5A47">
        <w:trPr>
          <w:trHeight w:val="3365"/>
        </w:trPr>
        <w:tc>
          <w:tcPr>
            <w:tcW w:w="570" w:type="dxa"/>
          </w:tcPr>
          <w:p w14:paraId="085B48E9" w14:textId="77777777" w:rsidR="00243E8E" w:rsidRPr="00243E8E" w:rsidRDefault="00243E8E" w:rsidP="007E5A47">
            <w:pPr>
              <w:jc w:val="both"/>
              <w:rPr>
                <w:rFonts w:eastAsia="Times New Roman"/>
                <w:sz w:val="24"/>
                <w:szCs w:val="24"/>
                <w:lang w:eastAsia="lt-LT"/>
              </w:rPr>
            </w:pPr>
            <w:r w:rsidRPr="00243E8E">
              <w:rPr>
                <w:rFonts w:eastAsia="Times New Roman"/>
                <w:sz w:val="24"/>
                <w:szCs w:val="24"/>
                <w:lang w:eastAsia="lt-LT"/>
              </w:rPr>
              <w:t>1.</w:t>
            </w:r>
          </w:p>
        </w:tc>
        <w:tc>
          <w:tcPr>
            <w:tcW w:w="4650" w:type="dxa"/>
          </w:tcPr>
          <w:p w14:paraId="3108C932" w14:textId="77777777" w:rsidR="00243E8E" w:rsidRPr="00243E8E" w:rsidRDefault="00243E8E" w:rsidP="007E5A47">
            <w:pPr>
              <w:spacing w:after="160"/>
              <w:jc w:val="both"/>
              <w:rPr>
                <w:rFonts w:eastAsia="Calibri"/>
                <w:bCs/>
                <w:sz w:val="24"/>
                <w:szCs w:val="24"/>
              </w:rPr>
            </w:pPr>
            <w:proofErr w:type="spellStart"/>
            <w:r w:rsidRPr="00243E8E">
              <w:rPr>
                <w:rFonts w:eastAsia="Calibri"/>
                <w:bCs/>
                <w:sz w:val="24"/>
                <w:szCs w:val="24"/>
              </w:rPr>
              <w:t>Embedding</w:t>
            </w:r>
            <w:proofErr w:type="spellEnd"/>
            <w:r w:rsidRPr="00243E8E">
              <w:rPr>
                <w:rFonts w:eastAsia="Calibri"/>
                <w:bCs/>
                <w:sz w:val="24"/>
                <w:szCs w:val="24"/>
              </w:rPr>
              <w:t xml:space="preserve"> modelis</w:t>
            </w:r>
            <w:r w:rsidRPr="00243E8E">
              <w:rPr>
                <w:rFonts w:eastAsia="Calibri"/>
                <w:bCs/>
                <w:sz w:val="24"/>
                <w:szCs w:val="24"/>
              </w:rPr>
              <w:br/>
              <w:t>Techninėje specifikacijoje nurodyta, kad dokumentų semantiniam indeksavimui bus naudojamas VSSA turimas DI modelis. Prašytume patikslinti:</w:t>
            </w:r>
            <w:r w:rsidRPr="00243E8E">
              <w:rPr>
                <w:rFonts w:eastAsia="Calibri"/>
                <w:bCs/>
                <w:sz w:val="24"/>
                <w:szCs w:val="24"/>
              </w:rPr>
              <w:br/>
              <w:t xml:space="preserve">• koks konkrečiai </w:t>
            </w:r>
            <w:proofErr w:type="spellStart"/>
            <w:r w:rsidRPr="00243E8E">
              <w:rPr>
                <w:rFonts w:eastAsia="Calibri"/>
                <w:bCs/>
                <w:sz w:val="24"/>
                <w:szCs w:val="24"/>
              </w:rPr>
              <w:t>embedding</w:t>
            </w:r>
            <w:proofErr w:type="spellEnd"/>
            <w:r w:rsidRPr="00243E8E">
              <w:rPr>
                <w:rFonts w:eastAsia="Calibri"/>
                <w:bCs/>
                <w:sz w:val="24"/>
                <w:szCs w:val="24"/>
              </w:rPr>
              <w:t xml:space="preserve"> modelis bus naudojamas (modelio pavadinimas ir versija);</w:t>
            </w:r>
            <w:r w:rsidRPr="00243E8E">
              <w:rPr>
                <w:rFonts w:eastAsia="Calibri"/>
                <w:bCs/>
                <w:sz w:val="24"/>
                <w:szCs w:val="24"/>
              </w:rPr>
              <w:br/>
              <w:t xml:space="preserve">• kokia </w:t>
            </w:r>
            <w:proofErr w:type="spellStart"/>
            <w:r w:rsidRPr="00243E8E">
              <w:rPr>
                <w:rFonts w:eastAsia="Calibri"/>
                <w:bCs/>
                <w:sz w:val="24"/>
                <w:szCs w:val="24"/>
              </w:rPr>
              <w:t>embedding</w:t>
            </w:r>
            <w:proofErr w:type="spellEnd"/>
            <w:r w:rsidRPr="00243E8E">
              <w:rPr>
                <w:rFonts w:eastAsia="Calibri"/>
                <w:bCs/>
                <w:sz w:val="24"/>
                <w:szCs w:val="24"/>
              </w:rPr>
              <w:t xml:space="preserve"> dimensija ir maksimalus teksto ilgis vienai užklausai;</w:t>
            </w:r>
            <w:r w:rsidRPr="00243E8E">
              <w:rPr>
                <w:rFonts w:eastAsia="Calibri"/>
                <w:bCs/>
                <w:sz w:val="24"/>
                <w:szCs w:val="24"/>
              </w:rPr>
              <w:br/>
              <w:t xml:space="preserve">• kokia forma modelis bus pateikiamas tiekėjui (API, </w:t>
            </w:r>
            <w:proofErr w:type="spellStart"/>
            <w:r w:rsidRPr="00243E8E">
              <w:rPr>
                <w:rFonts w:eastAsia="Calibri"/>
                <w:bCs/>
                <w:sz w:val="24"/>
                <w:szCs w:val="24"/>
              </w:rPr>
              <w:t>Docker</w:t>
            </w:r>
            <w:proofErr w:type="spellEnd"/>
            <w:r w:rsidRPr="00243E8E">
              <w:rPr>
                <w:rFonts w:eastAsia="Calibri"/>
                <w:bCs/>
                <w:sz w:val="24"/>
                <w:szCs w:val="24"/>
              </w:rPr>
              <w:t xml:space="preserve"> konteineris, lokaliai diegiamas modelis ar kita).</w:t>
            </w:r>
          </w:p>
        </w:tc>
        <w:tc>
          <w:tcPr>
            <w:tcW w:w="5596" w:type="dxa"/>
          </w:tcPr>
          <w:p w14:paraId="391B3FA2" w14:textId="77777777" w:rsidR="00243E8E" w:rsidRPr="00243E8E" w:rsidRDefault="00243E8E" w:rsidP="007E5A47">
            <w:pPr>
              <w:jc w:val="both"/>
              <w:rPr>
                <w:sz w:val="24"/>
                <w:szCs w:val="24"/>
              </w:rPr>
            </w:pPr>
            <w:r w:rsidRPr="00243E8E">
              <w:rPr>
                <w:sz w:val="24"/>
                <w:szCs w:val="24"/>
              </w:rPr>
              <w:t>Perkančiosios organizacijos DI modelis „VSSA-SDSA/LT-MLKM-</w:t>
            </w:r>
            <w:proofErr w:type="spellStart"/>
            <w:r w:rsidRPr="00243E8E">
              <w:rPr>
                <w:sz w:val="24"/>
                <w:szCs w:val="24"/>
              </w:rPr>
              <w:t>modernBERT</w:t>
            </w:r>
            <w:proofErr w:type="spellEnd"/>
            <w:r w:rsidRPr="00243E8E">
              <w:rPr>
                <w:sz w:val="24"/>
                <w:szCs w:val="24"/>
              </w:rPr>
              <w:t>“ su aprašais yra  prieinamas atviroje prieigoje https://huggingface.co/VSSA-SDSA/LT-MLKM-modernBERT.</w:t>
            </w:r>
          </w:p>
        </w:tc>
      </w:tr>
      <w:tr w:rsidR="00243E8E" w:rsidRPr="00243E8E" w14:paraId="20D190AB" w14:textId="77777777" w:rsidTr="007E5A47">
        <w:trPr>
          <w:trHeight w:val="2042"/>
        </w:trPr>
        <w:tc>
          <w:tcPr>
            <w:tcW w:w="570" w:type="dxa"/>
          </w:tcPr>
          <w:p w14:paraId="6CE72A84" w14:textId="77777777" w:rsidR="00243E8E" w:rsidRPr="00243E8E" w:rsidRDefault="00243E8E" w:rsidP="007E5A47">
            <w:pPr>
              <w:jc w:val="both"/>
              <w:rPr>
                <w:rFonts w:eastAsia="Times New Roman"/>
                <w:sz w:val="24"/>
                <w:szCs w:val="24"/>
                <w:lang w:eastAsia="lt-LT"/>
              </w:rPr>
            </w:pPr>
            <w:r w:rsidRPr="00243E8E">
              <w:rPr>
                <w:rFonts w:eastAsia="Times New Roman"/>
                <w:sz w:val="24"/>
                <w:szCs w:val="24"/>
                <w:lang w:eastAsia="lt-LT"/>
              </w:rPr>
              <w:t>2.</w:t>
            </w:r>
          </w:p>
        </w:tc>
        <w:tc>
          <w:tcPr>
            <w:tcW w:w="4650" w:type="dxa"/>
          </w:tcPr>
          <w:p w14:paraId="7B570522" w14:textId="77777777" w:rsidR="00243E8E" w:rsidRPr="00243E8E" w:rsidRDefault="00243E8E" w:rsidP="007E5A47">
            <w:pPr>
              <w:spacing w:after="160"/>
              <w:jc w:val="both"/>
              <w:rPr>
                <w:rFonts w:eastAsia="Calibri"/>
                <w:bCs/>
                <w:sz w:val="24"/>
                <w:szCs w:val="24"/>
              </w:rPr>
            </w:pPr>
            <w:r w:rsidRPr="00243E8E">
              <w:rPr>
                <w:rFonts w:eastAsia="Calibri"/>
                <w:bCs/>
                <w:sz w:val="24"/>
                <w:szCs w:val="24"/>
              </w:rPr>
              <w:t>DI modelių tiekėjai ir pasirinkimo galimybė</w:t>
            </w:r>
          </w:p>
          <w:p w14:paraId="546CDADE" w14:textId="77777777" w:rsidR="00243E8E" w:rsidRPr="00243E8E" w:rsidRDefault="00243E8E" w:rsidP="007E5A47">
            <w:pPr>
              <w:spacing w:after="160"/>
              <w:jc w:val="both"/>
              <w:rPr>
                <w:rFonts w:eastAsia="Calibri"/>
                <w:bCs/>
                <w:sz w:val="24"/>
                <w:szCs w:val="24"/>
              </w:rPr>
            </w:pPr>
            <w:r w:rsidRPr="00243E8E">
              <w:rPr>
                <w:rFonts w:eastAsia="Calibri"/>
                <w:bCs/>
                <w:sz w:val="24"/>
                <w:szCs w:val="24"/>
              </w:rPr>
              <w:t xml:space="preserve">Ar tiekėjas galės pasirinkti DI modelių tiekėją (pvz., </w:t>
            </w:r>
            <w:proofErr w:type="spellStart"/>
            <w:r w:rsidRPr="00243E8E">
              <w:rPr>
                <w:rFonts w:eastAsia="Calibri"/>
                <w:bCs/>
                <w:sz w:val="24"/>
                <w:szCs w:val="24"/>
              </w:rPr>
              <w:t>OpenAI</w:t>
            </w:r>
            <w:proofErr w:type="spellEnd"/>
            <w:r w:rsidRPr="00243E8E">
              <w:rPr>
                <w:rFonts w:eastAsia="Calibri"/>
                <w:bCs/>
                <w:sz w:val="24"/>
                <w:szCs w:val="24"/>
              </w:rPr>
              <w:t xml:space="preserve">, </w:t>
            </w:r>
            <w:proofErr w:type="spellStart"/>
            <w:r w:rsidRPr="00243E8E">
              <w:rPr>
                <w:rFonts w:eastAsia="Calibri"/>
                <w:bCs/>
                <w:sz w:val="24"/>
                <w:szCs w:val="24"/>
              </w:rPr>
              <w:t>Anthropic</w:t>
            </w:r>
            <w:proofErr w:type="spellEnd"/>
            <w:r w:rsidRPr="00243E8E">
              <w:rPr>
                <w:rFonts w:eastAsia="Calibri"/>
                <w:bCs/>
                <w:sz w:val="24"/>
                <w:szCs w:val="24"/>
              </w:rPr>
              <w:t>, Google ar kitus), ar planuojama naudoti konkrečius perkančiosios organizacijos pasirinktus modelius?</w:t>
            </w:r>
          </w:p>
        </w:tc>
        <w:tc>
          <w:tcPr>
            <w:tcW w:w="5596" w:type="dxa"/>
          </w:tcPr>
          <w:p w14:paraId="6F1557AE" w14:textId="77777777" w:rsidR="00243E8E" w:rsidRPr="00243E8E" w:rsidRDefault="00243E8E" w:rsidP="007E5A47">
            <w:pPr>
              <w:jc w:val="both"/>
              <w:rPr>
                <w:sz w:val="24"/>
                <w:szCs w:val="24"/>
              </w:rPr>
            </w:pPr>
            <w:r w:rsidRPr="00243E8E">
              <w:rPr>
                <w:sz w:val="24"/>
                <w:szCs w:val="24"/>
              </w:rPr>
              <w:t>Pasiūlymas turi apimti Techninėje specifikacijoje nurodytų tiekėjų nurodytus modelius (arba lygiaverčius savo parametrais bei našumu)  arba jų naujesnes versijas. Planuojama naudoti būtent tokius modelius, nebent dėl galimos neatitikties ES DI Aktui  modelių tiekėjas ir/arba modeliai turėtų būti keičiami į lygiaverčius, kaip tai nurodyta Techninėje specifikacijoje.</w:t>
            </w:r>
          </w:p>
        </w:tc>
      </w:tr>
      <w:tr w:rsidR="00243E8E" w:rsidRPr="00243E8E" w14:paraId="7DD367E1" w14:textId="77777777" w:rsidTr="007E5A47">
        <w:trPr>
          <w:trHeight w:val="2042"/>
        </w:trPr>
        <w:tc>
          <w:tcPr>
            <w:tcW w:w="570" w:type="dxa"/>
          </w:tcPr>
          <w:p w14:paraId="22A7BDAD" w14:textId="77777777" w:rsidR="00243E8E" w:rsidRPr="00243E8E" w:rsidRDefault="00243E8E" w:rsidP="007E5A47">
            <w:pPr>
              <w:jc w:val="both"/>
              <w:rPr>
                <w:rFonts w:eastAsia="Times New Roman"/>
                <w:sz w:val="24"/>
                <w:szCs w:val="24"/>
                <w:lang w:eastAsia="lt-LT"/>
              </w:rPr>
            </w:pPr>
            <w:r w:rsidRPr="00243E8E">
              <w:rPr>
                <w:rFonts w:eastAsia="Times New Roman"/>
                <w:sz w:val="24"/>
                <w:szCs w:val="24"/>
                <w:lang w:eastAsia="lt-LT"/>
              </w:rPr>
              <w:t>3.</w:t>
            </w:r>
          </w:p>
        </w:tc>
        <w:tc>
          <w:tcPr>
            <w:tcW w:w="4650" w:type="dxa"/>
          </w:tcPr>
          <w:p w14:paraId="18244940"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 xml:space="preserve">DI modelių </w:t>
            </w:r>
            <w:proofErr w:type="spellStart"/>
            <w:r w:rsidRPr="00243E8E">
              <w:rPr>
                <w:rFonts w:eastAsia="Calibri"/>
                <w:bCs/>
                <w:sz w:val="24"/>
                <w:szCs w:val="24"/>
              </w:rPr>
              <w:t>tokenų</w:t>
            </w:r>
            <w:proofErr w:type="spellEnd"/>
            <w:r w:rsidRPr="00243E8E">
              <w:rPr>
                <w:rFonts w:eastAsia="Calibri"/>
                <w:bCs/>
                <w:sz w:val="24"/>
                <w:szCs w:val="24"/>
              </w:rPr>
              <w:t xml:space="preserve"> naudojimas</w:t>
            </w:r>
          </w:p>
          <w:p w14:paraId="431AE6F4"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 xml:space="preserve">Techninėje specifikacijoje nurodytas tam tikras DI modelių </w:t>
            </w:r>
            <w:proofErr w:type="spellStart"/>
            <w:r w:rsidRPr="00243E8E">
              <w:rPr>
                <w:rFonts w:eastAsia="Calibri"/>
                <w:bCs/>
                <w:sz w:val="24"/>
                <w:szCs w:val="24"/>
              </w:rPr>
              <w:t>tokenų</w:t>
            </w:r>
            <w:proofErr w:type="spellEnd"/>
            <w:r w:rsidRPr="00243E8E">
              <w:rPr>
                <w:rFonts w:eastAsia="Calibri"/>
                <w:bCs/>
                <w:sz w:val="24"/>
                <w:szCs w:val="24"/>
              </w:rPr>
              <w:t xml:space="preserve"> kiekis. Prašytume patikslinti:</w:t>
            </w:r>
          </w:p>
          <w:p w14:paraId="7A1AFC26"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 xml:space="preserve">• ar nurodytas </w:t>
            </w:r>
            <w:proofErr w:type="spellStart"/>
            <w:r w:rsidRPr="00243E8E">
              <w:rPr>
                <w:rFonts w:eastAsia="Calibri"/>
                <w:bCs/>
                <w:sz w:val="24"/>
                <w:szCs w:val="24"/>
              </w:rPr>
              <w:t>tokenų</w:t>
            </w:r>
            <w:proofErr w:type="spellEnd"/>
            <w:r w:rsidRPr="00243E8E">
              <w:rPr>
                <w:rFonts w:eastAsia="Calibri"/>
                <w:bCs/>
                <w:sz w:val="24"/>
                <w:szCs w:val="24"/>
              </w:rPr>
              <w:t xml:space="preserve"> kiekis laikomas maksimalia planuojama riba;</w:t>
            </w:r>
          </w:p>
          <w:p w14:paraId="78483204"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 ar DI modelių naudojimo kaštai turi būti įtraukti į tiekėjo pasiūlymo kainą, ar jie bus apmokami atskirai perkančiosios organizacijos.</w:t>
            </w:r>
          </w:p>
        </w:tc>
        <w:tc>
          <w:tcPr>
            <w:tcW w:w="5596" w:type="dxa"/>
          </w:tcPr>
          <w:p w14:paraId="04B3B92B" w14:textId="77777777" w:rsidR="00243E8E" w:rsidRPr="00243E8E" w:rsidRDefault="00243E8E" w:rsidP="007E5A47">
            <w:pPr>
              <w:jc w:val="both"/>
              <w:rPr>
                <w:sz w:val="24"/>
                <w:szCs w:val="24"/>
              </w:rPr>
            </w:pPr>
            <w:r w:rsidRPr="00243E8E">
              <w:rPr>
                <w:sz w:val="24"/>
                <w:szCs w:val="24"/>
              </w:rPr>
              <w:t xml:space="preserve">Nurodyti DI resursų (žetonų, angl. </w:t>
            </w:r>
            <w:proofErr w:type="spellStart"/>
            <w:r w:rsidRPr="00243E8E">
              <w:rPr>
                <w:sz w:val="24"/>
                <w:szCs w:val="24"/>
              </w:rPr>
              <w:t>tokens</w:t>
            </w:r>
            <w:proofErr w:type="spellEnd"/>
            <w:r w:rsidRPr="00243E8E">
              <w:rPr>
                <w:sz w:val="24"/>
                <w:szCs w:val="24"/>
              </w:rPr>
              <w:t>) kiekiai yra maksimali riba šio pirkimo apimtyje. DI modelių naudojimo kaštai turi būti įtraukti į pasiūlymo kainą, žr. Specialiųjų pirkimo sąlygų 3 priedo „Pasiūlymo forma” 1 lentelę "Kainos pasiūlymas", 3 eilutė. Specialiųjų pirkimo sąlygų 2 priedo „Techninė specifikacija” skirsnyje „REIKALAVIMAI STANDARTINIŲ BENDROSIOS PASKIRTIES DI MODELIŲ RESURSAMS" nurodytos resursų kategorijos, kiekiai, kurie turi būti įtraukti į pasiūlymo kainą bei nurodyta, kad su standartinių DI modelių tiekėjais atsiskaito SPP DIP Tiekėjas. Svarbu pabrėžti, kad SPP DIP techninės galimybės neturi riboti galimybės įsigyti daugiau DI resursų tiek tiesiogiai iš modelių tiekėjų, tiek per tarpininkus, tiek įsigyti kitokių tiekėjų kitokių DI modelių resursus ir naudoti SPP DIP.</w:t>
            </w:r>
          </w:p>
        </w:tc>
      </w:tr>
      <w:tr w:rsidR="00243E8E" w:rsidRPr="00243E8E" w14:paraId="36477157" w14:textId="77777777" w:rsidTr="007E5A47">
        <w:trPr>
          <w:trHeight w:val="2042"/>
        </w:trPr>
        <w:tc>
          <w:tcPr>
            <w:tcW w:w="570" w:type="dxa"/>
          </w:tcPr>
          <w:p w14:paraId="32452AF6" w14:textId="77777777" w:rsidR="00243E8E" w:rsidRPr="00243E8E" w:rsidRDefault="00243E8E" w:rsidP="007E5A47">
            <w:pPr>
              <w:jc w:val="both"/>
              <w:rPr>
                <w:rFonts w:eastAsia="Times New Roman"/>
                <w:sz w:val="24"/>
                <w:szCs w:val="24"/>
                <w:lang w:eastAsia="lt-LT"/>
              </w:rPr>
            </w:pPr>
            <w:r w:rsidRPr="00243E8E">
              <w:rPr>
                <w:rFonts w:eastAsia="Times New Roman"/>
                <w:sz w:val="24"/>
                <w:szCs w:val="24"/>
                <w:lang w:eastAsia="lt-LT"/>
              </w:rPr>
              <w:lastRenderedPageBreak/>
              <w:t>4.</w:t>
            </w:r>
          </w:p>
        </w:tc>
        <w:tc>
          <w:tcPr>
            <w:tcW w:w="4650" w:type="dxa"/>
          </w:tcPr>
          <w:p w14:paraId="228DDB89"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Integracijos su esama platforma</w:t>
            </w:r>
          </w:p>
          <w:p w14:paraId="372BEB24"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Ar visos integracijai reikalingos API (SPK, SPP CORE ir kt.) jau yra įdiegtos ir veikiančios, ar jų kūrimas numatytas projekto įgyvendinimo metu? Taip pat prašytume patikslinti, ar tiekėjui bus pateikta pilna API dokumentacija ir testavimo aplinka.</w:t>
            </w:r>
          </w:p>
        </w:tc>
        <w:tc>
          <w:tcPr>
            <w:tcW w:w="5596" w:type="dxa"/>
          </w:tcPr>
          <w:p w14:paraId="2AE88BC9" w14:textId="77777777" w:rsidR="00243E8E" w:rsidRPr="00243E8E" w:rsidRDefault="00243E8E" w:rsidP="007E5A47">
            <w:pPr>
              <w:jc w:val="both"/>
              <w:rPr>
                <w:sz w:val="24"/>
                <w:szCs w:val="24"/>
              </w:rPr>
            </w:pPr>
            <w:r w:rsidRPr="00243E8E">
              <w:rPr>
                <w:sz w:val="24"/>
                <w:szCs w:val="24"/>
              </w:rPr>
              <w:t xml:space="preserve">Techninė specifikacija nereikalauja integracijos išvardintoms SPP posistemėms per API, tik per prieigą prie duomenų bazės ir/ar eksportuotų duomenų importą. SPP posistemė dar vystoma, tačiau duomenų struktūros ir turinys, numatomas naudoti SPP DIP yra užbaigtas ir egzistuoja </w:t>
            </w:r>
            <w:proofErr w:type="spellStart"/>
            <w:r w:rsidRPr="00243E8E">
              <w:rPr>
                <w:sz w:val="24"/>
                <w:szCs w:val="24"/>
              </w:rPr>
              <w:t>testinės</w:t>
            </w:r>
            <w:proofErr w:type="spellEnd"/>
            <w:r w:rsidRPr="00243E8E">
              <w:rPr>
                <w:sz w:val="24"/>
                <w:szCs w:val="24"/>
              </w:rPr>
              <w:t xml:space="preserve"> aplinkos. Laimėjusiam tiekėjui bus pateikti duomenų struktūrų ir turinio aprašai, prieiga prie įdiegtų duomenų bazių bei užtikrintas palaikymas iš SPP posistemių tiekėjų pusės.</w:t>
            </w:r>
          </w:p>
        </w:tc>
      </w:tr>
      <w:tr w:rsidR="00243E8E" w:rsidRPr="00243E8E" w14:paraId="2EE27278" w14:textId="77777777" w:rsidTr="007E5A47">
        <w:trPr>
          <w:trHeight w:val="1529"/>
        </w:trPr>
        <w:tc>
          <w:tcPr>
            <w:tcW w:w="570" w:type="dxa"/>
          </w:tcPr>
          <w:p w14:paraId="6DD3EFD8" w14:textId="77777777" w:rsidR="00243E8E" w:rsidRPr="00243E8E" w:rsidRDefault="00243E8E" w:rsidP="007E5A47">
            <w:pPr>
              <w:jc w:val="both"/>
              <w:rPr>
                <w:rFonts w:eastAsia="Times New Roman"/>
                <w:sz w:val="24"/>
                <w:szCs w:val="24"/>
                <w:lang w:eastAsia="lt-LT"/>
              </w:rPr>
            </w:pPr>
            <w:r w:rsidRPr="00243E8E">
              <w:rPr>
                <w:rFonts w:eastAsia="Times New Roman"/>
                <w:sz w:val="24"/>
                <w:szCs w:val="24"/>
                <w:lang w:eastAsia="lt-LT"/>
              </w:rPr>
              <w:t>5.</w:t>
            </w:r>
          </w:p>
        </w:tc>
        <w:tc>
          <w:tcPr>
            <w:tcW w:w="4650" w:type="dxa"/>
          </w:tcPr>
          <w:p w14:paraId="76A5181E"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Žinių bazės dokumentų struktūra</w:t>
            </w:r>
          </w:p>
          <w:p w14:paraId="369B3168"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Prašytume patikslinti, kokiais formatais bus pateikiami teisės aktai ir kiti dokumentai (pvz., PDF, DOCX, HTML ar kt.) ir ar jie bus pateikiami struktūrizuoti, tinkami automatiniam apdorojimui.</w:t>
            </w:r>
          </w:p>
        </w:tc>
        <w:tc>
          <w:tcPr>
            <w:tcW w:w="5596" w:type="dxa"/>
          </w:tcPr>
          <w:p w14:paraId="7AC33C05" w14:textId="77777777" w:rsidR="00243E8E" w:rsidRPr="00243E8E" w:rsidRDefault="00243E8E" w:rsidP="007E5A47">
            <w:pPr>
              <w:jc w:val="both"/>
              <w:rPr>
                <w:sz w:val="24"/>
                <w:szCs w:val="24"/>
              </w:rPr>
            </w:pPr>
            <w:r w:rsidRPr="00243E8E">
              <w:rPr>
                <w:sz w:val="24"/>
                <w:szCs w:val="24"/>
              </w:rPr>
              <w:t>Reikalavimai palaikomiems dokumentų formatams pateikti SPP DIP Techninėje specifikacijoje. Dokumentai bus pateikiami PDF ir/arba DOCX formatais.</w:t>
            </w:r>
          </w:p>
        </w:tc>
      </w:tr>
      <w:tr w:rsidR="00243E8E" w:rsidRPr="00243E8E" w14:paraId="315BD147" w14:textId="77777777" w:rsidTr="007E5A47">
        <w:trPr>
          <w:trHeight w:val="1529"/>
        </w:trPr>
        <w:tc>
          <w:tcPr>
            <w:tcW w:w="570" w:type="dxa"/>
          </w:tcPr>
          <w:p w14:paraId="404E39BD" w14:textId="77777777" w:rsidR="00243E8E" w:rsidRPr="00243E8E" w:rsidRDefault="00243E8E" w:rsidP="007E5A47">
            <w:pPr>
              <w:jc w:val="both"/>
              <w:rPr>
                <w:rFonts w:eastAsia="Times New Roman"/>
                <w:sz w:val="24"/>
                <w:szCs w:val="24"/>
                <w:lang w:eastAsia="lt-LT"/>
              </w:rPr>
            </w:pPr>
            <w:r w:rsidRPr="00243E8E">
              <w:rPr>
                <w:rFonts w:eastAsia="Times New Roman"/>
                <w:sz w:val="24"/>
                <w:szCs w:val="24"/>
                <w:lang w:eastAsia="lt-LT"/>
              </w:rPr>
              <w:t>6.</w:t>
            </w:r>
          </w:p>
        </w:tc>
        <w:tc>
          <w:tcPr>
            <w:tcW w:w="4650" w:type="dxa"/>
          </w:tcPr>
          <w:p w14:paraId="1409E0D4"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Sistemos infrastruktūra ir diegimas</w:t>
            </w:r>
          </w:p>
          <w:p w14:paraId="5A02DE56"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Ar AI posistemė turės būti diegiama perkančiosios organizacijos infrastruktūroje, ar tiekėjas turės užtikrinti infrastruktūrą ir skaičiavimo resursus DI modelių veikimui?</w:t>
            </w:r>
          </w:p>
        </w:tc>
        <w:tc>
          <w:tcPr>
            <w:tcW w:w="5596" w:type="dxa"/>
          </w:tcPr>
          <w:p w14:paraId="3B18615C" w14:textId="77777777" w:rsidR="00243E8E" w:rsidRPr="00243E8E" w:rsidRDefault="00243E8E" w:rsidP="007E5A47">
            <w:pPr>
              <w:jc w:val="both"/>
              <w:rPr>
                <w:sz w:val="24"/>
                <w:szCs w:val="24"/>
              </w:rPr>
            </w:pPr>
            <w:r w:rsidRPr="00243E8E">
              <w:rPr>
                <w:sz w:val="24"/>
                <w:szCs w:val="24"/>
              </w:rPr>
              <w:t>Tiekėjas turės pradėti vystyti, testuoti ir demonstruoti tarpinius rezultatus savo infrastruktūroje (Specialiųjų pirkimo sąlygų 2 priedo „Techninės specifikacija” sk. „REIKALAVIMAI PASLAUGŲ TIEKIMUI”, 2 p.)  Galutinė diegimo infrastruktūra VSSA pusėje bus suderinta ir pateikta per Techninėje specifikacijoje nurodytą terminą (Techninės specifikacijos sk. „REIKALAVIMAI PASLAUGŲ TIEKIMUI”, 3 p.). .SPP DIP turės veikti VSSA infrastruktūroje. Tuo tarpu DI modelių resursai (žetonai) turi būti teikiami ir apmokami Tiekėjo viso Sutarties galiojimo metu.</w:t>
            </w:r>
          </w:p>
        </w:tc>
      </w:tr>
      <w:tr w:rsidR="00243E8E" w:rsidRPr="00243E8E" w14:paraId="68C181D1" w14:textId="77777777" w:rsidTr="007E5A47">
        <w:trPr>
          <w:trHeight w:val="1529"/>
        </w:trPr>
        <w:tc>
          <w:tcPr>
            <w:tcW w:w="570" w:type="dxa"/>
          </w:tcPr>
          <w:p w14:paraId="2A7855E1" w14:textId="77777777" w:rsidR="00243E8E" w:rsidRPr="00243E8E" w:rsidRDefault="00243E8E" w:rsidP="007E5A47">
            <w:pPr>
              <w:jc w:val="both"/>
              <w:rPr>
                <w:rFonts w:eastAsia="Times New Roman"/>
                <w:sz w:val="24"/>
                <w:szCs w:val="24"/>
                <w:lang w:eastAsia="lt-LT"/>
              </w:rPr>
            </w:pPr>
            <w:r w:rsidRPr="00243E8E">
              <w:rPr>
                <w:rFonts w:eastAsia="Times New Roman"/>
                <w:sz w:val="24"/>
                <w:szCs w:val="24"/>
                <w:lang w:eastAsia="lt-LT"/>
              </w:rPr>
              <w:t>7.</w:t>
            </w:r>
          </w:p>
        </w:tc>
        <w:tc>
          <w:tcPr>
            <w:tcW w:w="4650" w:type="dxa"/>
          </w:tcPr>
          <w:p w14:paraId="65835E58"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Sistemos testavimas ir priėmimo kriterijai</w:t>
            </w:r>
          </w:p>
          <w:p w14:paraId="7BC74C5A"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Prašytume patikslinti, kokie bus pagrindiniai sistemos priėmimo kriterijai (</w:t>
            </w:r>
            <w:proofErr w:type="spellStart"/>
            <w:r w:rsidRPr="00243E8E">
              <w:rPr>
                <w:rFonts w:eastAsia="Calibri"/>
                <w:bCs/>
                <w:sz w:val="24"/>
                <w:szCs w:val="24"/>
              </w:rPr>
              <w:t>acceptance</w:t>
            </w:r>
            <w:proofErr w:type="spellEnd"/>
            <w:r w:rsidRPr="00243E8E">
              <w:rPr>
                <w:rFonts w:eastAsia="Calibri"/>
                <w:bCs/>
                <w:sz w:val="24"/>
                <w:szCs w:val="24"/>
              </w:rPr>
              <w:t xml:space="preserve"> </w:t>
            </w:r>
            <w:proofErr w:type="spellStart"/>
            <w:r w:rsidRPr="00243E8E">
              <w:rPr>
                <w:rFonts w:eastAsia="Calibri"/>
                <w:bCs/>
                <w:sz w:val="24"/>
                <w:szCs w:val="24"/>
              </w:rPr>
              <w:t>criteria</w:t>
            </w:r>
            <w:proofErr w:type="spellEnd"/>
            <w:r w:rsidRPr="00243E8E">
              <w:rPr>
                <w:rFonts w:eastAsia="Calibri"/>
                <w:bCs/>
                <w:sz w:val="24"/>
                <w:szCs w:val="24"/>
              </w:rPr>
              <w:t xml:space="preserve">), ypač vertinant </w:t>
            </w:r>
            <w:proofErr w:type="spellStart"/>
            <w:r w:rsidRPr="00243E8E">
              <w:rPr>
                <w:rFonts w:eastAsia="Calibri"/>
                <w:bCs/>
                <w:sz w:val="24"/>
                <w:szCs w:val="24"/>
              </w:rPr>
              <w:t>chatbot</w:t>
            </w:r>
            <w:proofErr w:type="spellEnd"/>
            <w:r w:rsidRPr="00243E8E">
              <w:rPr>
                <w:rFonts w:eastAsia="Calibri"/>
                <w:bCs/>
                <w:sz w:val="24"/>
                <w:szCs w:val="24"/>
              </w:rPr>
              <w:t xml:space="preserve"> atsakymų tikslumą ir RAG sistemos rezultatų kokybę.</w:t>
            </w:r>
          </w:p>
        </w:tc>
        <w:tc>
          <w:tcPr>
            <w:tcW w:w="5596" w:type="dxa"/>
          </w:tcPr>
          <w:p w14:paraId="27C9189A" w14:textId="77777777" w:rsidR="00243E8E" w:rsidRPr="00243E8E" w:rsidRDefault="00243E8E" w:rsidP="007E5A47">
            <w:pPr>
              <w:jc w:val="both"/>
              <w:rPr>
                <w:sz w:val="24"/>
                <w:szCs w:val="24"/>
              </w:rPr>
            </w:pPr>
            <w:r w:rsidRPr="00243E8E">
              <w:rPr>
                <w:sz w:val="24"/>
                <w:szCs w:val="24"/>
              </w:rPr>
              <w:t>Testavimo ir priėmimo kriterijai, įskaitant konkrečius scenarijus, turės būti suderinti projekto eigoje ir atitikti Techninės specifikacijos reikalavimus SPP DIP ir pokalbių robotams, įskaitant specializuotų pokalbių robotų reikalavimus, aprašytus Techninės specifikacijos sk. „SPP IŠORINIŲ NAUDOTOJŲ POKALBIŲ ROBOTAI</w:t>
            </w:r>
            <w:r w:rsidRPr="00243E8E">
              <w:rPr>
                <w:sz w:val="24"/>
                <w:szCs w:val="24"/>
                <w:lang w:val="en-US"/>
              </w:rPr>
              <w:t>”</w:t>
            </w:r>
            <w:r w:rsidRPr="00243E8E">
              <w:rPr>
                <w:sz w:val="24"/>
                <w:szCs w:val="24"/>
              </w:rPr>
              <w:t>.</w:t>
            </w:r>
          </w:p>
        </w:tc>
      </w:tr>
      <w:tr w:rsidR="00243E8E" w:rsidRPr="00243E8E" w14:paraId="0C1792CF" w14:textId="77777777" w:rsidTr="007E5A47">
        <w:trPr>
          <w:trHeight w:val="620"/>
        </w:trPr>
        <w:tc>
          <w:tcPr>
            <w:tcW w:w="570" w:type="dxa"/>
          </w:tcPr>
          <w:p w14:paraId="629E1FC4" w14:textId="77777777" w:rsidR="00243E8E" w:rsidRPr="00243E8E" w:rsidRDefault="00243E8E" w:rsidP="007E5A47">
            <w:pPr>
              <w:jc w:val="both"/>
              <w:rPr>
                <w:rFonts w:eastAsia="Times New Roman"/>
                <w:sz w:val="24"/>
                <w:szCs w:val="24"/>
                <w:lang w:eastAsia="lt-LT"/>
              </w:rPr>
            </w:pPr>
            <w:r w:rsidRPr="00243E8E">
              <w:rPr>
                <w:rFonts w:eastAsia="Times New Roman"/>
                <w:sz w:val="24"/>
                <w:szCs w:val="24"/>
                <w:lang w:eastAsia="lt-LT"/>
              </w:rPr>
              <w:t>8.</w:t>
            </w:r>
          </w:p>
        </w:tc>
        <w:tc>
          <w:tcPr>
            <w:tcW w:w="4650" w:type="dxa"/>
          </w:tcPr>
          <w:p w14:paraId="6735912B"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Technines specifikacijos skyrius "Bendri reikalavimai SPP DIP", punktas:</w:t>
            </w:r>
          </w:p>
          <w:p w14:paraId="0D0F1F34"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"SPP DIP integracija ir sąveika su DI modeliais turi būti realizuotos per unifikuotą "DI modelių vartų modulį", užtikrinant vieningą pokalbių robotų sąveiką su įvairiais išoriniais DI modeliais ir galimybę naudoti "DI modelių vartų" integracines programines sąsajas, kaip integracinius vartus (</w:t>
            </w:r>
            <w:proofErr w:type="spellStart"/>
            <w:r w:rsidRPr="00243E8E">
              <w:rPr>
                <w:rFonts w:eastAsia="Calibri"/>
                <w:bCs/>
                <w:sz w:val="24"/>
                <w:szCs w:val="24"/>
              </w:rPr>
              <w:t>Application</w:t>
            </w:r>
            <w:proofErr w:type="spellEnd"/>
            <w:r w:rsidRPr="00243E8E">
              <w:rPr>
                <w:rFonts w:eastAsia="Calibri"/>
                <w:bCs/>
                <w:sz w:val="24"/>
                <w:szCs w:val="24"/>
              </w:rPr>
              <w:t xml:space="preserve"> </w:t>
            </w:r>
            <w:proofErr w:type="spellStart"/>
            <w:r w:rsidRPr="00243E8E">
              <w:rPr>
                <w:rFonts w:eastAsia="Calibri"/>
                <w:bCs/>
                <w:sz w:val="24"/>
                <w:szCs w:val="24"/>
              </w:rPr>
              <w:t>Programming</w:t>
            </w:r>
            <w:proofErr w:type="spellEnd"/>
            <w:r w:rsidRPr="00243E8E">
              <w:rPr>
                <w:rFonts w:eastAsia="Calibri"/>
                <w:bCs/>
                <w:sz w:val="24"/>
                <w:szCs w:val="24"/>
              </w:rPr>
              <w:t xml:space="preserve"> </w:t>
            </w:r>
            <w:proofErr w:type="spellStart"/>
            <w:r w:rsidRPr="00243E8E">
              <w:rPr>
                <w:rFonts w:eastAsia="Calibri"/>
                <w:bCs/>
                <w:sz w:val="24"/>
                <w:szCs w:val="24"/>
              </w:rPr>
              <w:t>Interface</w:t>
            </w:r>
            <w:proofErr w:type="spellEnd"/>
            <w:r w:rsidRPr="00243E8E">
              <w:rPr>
                <w:rFonts w:eastAsia="Calibri"/>
                <w:bCs/>
                <w:sz w:val="24"/>
                <w:szCs w:val="24"/>
              </w:rPr>
              <w:t xml:space="preserve"> </w:t>
            </w:r>
            <w:proofErr w:type="spellStart"/>
            <w:r w:rsidRPr="00243E8E">
              <w:rPr>
                <w:rFonts w:eastAsia="Calibri"/>
                <w:bCs/>
                <w:sz w:val="24"/>
                <w:szCs w:val="24"/>
              </w:rPr>
              <w:t>Gateway</w:t>
            </w:r>
            <w:proofErr w:type="spellEnd"/>
            <w:r w:rsidRPr="00243E8E">
              <w:rPr>
                <w:rFonts w:eastAsia="Calibri"/>
                <w:bCs/>
                <w:sz w:val="24"/>
                <w:szCs w:val="24"/>
              </w:rPr>
              <w:t>, API GW) integracijai su išorinėmis VSSA informacinėmis sistemomis".</w:t>
            </w:r>
          </w:p>
          <w:p w14:paraId="182CB5AE" w14:textId="77777777" w:rsidR="00243E8E" w:rsidRPr="00243E8E" w:rsidRDefault="00243E8E" w:rsidP="007E5A47">
            <w:pPr>
              <w:contextualSpacing/>
              <w:jc w:val="both"/>
              <w:rPr>
                <w:rFonts w:eastAsia="Calibri"/>
                <w:bCs/>
                <w:sz w:val="24"/>
                <w:szCs w:val="24"/>
              </w:rPr>
            </w:pPr>
          </w:p>
          <w:p w14:paraId="06429900"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 xml:space="preserve">Klausimas: Ar "DI modelių vartų modulis" turi būti sukurtas Tiekėjo kaip atskiras SPP DIP komponentas, ar gali būti naudojama esamų rinkoje prieinamų DI API valdymo platformų (pvz., </w:t>
            </w:r>
            <w:proofErr w:type="spellStart"/>
            <w:r w:rsidRPr="00243E8E">
              <w:rPr>
                <w:rFonts w:eastAsia="Calibri"/>
                <w:bCs/>
                <w:sz w:val="24"/>
                <w:szCs w:val="24"/>
              </w:rPr>
              <w:t>LiteLLM</w:t>
            </w:r>
            <w:proofErr w:type="spellEnd"/>
            <w:r w:rsidRPr="00243E8E">
              <w:rPr>
                <w:rFonts w:eastAsia="Calibri"/>
                <w:bCs/>
                <w:sz w:val="24"/>
                <w:szCs w:val="24"/>
              </w:rPr>
              <w:t xml:space="preserve">, </w:t>
            </w:r>
            <w:proofErr w:type="spellStart"/>
            <w:r w:rsidRPr="00243E8E">
              <w:rPr>
                <w:rFonts w:eastAsia="Calibri"/>
                <w:bCs/>
                <w:sz w:val="24"/>
                <w:szCs w:val="24"/>
              </w:rPr>
              <w:t>Portkey</w:t>
            </w:r>
            <w:proofErr w:type="spellEnd"/>
            <w:r w:rsidRPr="00243E8E">
              <w:rPr>
                <w:rFonts w:eastAsia="Calibri"/>
                <w:bCs/>
                <w:sz w:val="24"/>
                <w:szCs w:val="24"/>
              </w:rPr>
              <w:t>) tipo sprendimas? Tai svarbu tiekėjo pasiūlymo kainai įvertinti ir techninei architektūrai suprasti.</w:t>
            </w:r>
          </w:p>
        </w:tc>
        <w:tc>
          <w:tcPr>
            <w:tcW w:w="5596" w:type="dxa"/>
          </w:tcPr>
          <w:p w14:paraId="43F43EBC" w14:textId="77777777" w:rsidR="00243E8E" w:rsidRPr="00243E8E" w:rsidRDefault="00243E8E" w:rsidP="007E5A47">
            <w:pPr>
              <w:jc w:val="both"/>
              <w:rPr>
                <w:sz w:val="24"/>
                <w:szCs w:val="24"/>
              </w:rPr>
            </w:pPr>
            <w:r w:rsidRPr="00243E8E">
              <w:rPr>
                <w:sz w:val="24"/>
                <w:szCs w:val="24"/>
              </w:rPr>
              <w:t>„DI modelių vartų“ modulis gali būti kuriamas tiekėjo arba naudojamos rinkoje prieinamos platformos. Svarbu, kad pasirinktos realizacijos technologijos ir licencijavimas tenkintų Techninės specifikacijos reikalavimus diegimui VSSA infrastruktūroje ir programinio kodo bei visų techninių artefaktų perdavimui su teise savarankiškai vystyti SP DIP ateityje.</w:t>
            </w:r>
          </w:p>
        </w:tc>
      </w:tr>
      <w:tr w:rsidR="00243E8E" w:rsidRPr="00243E8E" w14:paraId="6E52462B" w14:textId="77777777" w:rsidTr="007E5A47">
        <w:trPr>
          <w:trHeight w:val="1529"/>
        </w:trPr>
        <w:tc>
          <w:tcPr>
            <w:tcW w:w="570" w:type="dxa"/>
          </w:tcPr>
          <w:p w14:paraId="7F67C0E0" w14:textId="77777777" w:rsidR="00243E8E" w:rsidRPr="00243E8E" w:rsidRDefault="00243E8E" w:rsidP="007E5A47">
            <w:pPr>
              <w:jc w:val="both"/>
              <w:rPr>
                <w:rFonts w:eastAsia="Times New Roman"/>
                <w:sz w:val="24"/>
                <w:szCs w:val="24"/>
                <w:lang w:eastAsia="lt-LT"/>
              </w:rPr>
            </w:pPr>
            <w:r w:rsidRPr="00243E8E">
              <w:rPr>
                <w:rFonts w:eastAsia="Times New Roman"/>
                <w:sz w:val="24"/>
                <w:szCs w:val="24"/>
                <w:lang w:eastAsia="lt-LT"/>
              </w:rPr>
              <w:t>9.</w:t>
            </w:r>
          </w:p>
        </w:tc>
        <w:tc>
          <w:tcPr>
            <w:tcW w:w="4650" w:type="dxa"/>
          </w:tcPr>
          <w:p w14:paraId="4A5F3B9F"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Technines specifikacijos skyrius "Bendri reikalavimai SPP DIP", punktas:</w:t>
            </w:r>
          </w:p>
          <w:p w14:paraId="427F327B"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 xml:space="preserve">"SPP DIP naudotojų autentifikavimo mechanizmas turi palaikyti integraciją su VSSA naudojama debesijos tapatybės ir prieigos valdymo platformą Microsoft </w:t>
            </w:r>
            <w:proofErr w:type="spellStart"/>
            <w:r w:rsidRPr="00243E8E">
              <w:rPr>
                <w:rFonts w:eastAsia="Calibri"/>
                <w:bCs/>
                <w:sz w:val="24"/>
                <w:szCs w:val="24"/>
              </w:rPr>
              <w:t>Entra</w:t>
            </w:r>
            <w:proofErr w:type="spellEnd"/>
            <w:r w:rsidRPr="00243E8E">
              <w:rPr>
                <w:rFonts w:eastAsia="Calibri"/>
                <w:bCs/>
                <w:sz w:val="24"/>
                <w:szCs w:val="24"/>
              </w:rPr>
              <w:t xml:space="preserve"> ID."</w:t>
            </w:r>
          </w:p>
          <w:p w14:paraId="24C06BDB" w14:textId="77777777" w:rsidR="00243E8E" w:rsidRPr="00243E8E" w:rsidRDefault="00243E8E" w:rsidP="007E5A47">
            <w:pPr>
              <w:contextualSpacing/>
              <w:jc w:val="both"/>
              <w:rPr>
                <w:rFonts w:eastAsia="Calibri"/>
                <w:bCs/>
                <w:sz w:val="24"/>
                <w:szCs w:val="24"/>
              </w:rPr>
            </w:pPr>
          </w:p>
          <w:p w14:paraId="04F67BDE"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 xml:space="preserve">Klausimas: Ar VSSA suteiks Tiekėjui reikiamą prieigą prie Microsoft </w:t>
            </w:r>
            <w:proofErr w:type="spellStart"/>
            <w:r w:rsidRPr="00243E8E">
              <w:rPr>
                <w:rFonts w:eastAsia="Calibri"/>
                <w:bCs/>
                <w:sz w:val="24"/>
                <w:szCs w:val="24"/>
              </w:rPr>
              <w:t>Entra</w:t>
            </w:r>
            <w:proofErr w:type="spellEnd"/>
            <w:r w:rsidRPr="00243E8E">
              <w:rPr>
                <w:rFonts w:eastAsia="Calibri"/>
                <w:bCs/>
                <w:sz w:val="24"/>
                <w:szCs w:val="24"/>
              </w:rPr>
              <w:t xml:space="preserve"> ID konfigūravimo ir testavimo diegimo metu, ir per kokį laikotarpį nuo Sutarties pasirašymo ši prieiga bus suteikta? Tai svarbu projekto grafikui planuoti ir techninėms integracijoms laiku įgyvendinti.</w:t>
            </w:r>
          </w:p>
        </w:tc>
        <w:tc>
          <w:tcPr>
            <w:tcW w:w="5596" w:type="dxa"/>
          </w:tcPr>
          <w:p w14:paraId="7EFA95D0" w14:textId="77777777" w:rsidR="00243E8E" w:rsidRPr="00243E8E" w:rsidRDefault="00243E8E" w:rsidP="007E5A47">
            <w:pPr>
              <w:jc w:val="both"/>
              <w:rPr>
                <w:sz w:val="24"/>
                <w:szCs w:val="24"/>
                <w:lang w:val="en-US"/>
              </w:rPr>
            </w:pPr>
            <w:r w:rsidRPr="00243E8E">
              <w:rPr>
                <w:sz w:val="24"/>
                <w:szCs w:val="24"/>
              </w:rPr>
              <w:t xml:space="preserve">Prieiga prie VSSA infrastruktūros ir Microsoft </w:t>
            </w:r>
            <w:proofErr w:type="spellStart"/>
            <w:r w:rsidRPr="00243E8E">
              <w:rPr>
                <w:sz w:val="24"/>
                <w:szCs w:val="24"/>
              </w:rPr>
              <w:t>Entra</w:t>
            </w:r>
            <w:proofErr w:type="spellEnd"/>
            <w:r w:rsidRPr="00243E8E">
              <w:rPr>
                <w:sz w:val="24"/>
                <w:szCs w:val="24"/>
              </w:rPr>
              <w:t xml:space="preserve"> ID paslaugų bus suteiktą Tiekėjui ne vėliau nei per 1 (vieną) mėnesį nuo Sutarties pasirašymo (Techninės specifikacijos sk. „REIKALAVIMAI PASLAUGŲ TEIKIMU</w:t>
            </w:r>
            <w:r w:rsidRPr="00243E8E">
              <w:rPr>
                <w:sz w:val="24"/>
                <w:szCs w:val="24"/>
                <w:lang w:val="en-US"/>
              </w:rPr>
              <w:t>I”, 3 p.).</w:t>
            </w:r>
          </w:p>
        </w:tc>
      </w:tr>
      <w:tr w:rsidR="00243E8E" w:rsidRPr="00243E8E" w14:paraId="08788751" w14:textId="77777777" w:rsidTr="007E5A47">
        <w:trPr>
          <w:trHeight w:val="620"/>
        </w:trPr>
        <w:tc>
          <w:tcPr>
            <w:tcW w:w="570" w:type="dxa"/>
          </w:tcPr>
          <w:p w14:paraId="655AD854" w14:textId="77777777" w:rsidR="00243E8E" w:rsidRPr="00243E8E" w:rsidRDefault="00243E8E" w:rsidP="007E5A47">
            <w:pPr>
              <w:jc w:val="both"/>
              <w:rPr>
                <w:rFonts w:eastAsia="Times New Roman"/>
                <w:sz w:val="24"/>
                <w:szCs w:val="24"/>
                <w:lang w:eastAsia="lt-LT"/>
              </w:rPr>
            </w:pPr>
            <w:r w:rsidRPr="00243E8E">
              <w:rPr>
                <w:rFonts w:eastAsia="Times New Roman"/>
                <w:sz w:val="24"/>
                <w:szCs w:val="24"/>
                <w:lang w:eastAsia="lt-LT"/>
              </w:rPr>
              <w:t>10.</w:t>
            </w:r>
          </w:p>
        </w:tc>
        <w:tc>
          <w:tcPr>
            <w:tcW w:w="4650" w:type="dxa"/>
          </w:tcPr>
          <w:p w14:paraId="692A0054"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Technines specifikacijos skyrius "VSSA aktualių teisės aktų žinių bazė", punktas:</w:t>
            </w:r>
          </w:p>
          <w:p w14:paraId="0B5B935A"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"Mažiausiai 2 suderintiems su VSSA teisės aktams, kurie įtraukti į žinių bazę ir kurie viešai prieinami LR teisės aktų registre ir ES teisės aktų registre EUR-</w:t>
            </w:r>
            <w:proofErr w:type="spellStart"/>
            <w:r w:rsidRPr="00243E8E">
              <w:rPr>
                <w:rFonts w:eastAsia="Calibri"/>
                <w:bCs/>
                <w:sz w:val="24"/>
                <w:szCs w:val="24"/>
              </w:rPr>
              <w:t>Lex</w:t>
            </w:r>
            <w:proofErr w:type="spellEnd"/>
            <w:r w:rsidRPr="00243E8E">
              <w:rPr>
                <w:rFonts w:eastAsia="Calibri"/>
                <w:bCs/>
                <w:sz w:val="24"/>
                <w:szCs w:val="24"/>
              </w:rPr>
              <w:t>, turi būti realizuotas ir pademonstruotas automatinio pakeitimų sekimo ir žinių bazės atnaujinimo funkcionalumas."</w:t>
            </w:r>
          </w:p>
          <w:p w14:paraId="53308856" w14:textId="77777777" w:rsidR="00243E8E" w:rsidRPr="00243E8E" w:rsidRDefault="00243E8E" w:rsidP="007E5A47">
            <w:pPr>
              <w:contextualSpacing/>
              <w:jc w:val="both"/>
              <w:rPr>
                <w:rFonts w:eastAsia="Calibri"/>
                <w:bCs/>
                <w:sz w:val="24"/>
                <w:szCs w:val="24"/>
              </w:rPr>
            </w:pPr>
          </w:p>
          <w:p w14:paraId="07EB1E44"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Klausimas: Ar automatinio pakeitimų sekimo funkcionalumas turi būti realizuotas per tiesioginę integraciją su e-</w:t>
            </w:r>
            <w:proofErr w:type="spellStart"/>
            <w:r w:rsidRPr="00243E8E">
              <w:rPr>
                <w:rFonts w:eastAsia="Calibri"/>
                <w:bCs/>
                <w:sz w:val="24"/>
                <w:szCs w:val="24"/>
              </w:rPr>
              <w:t>tar.lt</w:t>
            </w:r>
            <w:proofErr w:type="spellEnd"/>
            <w:r w:rsidRPr="00243E8E">
              <w:rPr>
                <w:rFonts w:eastAsia="Calibri"/>
                <w:bCs/>
                <w:sz w:val="24"/>
                <w:szCs w:val="24"/>
              </w:rPr>
              <w:t xml:space="preserve"> ir EUR-</w:t>
            </w:r>
            <w:proofErr w:type="spellStart"/>
            <w:r w:rsidRPr="00243E8E">
              <w:rPr>
                <w:rFonts w:eastAsia="Calibri"/>
                <w:bCs/>
                <w:sz w:val="24"/>
                <w:szCs w:val="24"/>
              </w:rPr>
              <w:t>Lex</w:t>
            </w:r>
            <w:proofErr w:type="spellEnd"/>
            <w:r w:rsidRPr="00243E8E">
              <w:rPr>
                <w:rFonts w:eastAsia="Calibri"/>
                <w:bCs/>
                <w:sz w:val="24"/>
                <w:szCs w:val="24"/>
              </w:rPr>
              <w:t xml:space="preserve"> sistemų API (jei tokios yra), ar pakanka periodinio automatizuoto </w:t>
            </w:r>
            <w:proofErr w:type="spellStart"/>
            <w:r w:rsidRPr="00243E8E">
              <w:rPr>
                <w:rFonts w:eastAsia="Calibri"/>
                <w:bCs/>
                <w:sz w:val="24"/>
                <w:szCs w:val="24"/>
              </w:rPr>
              <w:t>parsavimo</w:t>
            </w:r>
            <w:proofErr w:type="spellEnd"/>
            <w:r w:rsidRPr="00243E8E">
              <w:rPr>
                <w:rFonts w:eastAsia="Calibri"/>
                <w:bCs/>
                <w:sz w:val="24"/>
                <w:szCs w:val="24"/>
              </w:rPr>
              <w:t xml:space="preserve"> (</w:t>
            </w:r>
            <w:proofErr w:type="spellStart"/>
            <w:r w:rsidRPr="00243E8E">
              <w:rPr>
                <w:rFonts w:eastAsia="Calibri"/>
                <w:bCs/>
                <w:sz w:val="24"/>
                <w:szCs w:val="24"/>
              </w:rPr>
              <w:t>web</w:t>
            </w:r>
            <w:proofErr w:type="spellEnd"/>
            <w:r w:rsidRPr="00243E8E">
              <w:rPr>
                <w:rFonts w:eastAsia="Calibri"/>
                <w:bCs/>
                <w:sz w:val="24"/>
                <w:szCs w:val="24"/>
              </w:rPr>
              <w:t xml:space="preserve"> </w:t>
            </w:r>
            <w:proofErr w:type="spellStart"/>
            <w:r w:rsidRPr="00243E8E">
              <w:rPr>
                <w:rFonts w:eastAsia="Calibri"/>
                <w:bCs/>
                <w:sz w:val="24"/>
                <w:szCs w:val="24"/>
              </w:rPr>
              <w:t>scraping</w:t>
            </w:r>
            <w:proofErr w:type="spellEnd"/>
            <w:r w:rsidRPr="00243E8E">
              <w:rPr>
                <w:rFonts w:eastAsia="Calibri"/>
                <w:bCs/>
                <w:sz w:val="24"/>
                <w:szCs w:val="24"/>
              </w:rPr>
              <w:t>) mechanizmo? Tai svarbu techninės realizacijos sudėtingumui ir architektūros sprendimams įvertinti.</w:t>
            </w:r>
          </w:p>
        </w:tc>
        <w:tc>
          <w:tcPr>
            <w:tcW w:w="5596" w:type="dxa"/>
          </w:tcPr>
          <w:p w14:paraId="61F4D411" w14:textId="77777777" w:rsidR="00243E8E" w:rsidRPr="00243E8E" w:rsidRDefault="00243E8E" w:rsidP="007E5A47">
            <w:pPr>
              <w:jc w:val="both"/>
              <w:rPr>
                <w:sz w:val="24"/>
                <w:szCs w:val="24"/>
              </w:rPr>
            </w:pPr>
            <w:r w:rsidRPr="00243E8E">
              <w:rPr>
                <w:sz w:val="24"/>
                <w:szCs w:val="24"/>
              </w:rPr>
              <w:t>Techninė specifikacija nekelia reikalavimų konkrečiam realizacijos mechanizmui, paliekant tai Tiekėjo pasirinkimui. Periodinis automatizuotas nuskaitymas iš e-</w:t>
            </w:r>
            <w:proofErr w:type="spellStart"/>
            <w:r w:rsidRPr="00243E8E">
              <w:rPr>
                <w:sz w:val="24"/>
                <w:szCs w:val="24"/>
              </w:rPr>
              <w:t>tar.lt</w:t>
            </w:r>
            <w:proofErr w:type="spellEnd"/>
            <w:r w:rsidRPr="00243E8E">
              <w:rPr>
                <w:sz w:val="24"/>
                <w:szCs w:val="24"/>
              </w:rPr>
              <w:t xml:space="preserve"> svetainės (angl. </w:t>
            </w:r>
            <w:proofErr w:type="spellStart"/>
            <w:r w:rsidRPr="00243E8E">
              <w:rPr>
                <w:sz w:val="24"/>
                <w:szCs w:val="24"/>
              </w:rPr>
              <w:t>web</w:t>
            </w:r>
            <w:proofErr w:type="spellEnd"/>
            <w:r w:rsidRPr="00243E8E">
              <w:rPr>
                <w:sz w:val="24"/>
                <w:szCs w:val="24"/>
              </w:rPr>
              <w:t xml:space="preserve"> </w:t>
            </w:r>
            <w:proofErr w:type="spellStart"/>
            <w:r w:rsidRPr="00243E8E">
              <w:rPr>
                <w:sz w:val="24"/>
                <w:szCs w:val="24"/>
              </w:rPr>
              <w:t>scrapping</w:t>
            </w:r>
            <w:proofErr w:type="spellEnd"/>
            <w:r w:rsidRPr="00243E8E">
              <w:rPr>
                <w:sz w:val="24"/>
                <w:szCs w:val="24"/>
              </w:rPr>
              <w:t>) yra pakankamas mechanizmas.</w:t>
            </w:r>
          </w:p>
        </w:tc>
      </w:tr>
      <w:tr w:rsidR="00243E8E" w:rsidRPr="00243E8E" w14:paraId="02C588E0" w14:textId="77777777" w:rsidTr="007E5A47">
        <w:trPr>
          <w:trHeight w:val="710"/>
        </w:trPr>
        <w:tc>
          <w:tcPr>
            <w:tcW w:w="570" w:type="dxa"/>
          </w:tcPr>
          <w:p w14:paraId="12EBDA90" w14:textId="77777777" w:rsidR="00243E8E" w:rsidRPr="00243E8E" w:rsidRDefault="00243E8E" w:rsidP="007E5A47">
            <w:pPr>
              <w:jc w:val="both"/>
              <w:rPr>
                <w:rFonts w:eastAsia="Times New Roman"/>
                <w:sz w:val="24"/>
                <w:szCs w:val="24"/>
                <w:lang w:eastAsia="lt-LT"/>
              </w:rPr>
            </w:pPr>
            <w:r w:rsidRPr="00243E8E">
              <w:rPr>
                <w:rFonts w:eastAsia="Times New Roman"/>
                <w:sz w:val="24"/>
                <w:szCs w:val="24"/>
                <w:lang w:eastAsia="lt-LT"/>
              </w:rPr>
              <w:t>11.</w:t>
            </w:r>
          </w:p>
        </w:tc>
        <w:tc>
          <w:tcPr>
            <w:tcW w:w="4650" w:type="dxa"/>
          </w:tcPr>
          <w:p w14:paraId="7D2C7943"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4. Technines specifikacijos skyrius "SPP bendrųjų žinių bazė", punktas:</w:t>
            </w:r>
          </w:p>
          <w:p w14:paraId="2E34ECF6"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 xml:space="preserve">"Pokalbių robotas turi būti integruotas su SPP posistemių duomenų bazėmis ir / arba integracinių sąsajų (API) sluoksniu, siekiant gauti dinaminę, realaus laiko informaciją apie: Paslaugų aprašus iš SPK </w:t>
            </w:r>
            <w:proofErr w:type="spellStart"/>
            <w:r w:rsidRPr="00243E8E">
              <w:rPr>
                <w:rFonts w:eastAsia="Calibri"/>
                <w:bCs/>
                <w:sz w:val="24"/>
                <w:szCs w:val="24"/>
              </w:rPr>
              <w:t>PostgreSQL</w:t>
            </w:r>
            <w:proofErr w:type="spellEnd"/>
            <w:r w:rsidRPr="00243E8E">
              <w:rPr>
                <w:rFonts w:eastAsia="Calibri"/>
                <w:bCs/>
                <w:sz w:val="24"/>
                <w:szCs w:val="24"/>
              </w:rPr>
              <w:t xml:space="preserve"> duomenų bazės; Paslaugų modelių ir metaduomenų aprašus iš SPP CORE </w:t>
            </w:r>
            <w:proofErr w:type="spellStart"/>
            <w:r w:rsidRPr="00243E8E">
              <w:rPr>
                <w:rFonts w:eastAsia="Calibri"/>
                <w:bCs/>
                <w:sz w:val="24"/>
                <w:szCs w:val="24"/>
              </w:rPr>
              <w:t>PostgreSQL</w:t>
            </w:r>
            <w:proofErr w:type="spellEnd"/>
            <w:r w:rsidRPr="00243E8E">
              <w:rPr>
                <w:rFonts w:eastAsia="Calibri"/>
                <w:bCs/>
                <w:sz w:val="24"/>
                <w:szCs w:val="24"/>
              </w:rPr>
              <w:t xml:space="preserve"> duomenų bazės".</w:t>
            </w:r>
          </w:p>
          <w:p w14:paraId="3F736951" w14:textId="77777777" w:rsidR="00243E8E" w:rsidRPr="00243E8E" w:rsidRDefault="00243E8E" w:rsidP="007E5A47">
            <w:pPr>
              <w:contextualSpacing/>
              <w:jc w:val="both"/>
              <w:rPr>
                <w:rFonts w:eastAsia="Calibri"/>
                <w:bCs/>
                <w:sz w:val="24"/>
                <w:szCs w:val="24"/>
              </w:rPr>
            </w:pPr>
          </w:p>
          <w:p w14:paraId="499C1AFF"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Klausimas: Ar VSSA pateiks SPK ir SPP CORE duomenų bazių schemas, API specifikacijas bei testavimo aplinkas su demonstraciniais duomenimis per 5 darbo dienas nuo Sutarties pasirašymo (analogiškai kaip nurodyta žinių bazių dokumentams)? Tai svarbu tiksliai įvertinti integracijos darbus ir užtikrinti jų laiku įgyvendinimą.</w:t>
            </w:r>
          </w:p>
        </w:tc>
        <w:tc>
          <w:tcPr>
            <w:tcW w:w="5596" w:type="dxa"/>
          </w:tcPr>
          <w:p w14:paraId="04C488EC" w14:textId="77777777" w:rsidR="00243E8E" w:rsidRPr="00243E8E" w:rsidRDefault="00243E8E" w:rsidP="007E5A47">
            <w:pPr>
              <w:jc w:val="both"/>
              <w:rPr>
                <w:sz w:val="24"/>
                <w:szCs w:val="24"/>
              </w:rPr>
            </w:pPr>
            <w:r w:rsidRPr="00243E8E">
              <w:rPr>
                <w:sz w:val="24"/>
                <w:szCs w:val="24"/>
              </w:rPr>
              <w:t>Tiekėjui bus pateikti duomenų struktūrų ir turinio aprašai, prieiga prie įdiegtų duomenų bazių bei užtikrintas palaikymas iš SPP posistemių tiekėjų pusės per 5 darbo dienas nuo Sutarties pasirašymo.</w:t>
            </w:r>
          </w:p>
        </w:tc>
      </w:tr>
      <w:tr w:rsidR="00243E8E" w:rsidRPr="00243E8E" w14:paraId="06DA136B" w14:textId="77777777" w:rsidTr="007E5A47">
        <w:trPr>
          <w:trHeight w:val="1529"/>
        </w:trPr>
        <w:tc>
          <w:tcPr>
            <w:tcW w:w="570" w:type="dxa"/>
          </w:tcPr>
          <w:p w14:paraId="6F20A342" w14:textId="77777777" w:rsidR="00243E8E" w:rsidRPr="00243E8E" w:rsidRDefault="00243E8E" w:rsidP="007E5A47">
            <w:pPr>
              <w:jc w:val="both"/>
              <w:rPr>
                <w:rFonts w:eastAsia="Times New Roman"/>
                <w:sz w:val="24"/>
                <w:szCs w:val="24"/>
                <w:lang w:eastAsia="lt-LT"/>
              </w:rPr>
            </w:pPr>
            <w:r w:rsidRPr="00243E8E">
              <w:rPr>
                <w:rFonts w:eastAsia="Times New Roman"/>
                <w:sz w:val="24"/>
                <w:szCs w:val="24"/>
                <w:lang w:eastAsia="lt-LT"/>
              </w:rPr>
              <w:t>12.</w:t>
            </w:r>
          </w:p>
        </w:tc>
        <w:tc>
          <w:tcPr>
            <w:tcW w:w="4650" w:type="dxa"/>
          </w:tcPr>
          <w:p w14:paraId="5224096C"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Technines specifikacijos skyrius "REIKALAVIMAI PASLAUGŲ TEIKIMUI", punktas apie palaikymo paslaugas:</w:t>
            </w:r>
          </w:p>
          <w:p w14:paraId="4B8A5B1C"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"Numatoma, kad palaikymo paslaugos preliminariai apims 480 (keturis šimtus aštuoniasdešimt) Tiekėjo specialistų darbo valandų Pakeitimams, Konsultacijoms ir IT incidentams, kilusiems ne dėl Tiekėjo kaltės."</w:t>
            </w:r>
          </w:p>
          <w:p w14:paraId="15D62A13" w14:textId="77777777" w:rsidR="00243E8E" w:rsidRPr="00243E8E" w:rsidRDefault="00243E8E" w:rsidP="007E5A47">
            <w:pPr>
              <w:contextualSpacing/>
              <w:jc w:val="both"/>
              <w:rPr>
                <w:rFonts w:eastAsia="Calibri"/>
                <w:bCs/>
                <w:sz w:val="24"/>
                <w:szCs w:val="24"/>
              </w:rPr>
            </w:pPr>
          </w:p>
          <w:p w14:paraId="5418D9C4"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Klausimas: Ar viršijus 480 valandų limitą Pakeitimams, Konsultacijoms ir IT incidentams bus taikoma papildoma apmokama paslauga pagal atskirą susitarimą, ar ši riba yra maksimali ir viršyti jos negalima Sutarties galiojimo laikotarpiu? Tai svarbu rizikos valdymui ir finansiniam įsipareigojimų aiškumui.</w:t>
            </w:r>
          </w:p>
        </w:tc>
        <w:tc>
          <w:tcPr>
            <w:tcW w:w="5596" w:type="dxa"/>
          </w:tcPr>
          <w:p w14:paraId="58671D40" w14:textId="77777777" w:rsidR="00243E8E" w:rsidRPr="00243E8E" w:rsidRDefault="00243E8E" w:rsidP="007E5A47">
            <w:pPr>
              <w:jc w:val="both"/>
              <w:rPr>
                <w:sz w:val="24"/>
                <w:szCs w:val="24"/>
              </w:rPr>
            </w:pPr>
            <w:r w:rsidRPr="00243E8E">
              <w:rPr>
                <w:sz w:val="24"/>
                <w:szCs w:val="24"/>
              </w:rPr>
              <w:t>Techninėje specifikacijoje nurodytas valandų limitas yra maksimalus šio pirkimo Sutarties rėmuose. Tolesnių apmokamų paslaugų pirkimas bus organizuojamas atskirai.</w:t>
            </w:r>
          </w:p>
        </w:tc>
      </w:tr>
      <w:tr w:rsidR="00243E8E" w:rsidRPr="00243E8E" w14:paraId="09D1F1AD" w14:textId="77777777" w:rsidTr="007E5A47">
        <w:trPr>
          <w:trHeight w:val="1529"/>
        </w:trPr>
        <w:tc>
          <w:tcPr>
            <w:tcW w:w="570" w:type="dxa"/>
          </w:tcPr>
          <w:p w14:paraId="7727AA50" w14:textId="77777777" w:rsidR="00243E8E" w:rsidRPr="00243E8E" w:rsidRDefault="00243E8E" w:rsidP="007E5A47">
            <w:pPr>
              <w:jc w:val="both"/>
              <w:rPr>
                <w:rFonts w:eastAsia="Times New Roman"/>
                <w:sz w:val="24"/>
                <w:szCs w:val="24"/>
                <w:lang w:eastAsia="lt-LT"/>
              </w:rPr>
            </w:pPr>
            <w:r w:rsidRPr="00243E8E">
              <w:rPr>
                <w:rFonts w:eastAsia="Times New Roman"/>
                <w:sz w:val="24"/>
                <w:szCs w:val="24"/>
                <w:lang w:eastAsia="lt-LT"/>
              </w:rPr>
              <w:t>13.</w:t>
            </w:r>
          </w:p>
        </w:tc>
        <w:tc>
          <w:tcPr>
            <w:tcW w:w="4650" w:type="dxa"/>
          </w:tcPr>
          <w:p w14:paraId="47BDB2FA"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Technines specifikacijos skyrius "Bendri reikalavimai SPP DIP", punktas:</w:t>
            </w:r>
          </w:p>
          <w:p w14:paraId="5387FAA9"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 xml:space="preserve">"SPP DIP turi būti tinkama diegti tiek VSSA valstybinio duomenų centro, tiek VSSA valdomoje Microsoft </w:t>
            </w:r>
            <w:proofErr w:type="spellStart"/>
            <w:r w:rsidRPr="00243E8E">
              <w:rPr>
                <w:rFonts w:eastAsia="Calibri"/>
                <w:bCs/>
                <w:sz w:val="24"/>
                <w:szCs w:val="24"/>
              </w:rPr>
              <w:t>Azure</w:t>
            </w:r>
            <w:proofErr w:type="spellEnd"/>
            <w:r w:rsidRPr="00243E8E">
              <w:rPr>
                <w:rFonts w:eastAsia="Calibri"/>
                <w:bCs/>
                <w:sz w:val="24"/>
                <w:szCs w:val="24"/>
              </w:rPr>
              <w:t xml:space="preserve"> debesijos infrastruktūroje."</w:t>
            </w:r>
          </w:p>
          <w:p w14:paraId="22A7F712" w14:textId="77777777" w:rsidR="00243E8E" w:rsidRPr="00243E8E" w:rsidRDefault="00243E8E" w:rsidP="007E5A47">
            <w:pPr>
              <w:contextualSpacing/>
              <w:jc w:val="both"/>
              <w:rPr>
                <w:rFonts w:eastAsia="Calibri"/>
                <w:bCs/>
                <w:sz w:val="24"/>
                <w:szCs w:val="24"/>
              </w:rPr>
            </w:pPr>
          </w:p>
          <w:p w14:paraId="20BE2091"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 xml:space="preserve">Klausimas: Ar VSSA gali nurodyti, kurioje konkrečiai infrastruktūroje (valstybiniame duomenų centre ar Microsoft </w:t>
            </w:r>
            <w:proofErr w:type="spellStart"/>
            <w:r w:rsidRPr="00243E8E">
              <w:rPr>
                <w:rFonts w:eastAsia="Calibri"/>
                <w:bCs/>
                <w:sz w:val="24"/>
                <w:szCs w:val="24"/>
              </w:rPr>
              <w:t>Azure</w:t>
            </w:r>
            <w:proofErr w:type="spellEnd"/>
            <w:r w:rsidRPr="00243E8E">
              <w:rPr>
                <w:rFonts w:eastAsia="Calibri"/>
                <w:bCs/>
                <w:sz w:val="24"/>
                <w:szCs w:val="24"/>
              </w:rPr>
              <w:t>) bus diegiama SPP DIP? Tai svarbu tiksliai apibrėžti techninės architektūros sprendimus, infrastruktūros reikalavimus ir įvertinti diegimo darbus bei jų terminus.</w:t>
            </w:r>
          </w:p>
        </w:tc>
        <w:tc>
          <w:tcPr>
            <w:tcW w:w="5596" w:type="dxa"/>
          </w:tcPr>
          <w:p w14:paraId="38F428E7" w14:textId="77777777" w:rsidR="00243E8E" w:rsidRPr="00243E8E" w:rsidRDefault="00243E8E" w:rsidP="007E5A47">
            <w:pPr>
              <w:jc w:val="both"/>
              <w:rPr>
                <w:sz w:val="24"/>
                <w:szCs w:val="24"/>
              </w:rPr>
            </w:pPr>
            <w:r w:rsidRPr="00243E8E">
              <w:rPr>
                <w:sz w:val="24"/>
                <w:szCs w:val="24"/>
              </w:rPr>
              <w:t>Techninės specifikacijos reikalavimuose nurodyta, kad sprendimas dėl SPP DIP diegimo aplinkų ir techninių artefaktų teikimo priemonių turi būti suderintas ne vėliau nei po 10 (dešimties) darbo dienų po Sutarties pasirašymo Projekto reglamento rėmuose. Užsakovas atsakingas pateikti diegimo aplinkos infrastruktūrą ir suteikti būtiną prieigą Tiekėjui ne vėliau nei per 1 (vieną) mėnesį nuo Sutarties pasirašymo</w:t>
            </w:r>
          </w:p>
        </w:tc>
      </w:tr>
      <w:tr w:rsidR="00243E8E" w:rsidRPr="00243E8E" w14:paraId="499408C7" w14:textId="77777777" w:rsidTr="007E5A47">
        <w:trPr>
          <w:trHeight w:val="1529"/>
        </w:trPr>
        <w:tc>
          <w:tcPr>
            <w:tcW w:w="570" w:type="dxa"/>
          </w:tcPr>
          <w:p w14:paraId="56311F76" w14:textId="77777777" w:rsidR="00243E8E" w:rsidRPr="00243E8E" w:rsidRDefault="00243E8E" w:rsidP="007E5A47">
            <w:pPr>
              <w:jc w:val="both"/>
              <w:rPr>
                <w:rFonts w:eastAsia="Times New Roman"/>
                <w:sz w:val="24"/>
                <w:szCs w:val="24"/>
                <w:lang w:eastAsia="lt-LT"/>
              </w:rPr>
            </w:pPr>
            <w:r w:rsidRPr="00243E8E">
              <w:rPr>
                <w:rFonts w:eastAsia="Times New Roman"/>
                <w:sz w:val="24"/>
                <w:szCs w:val="24"/>
                <w:lang w:eastAsia="lt-LT"/>
              </w:rPr>
              <w:t>14.</w:t>
            </w:r>
          </w:p>
        </w:tc>
        <w:tc>
          <w:tcPr>
            <w:tcW w:w="4650" w:type="dxa"/>
          </w:tcPr>
          <w:p w14:paraId="3590D2C0"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Technines specifikacijos skyrius "Bendri reikalavimai SPP DIP", punktas:</w:t>
            </w:r>
          </w:p>
          <w:p w14:paraId="0FF1E446"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"SPP DIP technologijos, diegimo priemonės ir infrastruktūros reikalavimai neturi riboti SPP DIP galimybių integruotis į SPP posistemių duomenų bazes, įdiegtas VSSA valstybinio duomenų centro infrastruktūroje."</w:t>
            </w:r>
          </w:p>
          <w:p w14:paraId="4DCF00B5" w14:textId="77777777" w:rsidR="00243E8E" w:rsidRPr="00243E8E" w:rsidRDefault="00243E8E" w:rsidP="007E5A47">
            <w:pPr>
              <w:contextualSpacing/>
              <w:jc w:val="both"/>
              <w:rPr>
                <w:rFonts w:eastAsia="Calibri"/>
                <w:bCs/>
                <w:sz w:val="24"/>
                <w:szCs w:val="24"/>
              </w:rPr>
            </w:pPr>
          </w:p>
          <w:p w14:paraId="195B1133"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 xml:space="preserve">Klausimas: Ar SPP posistemių (SPK, SPP CORE) duomenų bazės bus prieinamos per tiesioginį duomenų bazės prisijungimą (pvz., VPN tunelį), ar per REST API sluoksnį? Tai svarbu integracijos architektūrai, saugumo sprendimams ir </w:t>
            </w:r>
            <w:proofErr w:type="spellStart"/>
            <w:r w:rsidRPr="00243E8E">
              <w:rPr>
                <w:rFonts w:eastAsia="Calibri"/>
                <w:bCs/>
                <w:sz w:val="24"/>
                <w:szCs w:val="24"/>
              </w:rPr>
              <w:t>network</w:t>
            </w:r>
            <w:proofErr w:type="spellEnd"/>
            <w:r w:rsidRPr="00243E8E">
              <w:rPr>
                <w:rFonts w:eastAsia="Calibri"/>
                <w:bCs/>
                <w:sz w:val="24"/>
                <w:szCs w:val="24"/>
              </w:rPr>
              <w:t xml:space="preserve"> konfigūracijai planuoti.</w:t>
            </w:r>
          </w:p>
        </w:tc>
        <w:tc>
          <w:tcPr>
            <w:tcW w:w="5596" w:type="dxa"/>
          </w:tcPr>
          <w:p w14:paraId="55AF8527" w14:textId="77777777" w:rsidR="00243E8E" w:rsidRPr="00243E8E" w:rsidRDefault="00243E8E" w:rsidP="007E5A47">
            <w:pPr>
              <w:jc w:val="both"/>
              <w:rPr>
                <w:sz w:val="24"/>
                <w:szCs w:val="24"/>
              </w:rPr>
            </w:pPr>
            <w:r w:rsidRPr="00243E8E">
              <w:rPr>
                <w:sz w:val="24"/>
                <w:szCs w:val="24"/>
              </w:rPr>
              <w:t>SPP posistemių duomenų bazės bus prieinamos per tiesioginį duomenų bazių prisijungimą ir/arba per eksportuojamų/importuojamų failus. SPP DIP neturi būt integruojama su SPP posistemių duomenų bazes per REST API sluoksnį.</w:t>
            </w:r>
          </w:p>
        </w:tc>
      </w:tr>
      <w:tr w:rsidR="00243E8E" w:rsidRPr="00243E8E" w14:paraId="76B90DA6" w14:textId="77777777" w:rsidTr="007E5A47">
        <w:trPr>
          <w:trHeight w:val="1529"/>
        </w:trPr>
        <w:tc>
          <w:tcPr>
            <w:tcW w:w="570" w:type="dxa"/>
          </w:tcPr>
          <w:p w14:paraId="4F218B71" w14:textId="77777777" w:rsidR="00243E8E" w:rsidRPr="00243E8E" w:rsidRDefault="00243E8E" w:rsidP="007E5A47">
            <w:pPr>
              <w:jc w:val="both"/>
              <w:rPr>
                <w:rFonts w:eastAsia="Times New Roman"/>
                <w:sz w:val="24"/>
                <w:szCs w:val="24"/>
                <w:lang w:eastAsia="lt-LT"/>
              </w:rPr>
            </w:pPr>
            <w:r w:rsidRPr="00243E8E">
              <w:rPr>
                <w:rFonts w:eastAsia="Times New Roman"/>
                <w:sz w:val="24"/>
                <w:szCs w:val="24"/>
                <w:lang w:eastAsia="lt-LT"/>
              </w:rPr>
              <w:t>15.</w:t>
            </w:r>
          </w:p>
        </w:tc>
        <w:tc>
          <w:tcPr>
            <w:tcW w:w="4650" w:type="dxa"/>
          </w:tcPr>
          <w:p w14:paraId="54EF3D06"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Technines specifikacijos skyrius "Bendri reikalavimai DI pokalbių robotams", punktas:</w:t>
            </w:r>
          </w:p>
          <w:p w14:paraId="7904FA40"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"RAG vektorinio indeksavimo realizacija turi būti paremta VSSA turimu DI modeliu, įdiegtu VSSA infrastruktūroje. VSSA pateiks savo modelį ir būtina dokumentaciją per 5 darbo dienas po Sutarties pasirašymo."</w:t>
            </w:r>
          </w:p>
          <w:p w14:paraId="4F0158BE" w14:textId="77777777" w:rsidR="00243E8E" w:rsidRPr="00243E8E" w:rsidRDefault="00243E8E" w:rsidP="007E5A47">
            <w:pPr>
              <w:contextualSpacing/>
              <w:jc w:val="both"/>
              <w:rPr>
                <w:rFonts w:eastAsia="Calibri"/>
                <w:bCs/>
                <w:sz w:val="24"/>
                <w:szCs w:val="24"/>
              </w:rPr>
            </w:pPr>
          </w:p>
          <w:p w14:paraId="01B655A8"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 xml:space="preserve">Klausimas: Ar galite nurodyti, koks konkretus DI modelis (pavyzdžiui, </w:t>
            </w:r>
            <w:proofErr w:type="spellStart"/>
            <w:r w:rsidRPr="00243E8E">
              <w:rPr>
                <w:rFonts w:eastAsia="Calibri"/>
                <w:bCs/>
                <w:sz w:val="24"/>
                <w:szCs w:val="24"/>
              </w:rPr>
              <w:t>OpenAI</w:t>
            </w:r>
            <w:proofErr w:type="spellEnd"/>
            <w:r w:rsidRPr="00243E8E">
              <w:rPr>
                <w:rFonts w:eastAsia="Calibri"/>
                <w:bCs/>
                <w:sz w:val="24"/>
                <w:szCs w:val="24"/>
              </w:rPr>
              <w:t xml:space="preserve"> text-embedding-ada-002, </w:t>
            </w:r>
            <w:proofErr w:type="spellStart"/>
            <w:r w:rsidRPr="00243E8E">
              <w:rPr>
                <w:rFonts w:eastAsia="Calibri"/>
                <w:bCs/>
                <w:sz w:val="24"/>
                <w:szCs w:val="24"/>
              </w:rPr>
              <w:t>sentence-transformers</w:t>
            </w:r>
            <w:proofErr w:type="spellEnd"/>
            <w:r w:rsidRPr="00243E8E">
              <w:rPr>
                <w:rFonts w:eastAsia="Calibri"/>
                <w:bCs/>
                <w:sz w:val="24"/>
                <w:szCs w:val="24"/>
              </w:rPr>
              <w:t xml:space="preserve"> ar kitas) bus pateiktas RAG vektoriniam indeksavimui, ir kokį vektorių dimensiją jis generuoja? Tai svarbu vektorinės duomenų bazės architektūrai projektuoti ir techninei realizacijai planuoti.</w:t>
            </w:r>
          </w:p>
        </w:tc>
        <w:tc>
          <w:tcPr>
            <w:tcW w:w="5596" w:type="dxa"/>
          </w:tcPr>
          <w:p w14:paraId="4B00BF55" w14:textId="77777777" w:rsidR="00243E8E" w:rsidRPr="00243E8E" w:rsidRDefault="00243E8E" w:rsidP="007E5A47">
            <w:pPr>
              <w:jc w:val="both"/>
              <w:rPr>
                <w:sz w:val="24"/>
                <w:szCs w:val="24"/>
              </w:rPr>
            </w:pPr>
            <w:r w:rsidRPr="00243E8E">
              <w:rPr>
                <w:sz w:val="24"/>
                <w:szCs w:val="24"/>
              </w:rPr>
              <w:t>Perkančiosios organizacijos DI modelis „VSSA-SDSA/LT-MLKM-</w:t>
            </w:r>
            <w:proofErr w:type="spellStart"/>
            <w:r w:rsidRPr="00243E8E">
              <w:rPr>
                <w:sz w:val="24"/>
                <w:szCs w:val="24"/>
              </w:rPr>
              <w:t>modernBERT</w:t>
            </w:r>
            <w:proofErr w:type="spellEnd"/>
            <w:r w:rsidRPr="00243E8E">
              <w:rPr>
                <w:sz w:val="24"/>
                <w:szCs w:val="24"/>
              </w:rPr>
              <w:t>“ su aprašais yra  prieinamas atviroje prieigoje https://huggingface.co/VSSA-SDSA/LT-MLKM-modernBERT.</w:t>
            </w:r>
          </w:p>
        </w:tc>
      </w:tr>
      <w:tr w:rsidR="00243E8E" w:rsidRPr="00243E8E" w14:paraId="60BED15E" w14:textId="77777777" w:rsidTr="007E5A47">
        <w:trPr>
          <w:trHeight w:val="1529"/>
        </w:trPr>
        <w:tc>
          <w:tcPr>
            <w:tcW w:w="570" w:type="dxa"/>
          </w:tcPr>
          <w:p w14:paraId="344D8E1E" w14:textId="77777777" w:rsidR="00243E8E" w:rsidRPr="00243E8E" w:rsidRDefault="00243E8E" w:rsidP="007E5A47">
            <w:pPr>
              <w:jc w:val="both"/>
              <w:rPr>
                <w:rFonts w:eastAsia="Times New Roman"/>
                <w:sz w:val="24"/>
                <w:szCs w:val="24"/>
                <w:lang w:eastAsia="lt-LT"/>
              </w:rPr>
            </w:pPr>
            <w:r w:rsidRPr="00243E8E">
              <w:rPr>
                <w:rFonts w:eastAsia="Times New Roman"/>
                <w:sz w:val="24"/>
                <w:szCs w:val="24"/>
                <w:lang w:eastAsia="lt-LT"/>
              </w:rPr>
              <w:t>16.</w:t>
            </w:r>
          </w:p>
        </w:tc>
        <w:tc>
          <w:tcPr>
            <w:tcW w:w="4650" w:type="dxa"/>
          </w:tcPr>
          <w:p w14:paraId="1E51F5A2"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Technines specifikacijos skyrius "VSSA aktualių teisės aktų žinių bazė", punktas:</w:t>
            </w:r>
          </w:p>
          <w:p w14:paraId="49490E6F"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"Mažiausiai 2 suderintiems su VSSA teisės aktams, kurie įtraukti į žinių bazę ir kurie viešai prieinami LR teisės aktų registre ir ES teisės aktų registre EUR-</w:t>
            </w:r>
            <w:proofErr w:type="spellStart"/>
            <w:r w:rsidRPr="00243E8E">
              <w:rPr>
                <w:rFonts w:eastAsia="Calibri"/>
                <w:bCs/>
                <w:sz w:val="24"/>
                <w:szCs w:val="24"/>
              </w:rPr>
              <w:t>Lex</w:t>
            </w:r>
            <w:proofErr w:type="spellEnd"/>
            <w:r w:rsidRPr="00243E8E">
              <w:rPr>
                <w:rFonts w:eastAsia="Calibri"/>
                <w:bCs/>
                <w:sz w:val="24"/>
                <w:szCs w:val="24"/>
              </w:rPr>
              <w:t>, turi būti realizuotas ir pademonstruotas automatinio pakeitimų sekimo ir žinių bazės atnaujinimo funkcionalumas."</w:t>
            </w:r>
          </w:p>
          <w:p w14:paraId="12BB9636" w14:textId="77777777" w:rsidR="00243E8E" w:rsidRPr="00243E8E" w:rsidRDefault="00243E8E" w:rsidP="007E5A47">
            <w:pPr>
              <w:contextualSpacing/>
              <w:jc w:val="both"/>
              <w:rPr>
                <w:rFonts w:eastAsia="Calibri"/>
                <w:bCs/>
                <w:sz w:val="24"/>
                <w:szCs w:val="24"/>
              </w:rPr>
            </w:pPr>
          </w:p>
          <w:p w14:paraId="417E5FF2"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Klausimas: Kokiu dažnumu (pvz., kas valandą, kas dieną, kas savaitę) turi būti vykdomas automatinis teisės aktų pakeitimų tikrinimas ir žinių bazės atnaujinimas? Tai svarbu nustatyti sistemos apkrovą, resursų poreikius ir techninės realizacijos sudėtingumą.</w:t>
            </w:r>
          </w:p>
        </w:tc>
        <w:tc>
          <w:tcPr>
            <w:tcW w:w="5596" w:type="dxa"/>
          </w:tcPr>
          <w:p w14:paraId="2833A7F3" w14:textId="77777777" w:rsidR="00243E8E" w:rsidRPr="00243E8E" w:rsidRDefault="00243E8E" w:rsidP="007E5A47">
            <w:pPr>
              <w:jc w:val="both"/>
              <w:rPr>
                <w:sz w:val="24"/>
                <w:szCs w:val="24"/>
              </w:rPr>
            </w:pPr>
            <w:r w:rsidRPr="00243E8E">
              <w:rPr>
                <w:sz w:val="24"/>
                <w:szCs w:val="24"/>
              </w:rPr>
              <w:t>Turi būti užtikrinta galimybė VSSA reguliuot automatinio teisės aktų pakeitimų tikrinimo ir žinių bazės atnaujinimo dažnį. Numatoma, kad automatinis pakeitimų tikrinimas neturi būti dažnesnis nei kartas per savaitę.</w:t>
            </w:r>
          </w:p>
        </w:tc>
      </w:tr>
      <w:tr w:rsidR="00243E8E" w:rsidRPr="00243E8E" w14:paraId="2B14E265" w14:textId="77777777" w:rsidTr="007E5A47">
        <w:trPr>
          <w:trHeight w:val="1529"/>
        </w:trPr>
        <w:tc>
          <w:tcPr>
            <w:tcW w:w="570" w:type="dxa"/>
          </w:tcPr>
          <w:p w14:paraId="1372F6EA" w14:textId="77777777" w:rsidR="00243E8E" w:rsidRPr="00243E8E" w:rsidRDefault="00243E8E" w:rsidP="007E5A47">
            <w:pPr>
              <w:jc w:val="both"/>
              <w:rPr>
                <w:rFonts w:eastAsia="Times New Roman"/>
                <w:sz w:val="24"/>
                <w:szCs w:val="24"/>
                <w:lang w:eastAsia="lt-LT"/>
              </w:rPr>
            </w:pPr>
            <w:r w:rsidRPr="00243E8E">
              <w:rPr>
                <w:rFonts w:eastAsia="Times New Roman"/>
                <w:sz w:val="24"/>
                <w:szCs w:val="24"/>
                <w:lang w:eastAsia="lt-LT"/>
              </w:rPr>
              <w:t>17.</w:t>
            </w:r>
          </w:p>
        </w:tc>
        <w:tc>
          <w:tcPr>
            <w:tcW w:w="4650" w:type="dxa"/>
          </w:tcPr>
          <w:p w14:paraId="3C773AD6"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Technines specifikacijos skyrius "SPP bendrųjų žinių bazė", punktas:</w:t>
            </w:r>
          </w:p>
          <w:p w14:paraId="4518F6B0"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 xml:space="preserve">"Pokalbių robotas turi būti integruotas su SPP posistemių duomenų bazėmis ir / arba integracinių sąsajų (API) sluoksniu, siekiant gauti dinaminę, realaus laiko informaciją apie: Paslaugų aprašus iš SPK </w:t>
            </w:r>
            <w:proofErr w:type="spellStart"/>
            <w:r w:rsidRPr="00243E8E">
              <w:rPr>
                <w:rFonts w:eastAsia="Calibri"/>
                <w:bCs/>
                <w:sz w:val="24"/>
                <w:szCs w:val="24"/>
              </w:rPr>
              <w:t>PostgreSQL</w:t>
            </w:r>
            <w:proofErr w:type="spellEnd"/>
            <w:r w:rsidRPr="00243E8E">
              <w:rPr>
                <w:rFonts w:eastAsia="Calibri"/>
                <w:bCs/>
                <w:sz w:val="24"/>
                <w:szCs w:val="24"/>
              </w:rPr>
              <w:t xml:space="preserve"> duomenų bazės; Paslaugų modelių ir metaduomenų aprašus iš SPP CORE </w:t>
            </w:r>
            <w:proofErr w:type="spellStart"/>
            <w:r w:rsidRPr="00243E8E">
              <w:rPr>
                <w:rFonts w:eastAsia="Calibri"/>
                <w:bCs/>
                <w:sz w:val="24"/>
                <w:szCs w:val="24"/>
              </w:rPr>
              <w:t>PostgreSQL</w:t>
            </w:r>
            <w:proofErr w:type="spellEnd"/>
            <w:r w:rsidRPr="00243E8E">
              <w:rPr>
                <w:rFonts w:eastAsia="Calibri"/>
                <w:bCs/>
                <w:sz w:val="24"/>
                <w:szCs w:val="24"/>
              </w:rPr>
              <w:t xml:space="preserve"> duomenų bazės".</w:t>
            </w:r>
          </w:p>
          <w:p w14:paraId="69BC9AB2" w14:textId="77777777" w:rsidR="00243E8E" w:rsidRPr="00243E8E" w:rsidRDefault="00243E8E" w:rsidP="007E5A47">
            <w:pPr>
              <w:contextualSpacing/>
              <w:jc w:val="both"/>
              <w:rPr>
                <w:rFonts w:eastAsia="Calibri"/>
                <w:bCs/>
                <w:sz w:val="24"/>
                <w:szCs w:val="24"/>
              </w:rPr>
            </w:pPr>
          </w:p>
          <w:p w14:paraId="038799ED"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Klausimas: Kiek apytiksliai paslaugų aprašų ir paslaugų modelių yra SPK ir SPP CORE duomenų bazėse šiuo metu, ir koks yra tikėtinas jų augimo tempas per artimiausius 12 mėnesių? Tai svarbu įvertinti duomenų indeksavimo apimtį, vektorinės duomenų bazės dydį ir sistemos našumo reikalavimus.</w:t>
            </w:r>
          </w:p>
        </w:tc>
        <w:tc>
          <w:tcPr>
            <w:tcW w:w="5596" w:type="dxa"/>
          </w:tcPr>
          <w:p w14:paraId="0428C4DC" w14:textId="77777777" w:rsidR="00243E8E" w:rsidRPr="00243E8E" w:rsidRDefault="00243E8E" w:rsidP="007E5A47">
            <w:pPr>
              <w:jc w:val="both"/>
              <w:rPr>
                <w:sz w:val="24"/>
                <w:szCs w:val="24"/>
              </w:rPr>
            </w:pPr>
            <w:r w:rsidRPr="00243E8E">
              <w:rPr>
                <w:sz w:val="24"/>
                <w:szCs w:val="24"/>
              </w:rPr>
              <w:t xml:space="preserve">SPK ir SPP </w:t>
            </w:r>
            <w:proofErr w:type="spellStart"/>
            <w:r w:rsidRPr="00243E8E">
              <w:rPr>
                <w:sz w:val="24"/>
                <w:szCs w:val="24"/>
              </w:rPr>
              <w:t>core</w:t>
            </w:r>
            <w:proofErr w:type="spellEnd"/>
            <w:r w:rsidRPr="00243E8E">
              <w:rPr>
                <w:sz w:val="24"/>
                <w:szCs w:val="24"/>
              </w:rPr>
              <w:t xml:space="preserve"> projektai yra vykdymo stadijoje, todėl neturime augimo prognozių, tačiau galima orientuotis pagal dabartinį VIIP, kuriame yra apie 700 paslaugų aprašų.</w:t>
            </w:r>
          </w:p>
        </w:tc>
      </w:tr>
      <w:tr w:rsidR="00243E8E" w:rsidRPr="00243E8E" w14:paraId="170FBF71" w14:textId="77777777" w:rsidTr="007E5A47">
        <w:trPr>
          <w:trHeight w:val="1529"/>
        </w:trPr>
        <w:tc>
          <w:tcPr>
            <w:tcW w:w="570" w:type="dxa"/>
          </w:tcPr>
          <w:p w14:paraId="5B3E188D" w14:textId="77777777" w:rsidR="00243E8E" w:rsidRPr="00243E8E" w:rsidRDefault="00243E8E" w:rsidP="007E5A47">
            <w:pPr>
              <w:jc w:val="both"/>
              <w:rPr>
                <w:rFonts w:eastAsia="Times New Roman"/>
                <w:sz w:val="24"/>
                <w:szCs w:val="24"/>
                <w:lang w:eastAsia="lt-LT"/>
              </w:rPr>
            </w:pPr>
            <w:r w:rsidRPr="00243E8E">
              <w:rPr>
                <w:rFonts w:eastAsia="Times New Roman"/>
                <w:sz w:val="24"/>
                <w:szCs w:val="24"/>
                <w:lang w:eastAsia="lt-LT"/>
              </w:rPr>
              <w:t>18.</w:t>
            </w:r>
          </w:p>
        </w:tc>
        <w:tc>
          <w:tcPr>
            <w:tcW w:w="4650" w:type="dxa"/>
          </w:tcPr>
          <w:p w14:paraId="7840CD95"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Technines specifikacijos skyrius "Bendri reikalavimai DI pokalbių robotams", punktas:</w:t>
            </w:r>
          </w:p>
          <w:p w14:paraId="691BD0B3"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"95 proc. pokalbių robotų atsakymų pateikimas turi prasidėti ne ilgiau nei per 3 sekundes nuo vartotojo užklausos gavimo."</w:t>
            </w:r>
          </w:p>
          <w:p w14:paraId="6B2261BB" w14:textId="77777777" w:rsidR="00243E8E" w:rsidRPr="00243E8E" w:rsidRDefault="00243E8E" w:rsidP="007E5A47">
            <w:pPr>
              <w:contextualSpacing/>
              <w:jc w:val="both"/>
              <w:rPr>
                <w:rFonts w:eastAsia="Calibri"/>
                <w:bCs/>
                <w:sz w:val="24"/>
                <w:szCs w:val="24"/>
              </w:rPr>
            </w:pPr>
          </w:p>
          <w:p w14:paraId="210C22B2"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Klausimas: Ar šis 3 sekundžių reikalavimas taikomas visoms užklausoms nepriklausomai nuo jų sudėtingumo ir RAG proceso apimties (pvz., kai analizuojama kelių šimtų puslapių žinių bazė), ar yra skirtingi našumo reikalavimai paprastoms ir sudėtingoms užklausoms? Tai svarbu techninės architektūros optimizavimui ir infrastruktūros resursų planavimui.</w:t>
            </w:r>
          </w:p>
        </w:tc>
        <w:tc>
          <w:tcPr>
            <w:tcW w:w="5596" w:type="dxa"/>
          </w:tcPr>
          <w:p w14:paraId="699BBF88" w14:textId="77777777" w:rsidR="00243E8E" w:rsidRPr="00243E8E" w:rsidRDefault="00243E8E" w:rsidP="007E5A47">
            <w:pPr>
              <w:jc w:val="both"/>
              <w:rPr>
                <w:sz w:val="24"/>
                <w:szCs w:val="24"/>
              </w:rPr>
            </w:pPr>
            <w:r w:rsidRPr="00243E8E">
              <w:rPr>
                <w:sz w:val="24"/>
                <w:szCs w:val="24"/>
              </w:rPr>
              <w:t>Atkreipiame dėmesį, kad reikalavimas keliamas atsakymų pateikimo pradžiai, o ne galutiniam atsakymui. Reikalavimas akcentuoja poreikį artimo realaus laiko pokalbio palaikymui, kad išvengti situacijų, kai pirma reakcija iš pokalbių roboto ateina nepriimtinai vėlai.</w:t>
            </w:r>
          </w:p>
        </w:tc>
      </w:tr>
      <w:tr w:rsidR="00243E8E" w:rsidRPr="00243E8E" w14:paraId="2AADD683" w14:textId="77777777" w:rsidTr="007E5A47">
        <w:trPr>
          <w:trHeight w:val="1529"/>
        </w:trPr>
        <w:tc>
          <w:tcPr>
            <w:tcW w:w="570" w:type="dxa"/>
          </w:tcPr>
          <w:p w14:paraId="52300F44" w14:textId="77777777" w:rsidR="00243E8E" w:rsidRPr="00243E8E" w:rsidRDefault="00243E8E" w:rsidP="007E5A47">
            <w:pPr>
              <w:jc w:val="both"/>
              <w:rPr>
                <w:rFonts w:eastAsia="Times New Roman"/>
                <w:sz w:val="24"/>
                <w:szCs w:val="24"/>
                <w:lang w:eastAsia="lt-LT"/>
              </w:rPr>
            </w:pPr>
            <w:r w:rsidRPr="00243E8E">
              <w:rPr>
                <w:rFonts w:eastAsia="Times New Roman"/>
                <w:sz w:val="24"/>
                <w:szCs w:val="24"/>
                <w:lang w:eastAsia="lt-LT"/>
              </w:rPr>
              <w:t>19.</w:t>
            </w:r>
          </w:p>
        </w:tc>
        <w:tc>
          <w:tcPr>
            <w:tcW w:w="4650" w:type="dxa"/>
          </w:tcPr>
          <w:p w14:paraId="18C68CE8"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Technines specifikacijos skyrius "Reikalavimai paslaugų teikimui", punktas:</w:t>
            </w:r>
          </w:p>
          <w:p w14:paraId="141854A9"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"Užsakovas atsakingas pateikti diegimo aplinkos infrastruktūrą ir suteikti būtiną prieigą Tiekėjui ne vėliau nei per 1 (vieną) mėnesį nuo Sutarties pasirašymo."</w:t>
            </w:r>
          </w:p>
          <w:p w14:paraId="0474899A" w14:textId="77777777" w:rsidR="00243E8E" w:rsidRPr="00243E8E" w:rsidRDefault="00243E8E" w:rsidP="007E5A47">
            <w:pPr>
              <w:contextualSpacing/>
              <w:jc w:val="both"/>
              <w:rPr>
                <w:rFonts w:eastAsia="Calibri"/>
                <w:bCs/>
                <w:sz w:val="24"/>
                <w:szCs w:val="24"/>
              </w:rPr>
            </w:pPr>
          </w:p>
          <w:p w14:paraId="05CF80E3"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 xml:space="preserve">Klausimas: Ar VSSA pateiks paruoštą ir sukonfigūruotą infrastruktūrą (pvz., </w:t>
            </w:r>
            <w:proofErr w:type="spellStart"/>
            <w:r w:rsidRPr="00243E8E">
              <w:rPr>
                <w:rFonts w:eastAsia="Calibri"/>
                <w:bCs/>
                <w:sz w:val="24"/>
                <w:szCs w:val="24"/>
              </w:rPr>
              <w:t>Kubernetes</w:t>
            </w:r>
            <w:proofErr w:type="spellEnd"/>
            <w:r w:rsidRPr="00243E8E">
              <w:rPr>
                <w:rFonts w:eastAsia="Calibri"/>
                <w:bCs/>
                <w:sz w:val="24"/>
                <w:szCs w:val="24"/>
              </w:rPr>
              <w:t xml:space="preserve"> klasterį, duomenų bazes, </w:t>
            </w:r>
            <w:proofErr w:type="spellStart"/>
            <w:r w:rsidRPr="00243E8E">
              <w:rPr>
                <w:rFonts w:eastAsia="Calibri"/>
                <w:bCs/>
                <w:sz w:val="24"/>
                <w:szCs w:val="24"/>
              </w:rPr>
              <w:t>networking</w:t>
            </w:r>
            <w:proofErr w:type="spellEnd"/>
            <w:r w:rsidRPr="00243E8E">
              <w:rPr>
                <w:rFonts w:eastAsia="Calibri"/>
                <w:bCs/>
                <w:sz w:val="24"/>
                <w:szCs w:val="24"/>
              </w:rPr>
              <w:t>), ar Tiekėjas turės savarankiškai konfigūruoti ir administruoti suteiktą infrastruktūrą? Tai svarbu tiksliai apibrėžti Tiekėjo atsakomybės sritį, darbo apimtį ir projekto grafiką.</w:t>
            </w:r>
          </w:p>
        </w:tc>
        <w:tc>
          <w:tcPr>
            <w:tcW w:w="5596" w:type="dxa"/>
          </w:tcPr>
          <w:p w14:paraId="049030D4" w14:textId="77777777" w:rsidR="00243E8E" w:rsidRPr="00243E8E" w:rsidRDefault="00243E8E" w:rsidP="007E5A47">
            <w:pPr>
              <w:jc w:val="both"/>
              <w:rPr>
                <w:sz w:val="24"/>
                <w:szCs w:val="24"/>
              </w:rPr>
            </w:pPr>
            <w:r w:rsidRPr="00243E8E">
              <w:rPr>
                <w:sz w:val="24"/>
                <w:szCs w:val="24"/>
              </w:rPr>
              <w:t xml:space="preserve">Perkančioji organizacija pateiks infrastruktūrą, įskaitant </w:t>
            </w:r>
            <w:proofErr w:type="spellStart"/>
            <w:r w:rsidRPr="00243E8E">
              <w:rPr>
                <w:sz w:val="24"/>
                <w:szCs w:val="24"/>
              </w:rPr>
              <w:t>konteinerizavimo</w:t>
            </w:r>
            <w:proofErr w:type="spellEnd"/>
            <w:r w:rsidRPr="00243E8E">
              <w:rPr>
                <w:sz w:val="24"/>
                <w:szCs w:val="24"/>
              </w:rPr>
              <w:t xml:space="preserve"> ir/ar virtualių serverių (jeigu bus taikoma) resursus, tinklo ir prieigų konfigūravimą, pakankamą SPP DIP diegimui ir galutiniam konfigūravimui, kurį turės atlikti Tiekėjas.</w:t>
            </w:r>
          </w:p>
        </w:tc>
      </w:tr>
      <w:tr w:rsidR="00243E8E" w:rsidRPr="00243E8E" w14:paraId="01876E17" w14:textId="77777777" w:rsidTr="007E5A47">
        <w:trPr>
          <w:trHeight w:val="1529"/>
        </w:trPr>
        <w:tc>
          <w:tcPr>
            <w:tcW w:w="570" w:type="dxa"/>
          </w:tcPr>
          <w:p w14:paraId="6A0B1A7B" w14:textId="77777777" w:rsidR="00243E8E" w:rsidRPr="00243E8E" w:rsidRDefault="00243E8E" w:rsidP="007E5A47">
            <w:pPr>
              <w:jc w:val="both"/>
              <w:rPr>
                <w:rFonts w:eastAsia="Times New Roman"/>
                <w:sz w:val="24"/>
                <w:szCs w:val="24"/>
                <w:lang w:eastAsia="lt-LT"/>
              </w:rPr>
            </w:pPr>
            <w:r w:rsidRPr="00243E8E">
              <w:rPr>
                <w:rFonts w:eastAsia="Times New Roman"/>
                <w:sz w:val="24"/>
                <w:szCs w:val="24"/>
                <w:lang w:eastAsia="lt-LT"/>
              </w:rPr>
              <w:t>20.</w:t>
            </w:r>
          </w:p>
        </w:tc>
        <w:tc>
          <w:tcPr>
            <w:tcW w:w="4650" w:type="dxa"/>
          </w:tcPr>
          <w:p w14:paraId="4703D80B"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Technines specifikacijos skyrius "Reikalavimai paslaugų teikimui", punktas:</w:t>
            </w:r>
          </w:p>
          <w:p w14:paraId="79840565"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"Kūrimo ir diegimo paslaugos turi būti suteiktos ir patvirtintos Užsakovo ne vėliau nei 2026 gegužės 20 d.".</w:t>
            </w:r>
          </w:p>
          <w:p w14:paraId="58CFE701" w14:textId="77777777" w:rsidR="00243E8E" w:rsidRPr="00243E8E" w:rsidRDefault="00243E8E" w:rsidP="007E5A47">
            <w:pPr>
              <w:contextualSpacing/>
              <w:jc w:val="both"/>
              <w:rPr>
                <w:rFonts w:eastAsia="Calibri"/>
                <w:bCs/>
                <w:sz w:val="24"/>
                <w:szCs w:val="24"/>
              </w:rPr>
            </w:pPr>
          </w:p>
          <w:p w14:paraId="3ADE002F"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Klausimas: Koks yra tikėtinas Sutarties pasirašymo terminas? Tai svarbu įvertinti realų laiko resursą projektui įgyvendinti (atsižvelgiant į 1 mėnesio laukimo laiką diegimo infrastruktūrai gauti) ir projekto rizikų valdymui.</w:t>
            </w:r>
          </w:p>
        </w:tc>
        <w:tc>
          <w:tcPr>
            <w:tcW w:w="5596" w:type="dxa"/>
          </w:tcPr>
          <w:p w14:paraId="71B9D759" w14:textId="77777777" w:rsidR="00243E8E" w:rsidRPr="00243E8E" w:rsidRDefault="00243E8E" w:rsidP="007E5A47">
            <w:pPr>
              <w:jc w:val="both"/>
              <w:rPr>
                <w:sz w:val="24"/>
                <w:szCs w:val="24"/>
              </w:rPr>
            </w:pPr>
            <w:r w:rsidRPr="00243E8E">
              <w:rPr>
                <w:sz w:val="24"/>
                <w:szCs w:val="24"/>
              </w:rPr>
              <w:t>Perkančioji organizacija negali prognozuoti Sutarties pasirašymo termino dėl nuo jos nepriklausančių aplinkybių (tiekėjų pasiūlymų skaičiaus ir atitikties pirkimo sąlygų reikalavimams, nacionalinio saugumo institucijų patikrų ir kt.).</w:t>
            </w:r>
          </w:p>
        </w:tc>
      </w:tr>
      <w:tr w:rsidR="00243E8E" w:rsidRPr="00243E8E" w14:paraId="6FFA382D" w14:textId="77777777" w:rsidTr="007E5A47">
        <w:trPr>
          <w:trHeight w:val="1529"/>
        </w:trPr>
        <w:tc>
          <w:tcPr>
            <w:tcW w:w="570" w:type="dxa"/>
          </w:tcPr>
          <w:p w14:paraId="43972C77" w14:textId="77777777" w:rsidR="00243E8E" w:rsidRPr="00243E8E" w:rsidRDefault="00243E8E" w:rsidP="007E5A47">
            <w:pPr>
              <w:jc w:val="both"/>
              <w:rPr>
                <w:rFonts w:eastAsia="Times New Roman"/>
                <w:sz w:val="24"/>
                <w:szCs w:val="24"/>
                <w:lang w:eastAsia="lt-LT"/>
              </w:rPr>
            </w:pPr>
            <w:r w:rsidRPr="00243E8E">
              <w:rPr>
                <w:rFonts w:eastAsia="Times New Roman"/>
                <w:sz w:val="24"/>
                <w:szCs w:val="24"/>
                <w:lang w:eastAsia="lt-LT"/>
              </w:rPr>
              <w:t>21.</w:t>
            </w:r>
          </w:p>
        </w:tc>
        <w:tc>
          <w:tcPr>
            <w:tcW w:w="4650" w:type="dxa"/>
          </w:tcPr>
          <w:p w14:paraId="1991AF58"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Technines specifikacijos skyrius "SPP išorinių naudotojų pokalbių robotai", punktas:</w:t>
            </w:r>
          </w:p>
          <w:p w14:paraId="0500874F"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"Pokalbių robotai turi kontroliuoti, kad pokalbis liktų SPP naudojimo ir valstybės elektroninių paslaugų kontekste. Bet kokie pokalbio nukrypimai kita tema turi būti užkardomi."</w:t>
            </w:r>
          </w:p>
          <w:p w14:paraId="005387FE" w14:textId="77777777" w:rsidR="00243E8E" w:rsidRPr="00243E8E" w:rsidRDefault="00243E8E" w:rsidP="007E5A47">
            <w:pPr>
              <w:contextualSpacing/>
              <w:jc w:val="both"/>
              <w:rPr>
                <w:rFonts w:eastAsia="Calibri"/>
                <w:bCs/>
                <w:sz w:val="24"/>
                <w:szCs w:val="24"/>
              </w:rPr>
            </w:pPr>
          </w:p>
          <w:p w14:paraId="1F94C7C8"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 xml:space="preserve">Klausimas: Ar turinio moderavimo ir teminio konteksto kontrolės funkcionalumas turi būti realizuotas naudojant DI modelių turinio filtravimo funkcijas (pvz., </w:t>
            </w:r>
            <w:proofErr w:type="spellStart"/>
            <w:r w:rsidRPr="00243E8E">
              <w:rPr>
                <w:rFonts w:eastAsia="Calibri"/>
                <w:bCs/>
                <w:sz w:val="24"/>
                <w:szCs w:val="24"/>
              </w:rPr>
              <w:t>OpenAI</w:t>
            </w:r>
            <w:proofErr w:type="spellEnd"/>
            <w:r w:rsidRPr="00243E8E">
              <w:rPr>
                <w:rFonts w:eastAsia="Calibri"/>
                <w:bCs/>
                <w:sz w:val="24"/>
                <w:szCs w:val="24"/>
              </w:rPr>
              <w:t xml:space="preserve"> </w:t>
            </w:r>
            <w:proofErr w:type="spellStart"/>
            <w:r w:rsidRPr="00243E8E">
              <w:rPr>
                <w:rFonts w:eastAsia="Calibri"/>
                <w:bCs/>
                <w:sz w:val="24"/>
                <w:szCs w:val="24"/>
              </w:rPr>
              <w:t>Moderation</w:t>
            </w:r>
            <w:proofErr w:type="spellEnd"/>
            <w:r w:rsidRPr="00243E8E">
              <w:rPr>
                <w:rFonts w:eastAsia="Calibri"/>
                <w:bCs/>
                <w:sz w:val="24"/>
                <w:szCs w:val="24"/>
              </w:rPr>
              <w:t xml:space="preserve"> API), ar Tiekėjas turi sukurti papildomą turinio analizės ir filtravimo logiką? Tai svarbu techninės realizacijos sudėtingumui, DI resursų panaudojimui ir kaštams įvertinti.</w:t>
            </w:r>
          </w:p>
        </w:tc>
        <w:tc>
          <w:tcPr>
            <w:tcW w:w="5596" w:type="dxa"/>
          </w:tcPr>
          <w:p w14:paraId="29C11974" w14:textId="77777777" w:rsidR="00243E8E" w:rsidRPr="00243E8E" w:rsidRDefault="00243E8E" w:rsidP="007E5A47">
            <w:pPr>
              <w:jc w:val="both"/>
              <w:rPr>
                <w:sz w:val="24"/>
                <w:szCs w:val="24"/>
              </w:rPr>
            </w:pPr>
            <w:r w:rsidRPr="00243E8E">
              <w:rPr>
                <w:sz w:val="24"/>
                <w:szCs w:val="24"/>
              </w:rPr>
              <w:t>Tiekėjas turi pasirinkti realizacijos būdą, kuris neprieštarauja Techninės specifikacijos reikalavimams dėl standartinių DI modelių ir jų tiekėjų pakeičiamumo galimybių.</w:t>
            </w:r>
          </w:p>
        </w:tc>
      </w:tr>
      <w:tr w:rsidR="00243E8E" w:rsidRPr="00243E8E" w14:paraId="3AB8CBB9" w14:textId="77777777" w:rsidTr="007E5A47">
        <w:trPr>
          <w:trHeight w:val="1529"/>
        </w:trPr>
        <w:tc>
          <w:tcPr>
            <w:tcW w:w="570" w:type="dxa"/>
          </w:tcPr>
          <w:p w14:paraId="6D4A09A9" w14:textId="77777777" w:rsidR="00243E8E" w:rsidRPr="00243E8E" w:rsidRDefault="00243E8E" w:rsidP="007E5A47">
            <w:pPr>
              <w:jc w:val="both"/>
              <w:rPr>
                <w:rFonts w:eastAsia="Times New Roman"/>
                <w:sz w:val="24"/>
                <w:szCs w:val="24"/>
                <w:lang w:eastAsia="lt-LT"/>
              </w:rPr>
            </w:pPr>
            <w:r w:rsidRPr="00243E8E">
              <w:rPr>
                <w:rFonts w:eastAsia="Times New Roman"/>
                <w:sz w:val="24"/>
                <w:szCs w:val="24"/>
                <w:lang w:eastAsia="lt-LT"/>
              </w:rPr>
              <w:t>22.</w:t>
            </w:r>
          </w:p>
        </w:tc>
        <w:tc>
          <w:tcPr>
            <w:tcW w:w="4650" w:type="dxa"/>
          </w:tcPr>
          <w:p w14:paraId="4C618737"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Technines specifikacijos skyrius "Bendri reikalavimai SPP DIP", punktas:</w:t>
            </w:r>
          </w:p>
          <w:p w14:paraId="548D1555"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"Pasibaigus Sutarties galiojimui visi Sutarties metu sukurti artefaktai (išeities kodas, bibliotekos, projektavimo dokumentai, architektūros schemos ir pan.), išskyrus standartinius DI modelius ir jų tiekėjų paslaugas, turi būti perleisti VSSA".</w:t>
            </w:r>
          </w:p>
          <w:p w14:paraId="43783B3D" w14:textId="77777777" w:rsidR="00243E8E" w:rsidRPr="00243E8E" w:rsidRDefault="00243E8E" w:rsidP="007E5A47">
            <w:pPr>
              <w:contextualSpacing/>
              <w:jc w:val="both"/>
              <w:rPr>
                <w:rFonts w:eastAsia="Calibri"/>
                <w:bCs/>
                <w:sz w:val="24"/>
                <w:szCs w:val="24"/>
              </w:rPr>
            </w:pPr>
          </w:p>
          <w:p w14:paraId="7685796F"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 xml:space="preserve">Klausimas: Ar yra specifinių reikalavimų dėl naudojamų trečiųjų šalių bibliotekų ir komponentų licencijų tipo (pvz., MIT, </w:t>
            </w:r>
            <w:proofErr w:type="spellStart"/>
            <w:r w:rsidRPr="00243E8E">
              <w:rPr>
                <w:rFonts w:eastAsia="Calibri"/>
                <w:bCs/>
                <w:sz w:val="24"/>
                <w:szCs w:val="24"/>
              </w:rPr>
              <w:t>Apache</w:t>
            </w:r>
            <w:proofErr w:type="spellEnd"/>
            <w:r w:rsidRPr="00243E8E">
              <w:rPr>
                <w:rFonts w:eastAsia="Calibri"/>
                <w:bCs/>
                <w:sz w:val="24"/>
                <w:szCs w:val="24"/>
              </w:rPr>
              <w:t xml:space="preserve"> 2.0, GPL)? Tai svarbu užtikrinti, kad visi naudojami komponentai bus tinkami VSSA tolimesniam naudojimui be licencijavimo apribojimų ar papildomų kaštų.</w:t>
            </w:r>
          </w:p>
        </w:tc>
        <w:tc>
          <w:tcPr>
            <w:tcW w:w="5596" w:type="dxa"/>
          </w:tcPr>
          <w:p w14:paraId="79909533" w14:textId="77777777" w:rsidR="00243E8E" w:rsidRPr="00243E8E" w:rsidRDefault="00243E8E" w:rsidP="007E5A47">
            <w:pPr>
              <w:jc w:val="both"/>
              <w:rPr>
                <w:sz w:val="24"/>
                <w:szCs w:val="24"/>
              </w:rPr>
            </w:pPr>
            <w:r w:rsidRPr="00243E8E">
              <w:rPr>
                <w:sz w:val="24"/>
                <w:szCs w:val="24"/>
              </w:rPr>
              <w:t>Papildomų labiau specifinių reikalavimų prie Techninės specifikacijos sk. „Bendri reikalavimai SPP DIP“ 30-32 p. nėra.</w:t>
            </w:r>
          </w:p>
        </w:tc>
      </w:tr>
      <w:tr w:rsidR="00243E8E" w:rsidRPr="00243E8E" w14:paraId="73D600A8" w14:textId="77777777" w:rsidTr="007E5A47">
        <w:trPr>
          <w:trHeight w:val="1529"/>
        </w:trPr>
        <w:tc>
          <w:tcPr>
            <w:tcW w:w="570" w:type="dxa"/>
          </w:tcPr>
          <w:p w14:paraId="5E6C5E55" w14:textId="77777777" w:rsidR="00243E8E" w:rsidRPr="00243E8E" w:rsidRDefault="00243E8E" w:rsidP="007E5A47">
            <w:pPr>
              <w:jc w:val="both"/>
              <w:rPr>
                <w:rFonts w:eastAsia="Times New Roman"/>
                <w:sz w:val="24"/>
                <w:szCs w:val="24"/>
                <w:lang w:eastAsia="lt-LT"/>
              </w:rPr>
            </w:pPr>
            <w:r w:rsidRPr="00243E8E">
              <w:rPr>
                <w:rFonts w:eastAsia="Times New Roman"/>
                <w:sz w:val="24"/>
                <w:szCs w:val="24"/>
                <w:lang w:eastAsia="lt-LT"/>
              </w:rPr>
              <w:t>23.</w:t>
            </w:r>
          </w:p>
        </w:tc>
        <w:tc>
          <w:tcPr>
            <w:tcW w:w="4650" w:type="dxa"/>
          </w:tcPr>
          <w:p w14:paraId="7E6BD2D1"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Technines specifikacijos skyrius "Reikalavimai paslaugų teikimui", punktas:</w:t>
            </w:r>
          </w:p>
          <w:p w14:paraId="0983AA5E"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"Numatoma, kad palaikymo paslaugos preliminariai apims 480 (keturis šimtus aštuoniasdešimt) Tiekėjo specialistų darbo valandų Pakeitimams, Konsultacijoms ir IT incidentams, kilusiems ne dėl Tiekėjo kaltės."</w:t>
            </w:r>
          </w:p>
          <w:p w14:paraId="1B2B972A"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Klausimas: Kaip bus skirstomos 480 valandų apimtys tarp Pakeitimų, Konsultacijų ir IT incidentų kategorijų – ar yra numatyta konkreti proporcija kiekvienai kategorijai, ar šios valandos gali būti naudojamos bet kuriai kategorijai pagal faktinį poreikį? Tai svarbu resursų planavimui ir rizikų valdymui.</w:t>
            </w:r>
          </w:p>
        </w:tc>
        <w:tc>
          <w:tcPr>
            <w:tcW w:w="5596" w:type="dxa"/>
          </w:tcPr>
          <w:p w14:paraId="7252F6E1" w14:textId="77777777" w:rsidR="00243E8E" w:rsidRPr="00243E8E" w:rsidRDefault="00243E8E" w:rsidP="007E5A47">
            <w:pPr>
              <w:jc w:val="both"/>
              <w:rPr>
                <w:sz w:val="24"/>
                <w:szCs w:val="24"/>
              </w:rPr>
            </w:pPr>
            <w:r w:rsidRPr="00243E8E">
              <w:rPr>
                <w:sz w:val="24"/>
                <w:szCs w:val="24"/>
              </w:rPr>
              <w:t>Valandos bus naudojamos bet kuriai kategorijai pagal faktinį poreikį.</w:t>
            </w:r>
          </w:p>
        </w:tc>
      </w:tr>
      <w:tr w:rsidR="00243E8E" w:rsidRPr="00243E8E" w14:paraId="04EFD5BF" w14:textId="77777777" w:rsidTr="007E5A47">
        <w:trPr>
          <w:trHeight w:val="1529"/>
        </w:trPr>
        <w:tc>
          <w:tcPr>
            <w:tcW w:w="570" w:type="dxa"/>
          </w:tcPr>
          <w:p w14:paraId="73E43506" w14:textId="77777777" w:rsidR="00243E8E" w:rsidRPr="00243E8E" w:rsidRDefault="00243E8E" w:rsidP="007E5A47">
            <w:pPr>
              <w:jc w:val="both"/>
              <w:rPr>
                <w:rFonts w:eastAsia="Times New Roman"/>
                <w:sz w:val="24"/>
                <w:szCs w:val="24"/>
                <w:lang w:eastAsia="lt-LT"/>
              </w:rPr>
            </w:pPr>
            <w:r w:rsidRPr="00243E8E">
              <w:rPr>
                <w:rFonts w:eastAsia="Times New Roman"/>
                <w:sz w:val="24"/>
                <w:szCs w:val="24"/>
                <w:lang w:eastAsia="lt-LT"/>
              </w:rPr>
              <w:t>24.</w:t>
            </w:r>
          </w:p>
        </w:tc>
        <w:tc>
          <w:tcPr>
            <w:tcW w:w="4650" w:type="dxa"/>
          </w:tcPr>
          <w:p w14:paraId="14D31B19"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Pirkimo sąlygų 5 priedas “Kvalifikacijos reikalavimai tiekėjui”, punktas:</w:t>
            </w:r>
          </w:p>
          <w:p w14:paraId="01C34190"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 xml:space="preserve">Tiekėjas per paskutinius 5 (penkerius) metus iki pasiūlymo pateikimo termino pabaigos, arba per laiką nuo tiekėjo įregistravimo dienos (jeigu tiekėjas vykdė veiklą mažiau nei 5 (penkerius) metus), turi būti sukūręs arba modernizavęs bent vieną informacinę sistemą ar programinį sprendimą, kuriame buvo įdiegtas dirbtinio intelekto didelių kalbos modelių (angl. </w:t>
            </w:r>
            <w:proofErr w:type="spellStart"/>
            <w:r w:rsidRPr="00243E8E">
              <w:rPr>
                <w:rFonts w:eastAsia="Calibri"/>
                <w:bCs/>
                <w:sz w:val="24"/>
                <w:szCs w:val="24"/>
              </w:rPr>
              <w:t>Large</w:t>
            </w:r>
            <w:proofErr w:type="spellEnd"/>
            <w:r w:rsidRPr="00243E8E">
              <w:rPr>
                <w:rFonts w:eastAsia="Calibri"/>
                <w:bCs/>
                <w:sz w:val="24"/>
                <w:szCs w:val="24"/>
              </w:rPr>
              <w:t xml:space="preserve"> </w:t>
            </w:r>
            <w:proofErr w:type="spellStart"/>
            <w:r w:rsidRPr="00243E8E">
              <w:rPr>
                <w:rFonts w:eastAsia="Calibri"/>
                <w:bCs/>
                <w:sz w:val="24"/>
                <w:szCs w:val="24"/>
              </w:rPr>
              <w:t>Language</w:t>
            </w:r>
            <w:proofErr w:type="spellEnd"/>
            <w:r w:rsidRPr="00243E8E">
              <w:rPr>
                <w:rFonts w:eastAsia="Calibri"/>
                <w:bCs/>
                <w:sz w:val="24"/>
                <w:szCs w:val="24"/>
              </w:rPr>
              <w:t xml:space="preserve"> </w:t>
            </w:r>
            <w:proofErr w:type="spellStart"/>
            <w:r w:rsidRPr="00243E8E">
              <w:rPr>
                <w:rFonts w:eastAsia="Calibri"/>
                <w:bCs/>
                <w:sz w:val="24"/>
                <w:szCs w:val="24"/>
              </w:rPr>
              <w:t>Models</w:t>
            </w:r>
            <w:proofErr w:type="spellEnd"/>
            <w:r w:rsidRPr="00243E8E">
              <w:rPr>
                <w:rFonts w:eastAsia="Calibri"/>
                <w:bCs/>
                <w:sz w:val="24"/>
                <w:szCs w:val="24"/>
              </w:rPr>
              <w:t>, LLM) pagrindu veikiantis funkcionalumas (pvz., pokalbių robotas, virtualus asistentas, tekstų apdorojimas), kurios vertė būtų ne mažesnė kaip 30 000,00 (trisdešimt tūkstančių) Eur be PVM.</w:t>
            </w:r>
          </w:p>
          <w:p w14:paraId="3AB6DC9F" w14:textId="77777777" w:rsidR="00243E8E" w:rsidRPr="00243E8E" w:rsidRDefault="00243E8E" w:rsidP="007E5A47">
            <w:pPr>
              <w:contextualSpacing/>
              <w:jc w:val="both"/>
              <w:rPr>
                <w:rFonts w:eastAsia="Calibri"/>
                <w:bCs/>
                <w:sz w:val="24"/>
                <w:szCs w:val="24"/>
              </w:rPr>
            </w:pPr>
          </w:p>
          <w:p w14:paraId="143A9928"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 xml:space="preserve">Klausimas. Šio punkto pagrindimui galimo laimėjimo atveju reikalaujama pateikti Užsakovo pažymą. Jeigu buvo vykdytas vidaus projektas, atitinkantis nurodytas sąlygas, ar bus priimtinas </w:t>
            </w:r>
            <w:proofErr w:type="spellStart"/>
            <w:r w:rsidRPr="00243E8E">
              <w:rPr>
                <w:rFonts w:eastAsia="Calibri"/>
                <w:bCs/>
                <w:sz w:val="24"/>
                <w:szCs w:val="24"/>
              </w:rPr>
              <w:t>savideklaracija</w:t>
            </w:r>
            <w:proofErr w:type="spellEnd"/>
            <w:r w:rsidRPr="00243E8E">
              <w:rPr>
                <w:rFonts w:eastAsia="Calibri"/>
                <w:bCs/>
                <w:sz w:val="24"/>
                <w:szCs w:val="24"/>
              </w:rPr>
              <w:t xml:space="preserve"> už įvykdytą projektą.</w:t>
            </w:r>
          </w:p>
        </w:tc>
        <w:tc>
          <w:tcPr>
            <w:tcW w:w="5596" w:type="dxa"/>
          </w:tcPr>
          <w:p w14:paraId="27125266" w14:textId="77777777" w:rsidR="00243E8E" w:rsidRPr="00243E8E" w:rsidRDefault="00243E8E" w:rsidP="007E5A47">
            <w:pPr>
              <w:jc w:val="both"/>
              <w:rPr>
                <w:sz w:val="24"/>
                <w:szCs w:val="24"/>
              </w:rPr>
            </w:pPr>
            <w:r w:rsidRPr="00243E8E">
              <w:rPr>
                <w:sz w:val="24"/>
                <w:szCs w:val="24"/>
              </w:rPr>
              <w:t>Viešojo pirkimo komisija neatlieka išankstinio tiekėjų pasiūlymų vertinimo. Atitiktį kvalifikacijos reikalavimams pagrindžiančių dokumentų bus prašoma iš galimo laimėtojo ir jie bus vertinami pasiūlymų vertinimo etape.</w:t>
            </w:r>
          </w:p>
        </w:tc>
      </w:tr>
      <w:tr w:rsidR="00243E8E" w:rsidRPr="00243E8E" w14:paraId="25FB2505" w14:textId="77777777" w:rsidTr="007E5A47">
        <w:trPr>
          <w:trHeight w:val="1529"/>
        </w:trPr>
        <w:tc>
          <w:tcPr>
            <w:tcW w:w="570" w:type="dxa"/>
          </w:tcPr>
          <w:p w14:paraId="7FE7A6D2" w14:textId="77777777" w:rsidR="00243E8E" w:rsidRPr="00243E8E" w:rsidRDefault="00243E8E" w:rsidP="007E5A47">
            <w:pPr>
              <w:jc w:val="both"/>
              <w:rPr>
                <w:rFonts w:eastAsia="Times New Roman"/>
                <w:sz w:val="24"/>
                <w:szCs w:val="24"/>
                <w:lang w:eastAsia="lt-LT"/>
              </w:rPr>
            </w:pPr>
            <w:r w:rsidRPr="00243E8E">
              <w:rPr>
                <w:rFonts w:eastAsia="Times New Roman"/>
                <w:sz w:val="24"/>
                <w:szCs w:val="24"/>
                <w:lang w:eastAsia="lt-LT"/>
              </w:rPr>
              <w:t>25.</w:t>
            </w:r>
          </w:p>
        </w:tc>
        <w:tc>
          <w:tcPr>
            <w:tcW w:w="4650" w:type="dxa"/>
          </w:tcPr>
          <w:p w14:paraId="74F7CD75"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 xml:space="preserve">.Dėl AI </w:t>
            </w:r>
            <w:proofErr w:type="spellStart"/>
            <w:r w:rsidRPr="00243E8E">
              <w:rPr>
                <w:rFonts w:eastAsia="Calibri"/>
                <w:bCs/>
                <w:sz w:val="24"/>
                <w:szCs w:val="24"/>
              </w:rPr>
              <w:t>gateway</w:t>
            </w:r>
            <w:proofErr w:type="spellEnd"/>
            <w:r w:rsidRPr="00243E8E">
              <w:rPr>
                <w:rFonts w:eastAsia="Calibri"/>
                <w:bCs/>
                <w:sz w:val="24"/>
                <w:szCs w:val="24"/>
              </w:rPr>
              <w:t xml:space="preserve"> architektūros: Ar Perkančioji organizacija tikisi, kad tiekėjas:</w:t>
            </w:r>
          </w:p>
          <w:p w14:paraId="6191F56B"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 xml:space="preserve">• sukurs AI </w:t>
            </w:r>
            <w:proofErr w:type="spellStart"/>
            <w:r w:rsidRPr="00243E8E">
              <w:rPr>
                <w:rFonts w:eastAsia="Calibri"/>
                <w:bCs/>
                <w:sz w:val="24"/>
                <w:szCs w:val="24"/>
              </w:rPr>
              <w:t>gateway</w:t>
            </w:r>
            <w:proofErr w:type="spellEnd"/>
            <w:r w:rsidRPr="00243E8E">
              <w:rPr>
                <w:rFonts w:eastAsia="Calibri"/>
                <w:bCs/>
                <w:sz w:val="24"/>
                <w:szCs w:val="24"/>
              </w:rPr>
              <w:t xml:space="preserve"> sprendimą nuo nulio, ar</w:t>
            </w:r>
          </w:p>
          <w:p w14:paraId="3780E3B6"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 gali naudoti esamus (</w:t>
            </w:r>
            <w:proofErr w:type="spellStart"/>
            <w:r w:rsidRPr="00243E8E">
              <w:rPr>
                <w:rFonts w:eastAsia="Calibri"/>
                <w:bCs/>
                <w:sz w:val="24"/>
                <w:szCs w:val="24"/>
              </w:rPr>
              <w:t>third-party</w:t>
            </w:r>
            <w:proofErr w:type="spellEnd"/>
            <w:r w:rsidRPr="00243E8E">
              <w:rPr>
                <w:rFonts w:eastAsia="Calibri"/>
                <w:bCs/>
                <w:sz w:val="24"/>
                <w:szCs w:val="24"/>
              </w:rPr>
              <w:t>) sprendimus / platformas?</w:t>
            </w:r>
          </w:p>
          <w:p w14:paraId="66AC8EC9"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Taip pat prašome patikslinti, ar yra konkretūs reikalavimai tokioms funkcijoms kaip:</w:t>
            </w:r>
          </w:p>
          <w:p w14:paraId="04EEB4C7"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 xml:space="preserve">• semantinis </w:t>
            </w:r>
            <w:proofErr w:type="spellStart"/>
            <w:r w:rsidRPr="00243E8E">
              <w:rPr>
                <w:rFonts w:eastAsia="Calibri"/>
                <w:bCs/>
                <w:sz w:val="24"/>
                <w:szCs w:val="24"/>
              </w:rPr>
              <w:t>caching</w:t>
            </w:r>
            <w:proofErr w:type="spellEnd"/>
            <w:r w:rsidRPr="00243E8E">
              <w:rPr>
                <w:rFonts w:eastAsia="Calibri"/>
                <w:bCs/>
                <w:sz w:val="24"/>
                <w:szCs w:val="24"/>
              </w:rPr>
              <w:t>;</w:t>
            </w:r>
          </w:p>
          <w:p w14:paraId="5499DE27"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 xml:space="preserve">• </w:t>
            </w:r>
            <w:proofErr w:type="spellStart"/>
            <w:r w:rsidRPr="00243E8E">
              <w:rPr>
                <w:rFonts w:eastAsia="Calibri"/>
                <w:bCs/>
                <w:sz w:val="24"/>
                <w:szCs w:val="24"/>
              </w:rPr>
              <w:t>fallback</w:t>
            </w:r>
            <w:proofErr w:type="spellEnd"/>
            <w:r w:rsidRPr="00243E8E">
              <w:rPr>
                <w:rFonts w:eastAsia="Calibri"/>
                <w:bCs/>
                <w:sz w:val="24"/>
                <w:szCs w:val="24"/>
              </w:rPr>
              <w:t xml:space="preserve"> mechanizmai tarp modelių;</w:t>
            </w:r>
          </w:p>
          <w:p w14:paraId="2DEC7049"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 apkrovos balansavimas.</w:t>
            </w:r>
          </w:p>
        </w:tc>
        <w:tc>
          <w:tcPr>
            <w:tcW w:w="5596" w:type="dxa"/>
          </w:tcPr>
          <w:p w14:paraId="629C6C7F" w14:textId="77777777" w:rsidR="00243E8E" w:rsidRPr="00243E8E" w:rsidRDefault="00243E8E" w:rsidP="007E5A47">
            <w:pPr>
              <w:jc w:val="both"/>
              <w:rPr>
                <w:sz w:val="24"/>
                <w:szCs w:val="24"/>
              </w:rPr>
            </w:pPr>
            <w:r w:rsidRPr="00243E8E">
              <w:rPr>
                <w:sz w:val="24"/>
                <w:szCs w:val="24"/>
              </w:rPr>
              <w:t>Tiekėjas turi pasiūlyti realizaciją, kuri neprieštarauja Techninės specifikacijos reikalavimams, įskaitant Techninės specifikacijos sk. „Bendri reikalavimai SPP DIP“ 30-32 p.</w:t>
            </w:r>
          </w:p>
        </w:tc>
      </w:tr>
      <w:tr w:rsidR="00243E8E" w:rsidRPr="00243E8E" w14:paraId="5649EFA5" w14:textId="77777777" w:rsidTr="007E5A47">
        <w:trPr>
          <w:trHeight w:val="1529"/>
        </w:trPr>
        <w:tc>
          <w:tcPr>
            <w:tcW w:w="570" w:type="dxa"/>
          </w:tcPr>
          <w:p w14:paraId="2EC80556" w14:textId="77777777" w:rsidR="00243E8E" w:rsidRPr="00243E8E" w:rsidRDefault="00243E8E" w:rsidP="007E5A47">
            <w:pPr>
              <w:jc w:val="both"/>
              <w:rPr>
                <w:rFonts w:eastAsia="Times New Roman"/>
                <w:sz w:val="24"/>
                <w:szCs w:val="24"/>
                <w:lang w:eastAsia="lt-LT"/>
              </w:rPr>
            </w:pPr>
            <w:r w:rsidRPr="00243E8E">
              <w:rPr>
                <w:rFonts w:eastAsia="Times New Roman"/>
                <w:sz w:val="24"/>
                <w:szCs w:val="24"/>
                <w:lang w:eastAsia="lt-LT"/>
              </w:rPr>
              <w:t>26.</w:t>
            </w:r>
          </w:p>
        </w:tc>
        <w:tc>
          <w:tcPr>
            <w:tcW w:w="4650" w:type="dxa"/>
          </w:tcPr>
          <w:p w14:paraId="4A8189E3"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Dėl teisės aktų stebėsenos funkcionalumo: Techninėje specifikacijoje numatytas „automatizuotas teisės aktų pokyčių sekimas“ (pvz., integracijos su e-TAR, EUR-</w:t>
            </w:r>
            <w:proofErr w:type="spellStart"/>
            <w:r w:rsidRPr="00243E8E">
              <w:rPr>
                <w:rFonts w:eastAsia="Calibri"/>
                <w:bCs/>
                <w:sz w:val="24"/>
                <w:szCs w:val="24"/>
              </w:rPr>
              <w:t>Lex</w:t>
            </w:r>
            <w:proofErr w:type="spellEnd"/>
            <w:r w:rsidRPr="00243E8E">
              <w:rPr>
                <w:rFonts w:eastAsia="Calibri"/>
                <w:bCs/>
                <w:sz w:val="24"/>
                <w:szCs w:val="24"/>
              </w:rPr>
              <w:t>).</w:t>
            </w:r>
          </w:p>
          <w:p w14:paraId="6693948A"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Prašome patikslinti:</w:t>
            </w:r>
          </w:p>
          <w:p w14:paraId="46B6727C"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 kokio lygio automatizavimas tikimasi (periodinis tikrinimas, realaus laiko pokyčiai ir pan.);</w:t>
            </w:r>
          </w:p>
          <w:p w14:paraId="6052DEA7"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 ar yra numatytos konkrečios integracijos ar API, kurias reikėtų naudoti.</w:t>
            </w:r>
          </w:p>
        </w:tc>
        <w:tc>
          <w:tcPr>
            <w:tcW w:w="5596" w:type="dxa"/>
          </w:tcPr>
          <w:p w14:paraId="6634A42D" w14:textId="77777777" w:rsidR="00243E8E" w:rsidRPr="00243E8E" w:rsidRDefault="00243E8E" w:rsidP="007E5A47">
            <w:pPr>
              <w:rPr>
                <w:sz w:val="24"/>
                <w:szCs w:val="24"/>
              </w:rPr>
            </w:pPr>
            <w:r w:rsidRPr="00243E8E">
              <w:rPr>
                <w:sz w:val="24"/>
                <w:szCs w:val="24"/>
              </w:rPr>
              <w:t>Žr. atsakymą į kausimą Nr. 10.</w:t>
            </w:r>
          </w:p>
          <w:p w14:paraId="0C8B47B0" w14:textId="77777777" w:rsidR="00243E8E" w:rsidRPr="00243E8E" w:rsidRDefault="00243E8E" w:rsidP="007E5A47">
            <w:pPr>
              <w:jc w:val="both"/>
              <w:rPr>
                <w:sz w:val="24"/>
                <w:szCs w:val="24"/>
              </w:rPr>
            </w:pPr>
          </w:p>
        </w:tc>
      </w:tr>
      <w:tr w:rsidR="00243E8E" w:rsidRPr="00243E8E" w14:paraId="61786DE6" w14:textId="77777777" w:rsidTr="007E5A47">
        <w:trPr>
          <w:trHeight w:val="1529"/>
        </w:trPr>
        <w:tc>
          <w:tcPr>
            <w:tcW w:w="570" w:type="dxa"/>
          </w:tcPr>
          <w:p w14:paraId="6D7B7C6F" w14:textId="77777777" w:rsidR="00243E8E" w:rsidRPr="00243E8E" w:rsidRDefault="00243E8E" w:rsidP="007E5A47">
            <w:pPr>
              <w:jc w:val="both"/>
              <w:rPr>
                <w:rFonts w:eastAsia="Times New Roman"/>
                <w:sz w:val="24"/>
                <w:szCs w:val="24"/>
                <w:lang w:eastAsia="lt-LT"/>
              </w:rPr>
            </w:pPr>
            <w:r w:rsidRPr="00243E8E">
              <w:rPr>
                <w:rFonts w:eastAsia="Times New Roman"/>
                <w:sz w:val="24"/>
                <w:szCs w:val="24"/>
                <w:lang w:eastAsia="lt-LT"/>
              </w:rPr>
              <w:t>27.</w:t>
            </w:r>
          </w:p>
        </w:tc>
        <w:tc>
          <w:tcPr>
            <w:tcW w:w="4650" w:type="dxa"/>
          </w:tcPr>
          <w:p w14:paraId="356192F4"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Dėl integracijų su esamomis sistemomis (SPK, SPP CORE):</w:t>
            </w:r>
          </w:p>
          <w:p w14:paraId="7B4F7261"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Prašome patikslinti:</w:t>
            </w:r>
          </w:p>
          <w:p w14:paraId="31E3E7FA"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 ar integracijos bus vykdomos per API;</w:t>
            </w:r>
          </w:p>
          <w:p w14:paraId="0F473BAA"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 ar bus suteikta tiesioginė prieiga prie duomenų bazių;</w:t>
            </w:r>
          </w:p>
          <w:p w14:paraId="3AC89411" w14:textId="77777777" w:rsidR="00243E8E" w:rsidRPr="00243E8E" w:rsidRDefault="00243E8E" w:rsidP="007E5A47">
            <w:pPr>
              <w:contextualSpacing/>
              <w:jc w:val="both"/>
              <w:rPr>
                <w:rFonts w:eastAsia="Calibri"/>
                <w:bCs/>
                <w:sz w:val="24"/>
                <w:szCs w:val="24"/>
              </w:rPr>
            </w:pPr>
            <w:r w:rsidRPr="00243E8E">
              <w:rPr>
                <w:rFonts w:eastAsia="Calibri"/>
                <w:bCs/>
                <w:sz w:val="24"/>
                <w:szCs w:val="24"/>
              </w:rPr>
              <w:t>• ar šiuo metu jau egzistuoja paruošti integraciniai sluoksniai (API dokumentacija).</w:t>
            </w:r>
          </w:p>
        </w:tc>
        <w:tc>
          <w:tcPr>
            <w:tcW w:w="5596" w:type="dxa"/>
          </w:tcPr>
          <w:p w14:paraId="3BE52991" w14:textId="77777777" w:rsidR="00243E8E" w:rsidRPr="00243E8E" w:rsidRDefault="00243E8E" w:rsidP="007E5A47">
            <w:pPr>
              <w:jc w:val="both"/>
              <w:rPr>
                <w:sz w:val="24"/>
                <w:szCs w:val="24"/>
              </w:rPr>
            </w:pPr>
            <w:r w:rsidRPr="00243E8E">
              <w:rPr>
                <w:sz w:val="24"/>
                <w:szCs w:val="24"/>
              </w:rPr>
              <w:t>Žr. atsakymą į kausimą Nr. 14.</w:t>
            </w:r>
          </w:p>
        </w:tc>
      </w:tr>
    </w:tbl>
    <w:p w14:paraId="641D02AB" w14:textId="77777777" w:rsidR="00243E8E" w:rsidRPr="00243E8E" w:rsidRDefault="00243E8E" w:rsidP="00243E8E">
      <w:pPr>
        <w:pStyle w:val="FreeForm"/>
        <w:keepNext/>
        <w:spacing w:line="300" w:lineRule="atLeast"/>
        <w:rPr>
          <w:rFonts w:ascii="Times New Roman" w:hAnsi="Times New Roman" w:cs="Times New Roman"/>
          <w:sz w:val="24"/>
          <w:szCs w:val="24"/>
          <w:lang w:val="lt-LT"/>
        </w:rPr>
      </w:pPr>
    </w:p>
    <w:p w14:paraId="47FC4C76" w14:textId="77777777" w:rsidR="00243E8E" w:rsidRPr="00243E8E" w:rsidRDefault="00243E8E" w:rsidP="00243E8E">
      <w:pPr>
        <w:pStyle w:val="Caption"/>
        <w:rPr>
          <w:i w:val="0"/>
          <w:iCs w:val="0"/>
          <w:color w:val="auto"/>
          <w:sz w:val="24"/>
          <w:szCs w:val="24"/>
          <w:lang w:val="lt-LT"/>
        </w:rPr>
      </w:pPr>
      <w:r w:rsidRPr="00243E8E">
        <w:rPr>
          <w:i w:val="0"/>
          <w:iCs w:val="0"/>
          <w:color w:val="auto"/>
          <w:sz w:val="24"/>
          <w:szCs w:val="24"/>
          <w:lang w:val="lt-LT"/>
        </w:rPr>
        <w:t>Viešojo pirkimo komisija</w:t>
      </w:r>
    </w:p>
    <w:p w14:paraId="1AE52286" w14:textId="77777777" w:rsidR="009E62D1" w:rsidRPr="00243E8E" w:rsidRDefault="009E62D1"/>
    <w:sectPr w:rsidR="009E62D1" w:rsidRPr="00243E8E" w:rsidSect="00243E8E">
      <w:headerReference w:type="default" r:id="rId6"/>
      <w:footerReference w:type="default" r:id="rId7"/>
      <w:pgSz w:w="11900" w:h="16840"/>
      <w:pgMar w:top="1080" w:right="740" w:bottom="810" w:left="12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E9470" w14:textId="77777777" w:rsidR="00243E8E" w:rsidRDefault="00243E8E" w:rsidP="00243E8E">
      <w:r>
        <w:separator/>
      </w:r>
    </w:p>
  </w:endnote>
  <w:endnote w:type="continuationSeparator" w:id="0">
    <w:p w14:paraId="498FD982" w14:textId="77777777" w:rsidR="00243E8E" w:rsidRDefault="00243E8E" w:rsidP="00243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Helvetica Neue Medium">
    <w:altName w:val="Arial"/>
    <w:charset w:val="4D"/>
    <w:family w:val="swiss"/>
    <w:pitch w:val="variable"/>
    <w:sig w:usb0="A00002FF" w:usb1="5000205B" w:usb2="00000002" w:usb3="00000000" w:csb0="0000009B" w:csb1="00000000"/>
  </w:font>
  <w:font w:name="Helvetica Neue">
    <w:altName w:val="Sylfaen"/>
    <w:charset w:val="00"/>
    <w:family w:val="roman"/>
    <w:pitch w:val="default"/>
  </w:font>
  <w:font w:name="Calibri">
    <w:panose1 w:val="020F0502020204030204"/>
    <w:charset w:val="00"/>
    <w:family w:val="swiss"/>
    <w:pitch w:val="variable"/>
    <w:sig w:usb0="E4002EFF" w:usb1="C000247B" w:usb2="00000009" w:usb3="00000000" w:csb0="000001F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2BC0" w14:textId="77777777" w:rsidR="00243E8E" w:rsidRDefault="00243E8E">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F55EA" w14:textId="77777777" w:rsidR="00243E8E" w:rsidRDefault="00243E8E" w:rsidP="00243E8E">
      <w:r>
        <w:separator/>
      </w:r>
    </w:p>
  </w:footnote>
  <w:footnote w:type="continuationSeparator" w:id="0">
    <w:p w14:paraId="2C666A90" w14:textId="77777777" w:rsidR="00243E8E" w:rsidRDefault="00243E8E" w:rsidP="00243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3325" w14:textId="2356C421" w:rsidR="00243E8E" w:rsidRDefault="00243E8E">
    <w:pPr>
      <w:pStyle w:val="Header"/>
    </w:pPr>
    <w:r>
      <w:rPr>
        <w:rFonts w:ascii="Nunito Sans" w:hAnsi="Nunito Sans" w:cs="Arial"/>
        <w:noProof/>
        <w:color w:val="515365"/>
        <w:sz w:val="20"/>
        <w:szCs w:val="20"/>
      </w:rPr>
      <w:drawing>
        <wp:inline distT="0" distB="0" distL="0" distR="0" wp14:anchorId="52AEF08B" wp14:editId="1C4ED413">
          <wp:extent cx="1248229" cy="5124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E8E"/>
    <w:rsid w:val="00243E8E"/>
    <w:rsid w:val="00560ADA"/>
    <w:rsid w:val="00681129"/>
    <w:rsid w:val="00681758"/>
    <w:rsid w:val="009D2AB4"/>
    <w:rsid w:val="009E296D"/>
    <w:rsid w:val="009E62D1"/>
    <w:rsid w:val="00B9697F"/>
    <w:rsid w:val="00D604AB"/>
    <w:rsid w:val="00D75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E4638"/>
  <w15:chartTrackingRefBased/>
  <w15:docId w15:val="{6AD0333E-CC3E-4092-AFFF-5266C4B4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E8E"/>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243E8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243E8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243E8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243E8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14:ligatures w14:val="standardContextual"/>
    </w:rPr>
  </w:style>
  <w:style w:type="paragraph" w:styleId="Heading5">
    <w:name w:val="heading 5"/>
    <w:basedOn w:val="Normal"/>
    <w:next w:val="Normal"/>
    <w:link w:val="Heading5Char"/>
    <w:uiPriority w:val="9"/>
    <w:semiHidden/>
    <w:unhideWhenUsed/>
    <w:qFormat/>
    <w:rsid w:val="00243E8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14:ligatures w14:val="standardContextual"/>
    </w:rPr>
  </w:style>
  <w:style w:type="paragraph" w:styleId="Heading6">
    <w:name w:val="heading 6"/>
    <w:basedOn w:val="Normal"/>
    <w:next w:val="Normal"/>
    <w:link w:val="Heading6Char"/>
    <w:uiPriority w:val="9"/>
    <w:semiHidden/>
    <w:unhideWhenUsed/>
    <w:qFormat/>
    <w:rsid w:val="00243E8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14:ligatures w14:val="standardContextual"/>
    </w:rPr>
  </w:style>
  <w:style w:type="paragraph" w:styleId="Heading7">
    <w:name w:val="heading 7"/>
    <w:basedOn w:val="Normal"/>
    <w:next w:val="Normal"/>
    <w:link w:val="Heading7Char"/>
    <w:uiPriority w:val="9"/>
    <w:semiHidden/>
    <w:unhideWhenUsed/>
    <w:qFormat/>
    <w:rsid w:val="00243E8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14:ligatures w14:val="standardContextual"/>
    </w:rPr>
  </w:style>
  <w:style w:type="paragraph" w:styleId="Heading8">
    <w:name w:val="heading 8"/>
    <w:basedOn w:val="Normal"/>
    <w:next w:val="Normal"/>
    <w:link w:val="Heading8Char"/>
    <w:uiPriority w:val="9"/>
    <w:semiHidden/>
    <w:unhideWhenUsed/>
    <w:qFormat/>
    <w:rsid w:val="00243E8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14:ligatures w14:val="standardContextual"/>
    </w:rPr>
  </w:style>
  <w:style w:type="paragraph" w:styleId="Heading9">
    <w:name w:val="heading 9"/>
    <w:basedOn w:val="Normal"/>
    <w:next w:val="Normal"/>
    <w:link w:val="Heading9Char"/>
    <w:uiPriority w:val="9"/>
    <w:semiHidden/>
    <w:unhideWhenUsed/>
    <w:qFormat/>
    <w:rsid w:val="00243E8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E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3E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E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3E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3E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E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E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E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E8E"/>
    <w:rPr>
      <w:rFonts w:eastAsiaTheme="majorEastAsia" w:cstheme="majorBidi"/>
      <w:color w:val="272727" w:themeColor="text1" w:themeTint="D8"/>
    </w:rPr>
  </w:style>
  <w:style w:type="paragraph" w:styleId="Title">
    <w:name w:val="Title"/>
    <w:basedOn w:val="Normal"/>
    <w:next w:val="Normal"/>
    <w:link w:val="TitleChar"/>
    <w:uiPriority w:val="10"/>
    <w:qFormat/>
    <w:rsid w:val="00243E8E"/>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243E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E8E"/>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SubtitleChar">
    <w:name w:val="Subtitle Char"/>
    <w:basedOn w:val="DefaultParagraphFont"/>
    <w:link w:val="Subtitle"/>
    <w:uiPriority w:val="11"/>
    <w:rsid w:val="00243E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E8E"/>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14:ligatures w14:val="standardContextual"/>
    </w:rPr>
  </w:style>
  <w:style w:type="character" w:customStyle="1" w:styleId="QuoteChar">
    <w:name w:val="Quote Char"/>
    <w:basedOn w:val="DefaultParagraphFont"/>
    <w:link w:val="Quote"/>
    <w:uiPriority w:val="29"/>
    <w:rsid w:val="00243E8E"/>
    <w:rPr>
      <w:i/>
      <w:iCs/>
      <w:color w:val="404040" w:themeColor="text1" w:themeTint="BF"/>
    </w:rPr>
  </w:style>
  <w:style w:type="paragraph" w:styleId="ListParagraph">
    <w:name w:val="List Paragraph"/>
    <w:basedOn w:val="Normal"/>
    <w:uiPriority w:val="34"/>
    <w:qFormat/>
    <w:rsid w:val="00243E8E"/>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14:ligatures w14:val="standardContextual"/>
    </w:rPr>
  </w:style>
  <w:style w:type="character" w:styleId="IntenseEmphasis">
    <w:name w:val="Intense Emphasis"/>
    <w:basedOn w:val="DefaultParagraphFont"/>
    <w:uiPriority w:val="21"/>
    <w:qFormat/>
    <w:rsid w:val="00243E8E"/>
    <w:rPr>
      <w:i/>
      <w:iCs/>
      <w:color w:val="0F4761" w:themeColor="accent1" w:themeShade="BF"/>
    </w:rPr>
  </w:style>
  <w:style w:type="paragraph" w:styleId="IntenseQuote">
    <w:name w:val="Intense Quote"/>
    <w:basedOn w:val="Normal"/>
    <w:next w:val="Normal"/>
    <w:link w:val="IntenseQuoteChar"/>
    <w:uiPriority w:val="30"/>
    <w:qFormat/>
    <w:rsid w:val="00243E8E"/>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bdr w:val="none" w:sz="0" w:space="0" w:color="auto"/>
      <w14:ligatures w14:val="standardContextual"/>
    </w:rPr>
  </w:style>
  <w:style w:type="character" w:customStyle="1" w:styleId="IntenseQuoteChar">
    <w:name w:val="Intense Quote Char"/>
    <w:basedOn w:val="DefaultParagraphFont"/>
    <w:link w:val="IntenseQuote"/>
    <w:uiPriority w:val="30"/>
    <w:rsid w:val="00243E8E"/>
    <w:rPr>
      <w:i/>
      <w:iCs/>
      <w:color w:val="0F4761" w:themeColor="accent1" w:themeShade="BF"/>
    </w:rPr>
  </w:style>
  <w:style w:type="character" w:styleId="IntenseReference">
    <w:name w:val="Intense Reference"/>
    <w:basedOn w:val="DefaultParagraphFont"/>
    <w:uiPriority w:val="32"/>
    <w:qFormat/>
    <w:rsid w:val="00243E8E"/>
    <w:rPr>
      <w:b/>
      <w:bCs/>
      <w:smallCaps/>
      <w:color w:val="0F4761" w:themeColor="accent1" w:themeShade="BF"/>
      <w:spacing w:val="5"/>
    </w:rPr>
  </w:style>
  <w:style w:type="paragraph" w:customStyle="1" w:styleId="HeaderFooter">
    <w:name w:val="Header &amp; Footer"/>
    <w:rsid w:val="00243E8E"/>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14:ligatures w14:val="none"/>
    </w:rPr>
  </w:style>
  <w:style w:type="paragraph" w:customStyle="1" w:styleId="FreeForm">
    <w:name w:val="Free Form"/>
    <w:uiPriority w:val="99"/>
    <w:rsid w:val="00243E8E"/>
    <w:pPr>
      <w:pBdr>
        <w:top w:val="nil"/>
        <w:left w:val="nil"/>
        <w:bottom w:val="nil"/>
        <w:right w:val="nil"/>
        <w:between w:val="nil"/>
        <w:bar w:val="nil"/>
      </w:pBdr>
      <w:spacing w:after="0" w:line="240" w:lineRule="auto"/>
    </w:pPr>
    <w:rPr>
      <w:rFonts w:ascii="Helvetica Neue" w:eastAsia="Arial Unicode MS" w:hAnsi="Helvetica Neue" w:cs="Arial Unicode MS"/>
      <w:color w:val="413F3C"/>
      <w:kern w:val="0"/>
      <w:sz w:val="16"/>
      <w:szCs w:val="16"/>
      <w:bdr w:val="nil"/>
      <w14:ligatures w14:val="none"/>
    </w:rPr>
  </w:style>
  <w:style w:type="table" w:styleId="TableGrid">
    <w:name w:val="Table Grid"/>
    <w:basedOn w:val="TableNormal"/>
    <w:uiPriority w:val="39"/>
    <w:rsid w:val="00243E8E"/>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43E8E"/>
    <w:pPr>
      <w:spacing w:after="200"/>
    </w:pPr>
    <w:rPr>
      <w:i/>
      <w:iCs/>
      <w:color w:val="0E2841" w:themeColor="text2"/>
      <w:sz w:val="18"/>
      <w:szCs w:val="18"/>
    </w:rPr>
  </w:style>
  <w:style w:type="paragraph" w:styleId="Header">
    <w:name w:val="header"/>
    <w:basedOn w:val="Normal"/>
    <w:link w:val="HeaderChar"/>
    <w:uiPriority w:val="99"/>
    <w:unhideWhenUsed/>
    <w:rsid w:val="00243E8E"/>
    <w:pPr>
      <w:tabs>
        <w:tab w:val="center" w:pos="4680"/>
        <w:tab w:val="right" w:pos="9360"/>
      </w:tabs>
    </w:pPr>
  </w:style>
  <w:style w:type="character" w:customStyle="1" w:styleId="HeaderChar">
    <w:name w:val="Header Char"/>
    <w:basedOn w:val="DefaultParagraphFont"/>
    <w:link w:val="Header"/>
    <w:uiPriority w:val="99"/>
    <w:rsid w:val="00243E8E"/>
    <w:rPr>
      <w:rFonts w:ascii="Times New Roman" w:eastAsia="Arial Unicode MS" w:hAnsi="Times New Roman" w:cs="Times New Roman"/>
      <w:kern w:val="0"/>
      <w:bdr w:val="nil"/>
      <w14:ligatures w14:val="none"/>
    </w:rPr>
  </w:style>
  <w:style w:type="paragraph" w:styleId="Footer">
    <w:name w:val="footer"/>
    <w:basedOn w:val="Normal"/>
    <w:link w:val="FooterChar"/>
    <w:uiPriority w:val="99"/>
    <w:unhideWhenUsed/>
    <w:rsid w:val="00243E8E"/>
    <w:pPr>
      <w:tabs>
        <w:tab w:val="center" w:pos="4680"/>
        <w:tab w:val="right" w:pos="9360"/>
      </w:tabs>
    </w:pPr>
  </w:style>
  <w:style w:type="character" w:customStyle="1" w:styleId="FooterChar">
    <w:name w:val="Footer Char"/>
    <w:basedOn w:val="DefaultParagraphFont"/>
    <w:link w:val="Footer"/>
    <w:uiPriority w:val="99"/>
    <w:rsid w:val="00243E8E"/>
    <w:rPr>
      <w:rFonts w:ascii="Times New Roman" w:eastAsia="Arial Unicode MS" w:hAnsi="Times New Roman" w:cs="Times New Roman"/>
      <w:kern w:val="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3078</Words>
  <Characters>17547</Characters>
  <Application>Microsoft Office Word</Application>
  <DocSecurity>0</DocSecurity>
  <Lines>146</Lines>
  <Paragraphs>41</Paragraphs>
  <ScaleCrop>false</ScaleCrop>
  <Company/>
  <LinksUpToDate>false</LinksUpToDate>
  <CharactersWithSpaces>20584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Vitkauskienė</dc:creator>
  <cp:keywords/>
  <dc:description/>
  <cp:lastModifiedBy>Rūta Vitkauskienė</cp:lastModifiedBy>
  <cp:revision>1</cp:revision>
  <dcterms:created xsi:type="dcterms:W3CDTF">2026-03-19T08:13:00Z</dcterms:created>
  <dcterms:modified xsi:type="dcterms:W3CDTF">2026-03-19T08:15:00Z</dcterms:modified>
</cp:coreProperties>
</file>