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05F748FC"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C66118">
            <w:rPr>
              <w:rFonts w:ascii="Times New Roman" w:hAnsi="Times New Roman"/>
              <w:b/>
              <w:bCs/>
              <w:sz w:val="24"/>
              <w:szCs w:val="24"/>
              <w:lang w:val="lt-LT"/>
            </w:rPr>
            <w:t>UTENOS RAJONO KAIMIŠKŲJŲ SENIŪNIJŲ KELIŲ, GATVIŲ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501D" w14:textId="77777777" w:rsidR="0038361E" w:rsidRDefault="0038361E" w:rsidP="00184B8C">
      <w:pPr>
        <w:spacing w:after="0" w:line="240" w:lineRule="auto"/>
      </w:pPr>
      <w:r>
        <w:separator/>
      </w:r>
    </w:p>
  </w:endnote>
  <w:endnote w:type="continuationSeparator" w:id="0">
    <w:p w14:paraId="09CE16A4" w14:textId="77777777" w:rsidR="0038361E" w:rsidRDefault="0038361E" w:rsidP="00184B8C">
      <w:pPr>
        <w:spacing w:after="0" w:line="240" w:lineRule="auto"/>
      </w:pPr>
      <w:r>
        <w:continuationSeparator/>
      </w:r>
    </w:p>
  </w:endnote>
  <w:endnote w:type="continuationNotice" w:id="1">
    <w:p w14:paraId="44DA689E" w14:textId="77777777" w:rsidR="0038361E" w:rsidRDefault="00383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C8DA" w14:textId="77777777" w:rsidR="0038361E" w:rsidRDefault="0038361E" w:rsidP="00184B8C">
      <w:pPr>
        <w:spacing w:after="0" w:line="240" w:lineRule="auto"/>
      </w:pPr>
      <w:r>
        <w:separator/>
      </w:r>
    </w:p>
  </w:footnote>
  <w:footnote w:type="continuationSeparator" w:id="0">
    <w:p w14:paraId="7FB0FE4E" w14:textId="77777777" w:rsidR="0038361E" w:rsidRDefault="0038361E" w:rsidP="00184B8C">
      <w:pPr>
        <w:spacing w:after="0" w:line="240" w:lineRule="auto"/>
      </w:pPr>
      <w:r>
        <w:continuationSeparator/>
      </w:r>
    </w:p>
  </w:footnote>
  <w:footnote w:type="continuationNotice" w:id="1">
    <w:p w14:paraId="0B274FC9" w14:textId="77777777" w:rsidR="0038361E" w:rsidRDefault="0038361E">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96E5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61E"/>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0A4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B7"/>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1DAE"/>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D0E"/>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118"/>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10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40149</Words>
  <Characters>22886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2026-03-17T08:32:00Z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