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10E9" w:rsidRPr="000C1201" w:rsidRDefault="00B310E9" w:rsidP="000C1201">
      <w:pPr>
        <w:rPr>
          <w:rFonts w:ascii="Cambria" w:hAnsi="Cambria"/>
          <w:sz w:val="22"/>
          <w:szCs w:val="22"/>
          <w:lang w:val="en-US" w:eastAsia="lt-LT"/>
        </w:rPr>
      </w:pPr>
    </w:p>
    <w:p w:rsidR="00797DD3" w:rsidRPr="000C1201" w:rsidRDefault="00797DD3" w:rsidP="000C1201">
      <w:pPr>
        <w:pStyle w:val="Heading1"/>
        <w:numPr>
          <w:ilvl w:val="0"/>
          <w:numId w:val="0"/>
        </w:numPr>
        <w:rPr>
          <w:rFonts w:ascii="Cambria" w:hAnsi="Cambria"/>
          <w:color w:val="000000" w:themeColor="text1"/>
          <w:szCs w:val="22"/>
        </w:rPr>
      </w:pPr>
      <w:r w:rsidRPr="000C1201">
        <w:rPr>
          <w:rFonts w:ascii="Cambria" w:hAnsi="Cambria"/>
          <w:color w:val="000000" w:themeColor="text1"/>
          <w:szCs w:val="22"/>
        </w:rPr>
        <w:t>Darbuotojų individuali</w:t>
      </w:r>
      <w:r w:rsidR="001A66EF" w:rsidRPr="000C1201">
        <w:rPr>
          <w:rFonts w:ascii="Cambria" w:hAnsi="Cambria"/>
          <w:color w:val="000000" w:themeColor="text1"/>
          <w:szCs w:val="22"/>
        </w:rPr>
        <w:t>osios dozės ekvivalento matavimas</w:t>
      </w:r>
      <w:r w:rsidR="002D244E" w:rsidRPr="000C1201">
        <w:rPr>
          <w:rFonts w:ascii="Cambria" w:hAnsi="Cambria"/>
          <w:color w:val="000000" w:themeColor="text1"/>
          <w:szCs w:val="22"/>
        </w:rPr>
        <w:t>/</w:t>
      </w:r>
      <w:r w:rsidR="001A66EF" w:rsidRPr="000C1201">
        <w:rPr>
          <w:rFonts w:ascii="Cambria" w:hAnsi="Cambria"/>
          <w:color w:val="000000" w:themeColor="text1"/>
          <w:szCs w:val="22"/>
        </w:rPr>
        <w:t>tyrimas</w:t>
      </w:r>
      <w:r w:rsidRPr="000C1201">
        <w:rPr>
          <w:rFonts w:ascii="Cambria" w:hAnsi="Cambria"/>
          <w:color w:val="000000" w:themeColor="text1"/>
          <w:szCs w:val="22"/>
        </w:rPr>
        <w:t xml:space="preserve"> </w:t>
      </w:r>
      <w:r w:rsidR="00094CF5" w:rsidRPr="000C1201">
        <w:rPr>
          <w:rFonts w:ascii="Cambria" w:hAnsi="Cambria"/>
          <w:color w:val="000000" w:themeColor="text1"/>
          <w:szCs w:val="22"/>
        </w:rPr>
        <w:t xml:space="preserve">(darbuotojų </w:t>
      </w:r>
      <w:proofErr w:type="spellStart"/>
      <w:r w:rsidR="00094CF5" w:rsidRPr="000C1201">
        <w:rPr>
          <w:rFonts w:ascii="Cambria" w:hAnsi="Cambria"/>
          <w:color w:val="000000" w:themeColor="text1"/>
          <w:szCs w:val="22"/>
        </w:rPr>
        <w:t>apšvitos</w:t>
      </w:r>
      <w:proofErr w:type="spellEnd"/>
      <w:r w:rsidR="00094CF5" w:rsidRPr="000C1201">
        <w:rPr>
          <w:rFonts w:ascii="Cambria" w:hAnsi="Cambria"/>
          <w:color w:val="000000" w:themeColor="text1"/>
          <w:szCs w:val="22"/>
        </w:rPr>
        <w:t xml:space="preserve"> stebėsena)</w:t>
      </w:r>
      <w:r w:rsidR="001B00F8" w:rsidRPr="000C1201">
        <w:rPr>
          <w:rFonts w:ascii="Cambria" w:hAnsi="Cambria"/>
          <w:color w:val="000000" w:themeColor="text1"/>
          <w:szCs w:val="22"/>
        </w:rPr>
        <w:t xml:space="preserve"> </w:t>
      </w:r>
      <w:r w:rsidRPr="000C1201">
        <w:rPr>
          <w:rFonts w:ascii="Cambria" w:hAnsi="Cambria"/>
          <w:color w:val="000000" w:themeColor="text1"/>
          <w:szCs w:val="22"/>
        </w:rPr>
        <w:t>techninė specifikacija</w:t>
      </w:r>
    </w:p>
    <w:p w:rsidR="00FD6F62" w:rsidRPr="000C1201" w:rsidRDefault="00FD6F62" w:rsidP="000C1201">
      <w:pPr>
        <w:rPr>
          <w:rFonts w:ascii="Cambria" w:hAnsi="Cambria"/>
          <w:sz w:val="22"/>
          <w:szCs w:val="22"/>
          <w:lang w:val="lt-LT" w:eastAsia="lt-LT"/>
        </w:rPr>
      </w:pPr>
    </w:p>
    <w:tbl>
      <w:tblPr>
        <w:tblW w:w="10060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748"/>
        <w:gridCol w:w="3033"/>
        <w:gridCol w:w="6279"/>
      </w:tblGrid>
      <w:tr w:rsidR="00797DD3" w:rsidRPr="000C1201" w:rsidTr="000C1201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DD3" w:rsidRPr="000C1201" w:rsidRDefault="00797DD3" w:rsidP="000C1201">
            <w:pPr>
              <w:ind w:right="-108"/>
              <w:jc w:val="center"/>
              <w:rPr>
                <w:rFonts w:ascii="Cambria" w:hAnsi="Cambria"/>
                <w:color w:val="000000"/>
                <w:sz w:val="22"/>
                <w:szCs w:val="22"/>
                <w:lang w:val="lt-LT"/>
              </w:rPr>
            </w:pPr>
            <w:r w:rsidRPr="000C1201">
              <w:rPr>
                <w:rFonts w:ascii="Cambria" w:hAnsi="Cambria"/>
                <w:b/>
                <w:bCs/>
                <w:color w:val="000000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DD3" w:rsidRPr="000C1201" w:rsidRDefault="00797DD3" w:rsidP="000C1201">
            <w:pPr>
              <w:pStyle w:val="Heading3"/>
              <w:numPr>
                <w:ilvl w:val="0"/>
                <w:numId w:val="0"/>
              </w:numPr>
              <w:ind w:left="90"/>
              <w:rPr>
                <w:rFonts w:ascii="Cambria" w:hAnsi="Cambria"/>
                <w:color w:val="000000"/>
                <w:sz w:val="22"/>
                <w:szCs w:val="22"/>
              </w:rPr>
            </w:pPr>
            <w:r w:rsidRPr="000C1201">
              <w:rPr>
                <w:rFonts w:ascii="Cambria" w:hAnsi="Cambria"/>
                <w:color w:val="000000"/>
                <w:sz w:val="22"/>
                <w:szCs w:val="22"/>
              </w:rPr>
              <w:t>Reikalavimo pavadinimas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DD3" w:rsidRPr="000C1201" w:rsidRDefault="00797DD3" w:rsidP="000C1201">
            <w:pPr>
              <w:jc w:val="center"/>
              <w:rPr>
                <w:rFonts w:ascii="Cambria" w:hAnsi="Cambria"/>
                <w:color w:val="000000"/>
                <w:sz w:val="22"/>
                <w:szCs w:val="22"/>
                <w:lang w:val="lt-LT"/>
              </w:rPr>
            </w:pPr>
            <w:r w:rsidRPr="000C1201">
              <w:rPr>
                <w:rFonts w:ascii="Cambria" w:hAnsi="Cambria"/>
                <w:b/>
                <w:bCs/>
                <w:color w:val="000000"/>
                <w:sz w:val="22"/>
                <w:szCs w:val="22"/>
                <w:lang w:val="lt-LT"/>
              </w:rPr>
              <w:t>Reikalavimas</w:t>
            </w:r>
          </w:p>
        </w:tc>
      </w:tr>
      <w:tr w:rsidR="00957B52" w:rsidRPr="000C1201" w:rsidTr="00D06F4D">
        <w:tc>
          <w:tcPr>
            <w:tcW w:w="10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52" w:rsidRPr="000C1201" w:rsidRDefault="00957B52" w:rsidP="000C1201">
            <w:pPr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  <w:lang w:val="lt-LT"/>
              </w:rPr>
            </w:pPr>
            <w:r w:rsidRPr="000C1201">
              <w:rPr>
                <w:rFonts w:ascii="Cambria" w:hAnsi="Cambria"/>
                <w:b/>
                <w:bCs/>
                <w:color w:val="000000"/>
                <w:sz w:val="22"/>
                <w:szCs w:val="22"/>
                <w:lang w:val="lt-LT"/>
              </w:rPr>
              <w:t>Pirma pirkimo dalis</w:t>
            </w:r>
          </w:p>
        </w:tc>
      </w:tr>
      <w:tr w:rsidR="00797DD3" w:rsidRPr="000C1201" w:rsidTr="00C8759F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7DD3" w:rsidRPr="000C1201" w:rsidRDefault="00797DD3" w:rsidP="000C1201">
            <w:pPr>
              <w:ind w:right="-108"/>
              <w:jc w:val="center"/>
              <w:rPr>
                <w:rFonts w:ascii="Cambria" w:hAnsi="Cambria"/>
                <w:color w:val="000000"/>
                <w:sz w:val="22"/>
                <w:szCs w:val="22"/>
                <w:lang w:val="lt-LT"/>
              </w:rPr>
            </w:pPr>
            <w:r w:rsidRPr="000C1201">
              <w:rPr>
                <w:rFonts w:ascii="Cambria" w:hAnsi="Cambria"/>
                <w:color w:val="000000"/>
                <w:sz w:val="22"/>
                <w:szCs w:val="22"/>
                <w:lang w:val="lt-LT"/>
              </w:rPr>
              <w:t>1.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7DD3" w:rsidRPr="000C1201" w:rsidRDefault="00797DD3" w:rsidP="000C1201">
            <w:pPr>
              <w:pStyle w:val="Heading3"/>
              <w:numPr>
                <w:ilvl w:val="0"/>
                <w:numId w:val="0"/>
              </w:numPr>
              <w:ind w:left="85"/>
              <w:jc w:val="left"/>
              <w:rPr>
                <w:rFonts w:ascii="Cambria" w:hAnsi="Cambria"/>
                <w:b w:val="0"/>
                <w:color w:val="000000"/>
                <w:sz w:val="22"/>
                <w:szCs w:val="22"/>
              </w:rPr>
            </w:pPr>
            <w:r w:rsidRPr="000C1201">
              <w:rPr>
                <w:rFonts w:ascii="Cambria" w:hAnsi="Cambria"/>
                <w:b w:val="0"/>
                <w:bCs w:val="0"/>
                <w:color w:val="000000"/>
                <w:sz w:val="22"/>
                <w:szCs w:val="22"/>
              </w:rPr>
              <w:t xml:space="preserve">Individualiosios dozės ekvivalento </w:t>
            </w:r>
            <w:proofErr w:type="spellStart"/>
            <w:r w:rsidR="00C8635E" w:rsidRPr="000C1201">
              <w:rPr>
                <w:rFonts w:ascii="Cambria" w:hAnsi="Cambria"/>
                <w:b w:val="0"/>
                <w:color w:val="000000"/>
                <w:sz w:val="22"/>
                <w:szCs w:val="22"/>
              </w:rPr>
              <w:t>Hp</w:t>
            </w:r>
            <w:proofErr w:type="spellEnd"/>
            <w:r w:rsidR="00C8635E" w:rsidRPr="000C1201">
              <w:rPr>
                <w:rFonts w:ascii="Cambria" w:hAnsi="Cambria"/>
                <w:b w:val="0"/>
                <w:color w:val="000000"/>
                <w:sz w:val="22"/>
                <w:szCs w:val="22"/>
              </w:rPr>
              <w:t xml:space="preserve">(10) </w:t>
            </w:r>
            <w:r w:rsidRPr="000C1201">
              <w:rPr>
                <w:rFonts w:ascii="Cambria" w:hAnsi="Cambria"/>
                <w:b w:val="0"/>
                <w:bCs w:val="0"/>
                <w:color w:val="000000"/>
                <w:sz w:val="22"/>
                <w:szCs w:val="22"/>
              </w:rPr>
              <w:t xml:space="preserve">matavimas </w:t>
            </w:r>
            <w:r w:rsidRPr="000C1201">
              <w:rPr>
                <w:rFonts w:ascii="Cambria" w:hAnsi="Cambria"/>
                <w:b w:val="0"/>
                <w:color w:val="000000"/>
                <w:sz w:val="22"/>
                <w:szCs w:val="22"/>
              </w:rPr>
              <w:t xml:space="preserve">viso kūno </w:t>
            </w:r>
            <w:proofErr w:type="spellStart"/>
            <w:r w:rsidRPr="000C1201">
              <w:rPr>
                <w:rFonts w:ascii="Cambria" w:hAnsi="Cambria"/>
                <w:b w:val="0"/>
                <w:color w:val="000000"/>
                <w:sz w:val="22"/>
                <w:szCs w:val="22"/>
              </w:rPr>
              <w:t>efektinės</w:t>
            </w:r>
            <w:proofErr w:type="spellEnd"/>
            <w:r w:rsidRPr="000C1201">
              <w:rPr>
                <w:rFonts w:ascii="Cambria" w:hAnsi="Cambria"/>
                <w:b w:val="0"/>
                <w:color w:val="000000"/>
                <w:sz w:val="22"/>
                <w:szCs w:val="22"/>
              </w:rPr>
              <w:t xml:space="preserve"> dozės įvertinimui </w:t>
            </w:r>
          </w:p>
          <w:p w:rsidR="00B32B0A" w:rsidRPr="000C1201" w:rsidRDefault="00B32B0A" w:rsidP="000C1201">
            <w:pPr>
              <w:rPr>
                <w:rFonts w:ascii="Cambria" w:hAnsi="Cambria"/>
                <w:sz w:val="22"/>
                <w:szCs w:val="22"/>
                <w:lang w:val="lt-LT" w:eastAsia="lt-LT"/>
              </w:rPr>
            </w:pP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91F" w:rsidRPr="000C1201" w:rsidRDefault="00797DD3" w:rsidP="000C1201">
            <w:pPr>
              <w:numPr>
                <w:ilvl w:val="0"/>
                <w:numId w:val="3"/>
              </w:numPr>
              <w:tabs>
                <w:tab w:val="clear" w:pos="720"/>
                <w:tab w:val="left" w:pos="251"/>
              </w:tabs>
              <w:ind w:left="0" w:firstLine="24"/>
              <w:jc w:val="both"/>
              <w:rPr>
                <w:rFonts w:ascii="Cambria" w:hAnsi="Cambria"/>
                <w:color w:val="000000"/>
                <w:sz w:val="22"/>
                <w:szCs w:val="22"/>
                <w:lang w:val="lt-LT"/>
              </w:rPr>
            </w:pPr>
            <w:r w:rsidRPr="000C1201">
              <w:rPr>
                <w:rFonts w:ascii="Cambria" w:hAnsi="Cambria"/>
                <w:color w:val="000000"/>
                <w:sz w:val="22"/>
                <w:szCs w:val="22"/>
                <w:lang w:val="lt-LT"/>
              </w:rPr>
              <w:t>Pasiūlyme turi būti nurod</w:t>
            </w:r>
            <w:r w:rsidRPr="000C1201">
              <w:rPr>
                <w:rFonts w:ascii="Cambria" w:hAnsi="Cambria"/>
                <w:color w:val="000000" w:themeColor="text1"/>
                <w:sz w:val="22"/>
                <w:szCs w:val="22"/>
                <w:lang w:val="lt-LT"/>
              </w:rPr>
              <w:t xml:space="preserve">yta </w:t>
            </w:r>
            <w:r w:rsidR="00E02677" w:rsidRPr="000C1201">
              <w:rPr>
                <w:rFonts w:ascii="Cambria" w:hAnsi="Cambria"/>
                <w:color w:val="000000"/>
                <w:sz w:val="22"/>
                <w:szCs w:val="22"/>
                <w:lang w:val="lt-LT"/>
              </w:rPr>
              <w:t xml:space="preserve">paslaugos kaina </w:t>
            </w:r>
            <w:r w:rsidRPr="000C1201">
              <w:rPr>
                <w:rFonts w:ascii="Cambria" w:hAnsi="Cambria"/>
                <w:color w:val="000000"/>
                <w:sz w:val="22"/>
                <w:szCs w:val="22"/>
                <w:lang w:val="lt-LT"/>
              </w:rPr>
              <w:t xml:space="preserve">vienam tyrimui/matavimui. </w:t>
            </w:r>
          </w:p>
          <w:p w:rsidR="00797DD3" w:rsidRPr="000C1201" w:rsidRDefault="00797DD3" w:rsidP="000C1201">
            <w:pPr>
              <w:numPr>
                <w:ilvl w:val="0"/>
                <w:numId w:val="3"/>
              </w:numPr>
              <w:tabs>
                <w:tab w:val="clear" w:pos="720"/>
                <w:tab w:val="left" w:pos="251"/>
              </w:tabs>
              <w:ind w:left="0" w:firstLine="24"/>
              <w:jc w:val="both"/>
              <w:rPr>
                <w:rFonts w:ascii="Cambria" w:hAnsi="Cambria"/>
                <w:color w:val="000000"/>
                <w:sz w:val="22"/>
                <w:szCs w:val="22"/>
                <w:lang w:val="lt-LT"/>
              </w:rPr>
            </w:pPr>
            <w:r w:rsidRPr="000C1201">
              <w:rPr>
                <w:rFonts w:ascii="Cambria" w:hAnsi="Cambria"/>
                <w:color w:val="000000"/>
                <w:sz w:val="22"/>
                <w:szCs w:val="22"/>
                <w:lang w:val="lt-LT"/>
              </w:rPr>
              <w:t xml:space="preserve">Paslaugą teikianti įmonė privalo turėti galimybę pateikti </w:t>
            </w:r>
            <w:proofErr w:type="spellStart"/>
            <w:r w:rsidRPr="000C1201">
              <w:rPr>
                <w:rFonts w:ascii="Cambria" w:hAnsi="Cambria"/>
                <w:color w:val="000000"/>
                <w:sz w:val="22"/>
                <w:szCs w:val="22"/>
                <w:lang w:val="lt-LT"/>
              </w:rPr>
              <w:t>dozimetrus</w:t>
            </w:r>
            <w:proofErr w:type="spellEnd"/>
            <w:r w:rsidRPr="000C1201">
              <w:rPr>
                <w:rFonts w:ascii="Cambria" w:hAnsi="Cambria"/>
                <w:color w:val="000000"/>
                <w:sz w:val="22"/>
                <w:szCs w:val="22"/>
                <w:lang w:val="lt-LT"/>
              </w:rPr>
              <w:t xml:space="preserve">, tinkamus individualiosios dozės ekvivalento </w:t>
            </w:r>
            <w:proofErr w:type="spellStart"/>
            <w:r w:rsidRPr="000C1201">
              <w:rPr>
                <w:rFonts w:ascii="Cambria" w:hAnsi="Cambria"/>
                <w:color w:val="000000"/>
                <w:sz w:val="22"/>
                <w:szCs w:val="22"/>
                <w:lang w:val="lt-LT"/>
              </w:rPr>
              <w:t>Hp</w:t>
            </w:r>
            <w:proofErr w:type="spellEnd"/>
            <w:r w:rsidRPr="000C1201">
              <w:rPr>
                <w:rFonts w:ascii="Cambria" w:hAnsi="Cambria"/>
                <w:color w:val="000000"/>
                <w:sz w:val="22"/>
                <w:szCs w:val="22"/>
                <w:lang w:val="lt-LT"/>
              </w:rPr>
              <w:t xml:space="preserve">(10) nustatymui ir atitinkamai viso kūno </w:t>
            </w:r>
            <w:proofErr w:type="spellStart"/>
            <w:r w:rsidRPr="000C1201">
              <w:rPr>
                <w:rFonts w:ascii="Cambria" w:hAnsi="Cambria"/>
                <w:color w:val="000000"/>
                <w:sz w:val="22"/>
                <w:szCs w:val="22"/>
                <w:lang w:val="lt-LT"/>
              </w:rPr>
              <w:t>efektinės</w:t>
            </w:r>
            <w:proofErr w:type="spellEnd"/>
            <w:r w:rsidRPr="000C1201">
              <w:rPr>
                <w:rFonts w:ascii="Cambria" w:hAnsi="Cambria"/>
                <w:color w:val="000000"/>
                <w:sz w:val="22"/>
                <w:szCs w:val="22"/>
                <w:lang w:val="lt-LT"/>
              </w:rPr>
              <w:t xml:space="preserve"> dozės bei atlikti individualiuose </w:t>
            </w:r>
            <w:proofErr w:type="spellStart"/>
            <w:r w:rsidRPr="000C1201">
              <w:rPr>
                <w:rFonts w:ascii="Cambria" w:hAnsi="Cambria"/>
                <w:color w:val="000000"/>
                <w:sz w:val="22"/>
                <w:szCs w:val="22"/>
                <w:lang w:val="lt-LT"/>
              </w:rPr>
              <w:t>dozimetruose</w:t>
            </w:r>
            <w:proofErr w:type="spellEnd"/>
            <w:r w:rsidRPr="000C1201">
              <w:rPr>
                <w:rFonts w:ascii="Cambria" w:hAnsi="Cambria"/>
                <w:color w:val="000000"/>
                <w:sz w:val="22"/>
                <w:szCs w:val="22"/>
                <w:lang w:val="lt-LT"/>
              </w:rPr>
              <w:t xml:space="preserve"> sukauptų dozių tyrimus.</w:t>
            </w:r>
          </w:p>
          <w:p w:rsidR="00905C39" w:rsidRPr="000C1201" w:rsidRDefault="00797DD3" w:rsidP="000C1201">
            <w:pPr>
              <w:numPr>
                <w:ilvl w:val="0"/>
                <w:numId w:val="3"/>
              </w:numPr>
              <w:tabs>
                <w:tab w:val="clear" w:pos="720"/>
                <w:tab w:val="left" w:pos="251"/>
              </w:tabs>
              <w:ind w:left="0" w:firstLine="24"/>
              <w:jc w:val="both"/>
              <w:rPr>
                <w:rFonts w:ascii="Cambria" w:hAnsi="Cambria"/>
                <w:color w:val="0070C0"/>
                <w:sz w:val="22"/>
                <w:szCs w:val="22"/>
                <w:lang w:val="lt-LT"/>
              </w:rPr>
            </w:pPr>
            <w:r w:rsidRPr="000C1201">
              <w:rPr>
                <w:rFonts w:ascii="Cambria" w:hAnsi="Cambria"/>
                <w:color w:val="000000"/>
                <w:sz w:val="22"/>
                <w:szCs w:val="22"/>
                <w:lang w:val="lt-LT"/>
              </w:rPr>
              <w:t xml:space="preserve">Paslaugą teikianti įmonė privalo pateikti užsakovo prašomą kiekį </w:t>
            </w:r>
            <w:proofErr w:type="spellStart"/>
            <w:r w:rsidRPr="000C1201">
              <w:rPr>
                <w:rFonts w:ascii="Cambria" w:hAnsi="Cambria"/>
                <w:color w:val="000000"/>
                <w:sz w:val="22"/>
                <w:szCs w:val="22"/>
                <w:lang w:val="lt-LT"/>
              </w:rPr>
              <w:t>dozimetrų</w:t>
            </w:r>
            <w:proofErr w:type="spellEnd"/>
            <w:r w:rsidRPr="000C1201">
              <w:rPr>
                <w:rFonts w:ascii="Cambria" w:hAnsi="Cambria"/>
                <w:color w:val="000000"/>
                <w:sz w:val="22"/>
                <w:szCs w:val="22"/>
                <w:lang w:val="lt-LT"/>
              </w:rPr>
              <w:t xml:space="preserve">, skirtų individualiosios dozės ekvivalento tyrimams (preliminariai planuojama užsakyti apie </w:t>
            </w:r>
            <w:r w:rsidR="00AB3368" w:rsidRPr="000C1201">
              <w:rPr>
                <w:rFonts w:ascii="Cambria" w:hAnsi="Cambria"/>
                <w:color w:val="000000"/>
                <w:sz w:val="22"/>
                <w:szCs w:val="22"/>
                <w:lang w:val="lt-LT"/>
              </w:rPr>
              <w:t>80</w:t>
            </w:r>
            <w:r w:rsidRPr="000C1201">
              <w:rPr>
                <w:rFonts w:ascii="Cambria" w:hAnsi="Cambria"/>
                <w:color w:val="000000"/>
                <w:sz w:val="22"/>
                <w:szCs w:val="22"/>
                <w:lang w:val="lt-LT"/>
              </w:rPr>
              <w:t xml:space="preserve"> </w:t>
            </w:r>
            <w:r w:rsidRPr="000C1201">
              <w:rPr>
                <w:rFonts w:ascii="Cambria" w:hAnsi="Cambria"/>
                <w:color w:val="000000" w:themeColor="text1"/>
                <w:sz w:val="22"/>
                <w:szCs w:val="22"/>
                <w:lang w:val="lt-LT"/>
              </w:rPr>
              <w:t>vnt.</w:t>
            </w:r>
            <w:r w:rsidRPr="000C1201">
              <w:rPr>
                <w:rFonts w:ascii="Cambria" w:hAnsi="Cambria"/>
                <w:color w:val="FF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0C1201">
              <w:rPr>
                <w:rFonts w:ascii="Cambria" w:hAnsi="Cambria"/>
                <w:color w:val="000000"/>
                <w:sz w:val="22"/>
                <w:szCs w:val="22"/>
                <w:lang w:val="lt-LT"/>
              </w:rPr>
              <w:t>dozimetrų</w:t>
            </w:r>
            <w:proofErr w:type="spellEnd"/>
            <w:r w:rsidRPr="000C1201">
              <w:rPr>
                <w:rFonts w:ascii="Cambria" w:hAnsi="Cambria"/>
                <w:color w:val="000000"/>
                <w:sz w:val="22"/>
                <w:szCs w:val="22"/>
                <w:lang w:val="lt-LT"/>
              </w:rPr>
              <w:t xml:space="preserve">, nuskaitomų kas mėnesį ir apie </w:t>
            </w:r>
            <w:r w:rsidRPr="000C1201">
              <w:rPr>
                <w:rFonts w:ascii="Cambria" w:hAnsi="Cambria"/>
                <w:color w:val="000000" w:themeColor="text1"/>
                <w:sz w:val="22"/>
                <w:szCs w:val="22"/>
                <w:lang w:val="lt-LT"/>
              </w:rPr>
              <w:t>4</w:t>
            </w:r>
            <w:r w:rsidR="00AB3368" w:rsidRPr="000C1201">
              <w:rPr>
                <w:rFonts w:ascii="Cambria" w:hAnsi="Cambria"/>
                <w:color w:val="000000" w:themeColor="text1"/>
                <w:sz w:val="22"/>
                <w:szCs w:val="22"/>
                <w:lang w:val="lt-LT"/>
              </w:rPr>
              <w:t>7</w:t>
            </w:r>
            <w:r w:rsidRPr="000C1201">
              <w:rPr>
                <w:rFonts w:ascii="Cambria" w:hAnsi="Cambria"/>
                <w:color w:val="000000" w:themeColor="text1"/>
                <w:sz w:val="22"/>
                <w:szCs w:val="22"/>
                <w:lang w:val="lt-LT"/>
              </w:rPr>
              <w:t>0</w:t>
            </w:r>
            <w:r w:rsidRPr="000C1201">
              <w:rPr>
                <w:rFonts w:ascii="Cambria" w:hAnsi="Cambria"/>
                <w:color w:val="000000"/>
                <w:sz w:val="22"/>
                <w:szCs w:val="22"/>
                <w:lang w:val="lt-LT"/>
              </w:rPr>
              <w:t xml:space="preserve"> vnt. </w:t>
            </w:r>
            <w:proofErr w:type="spellStart"/>
            <w:r w:rsidRPr="000C1201">
              <w:rPr>
                <w:rFonts w:ascii="Cambria" w:hAnsi="Cambria"/>
                <w:color w:val="000000"/>
                <w:sz w:val="22"/>
                <w:szCs w:val="22"/>
                <w:lang w:val="lt-LT"/>
              </w:rPr>
              <w:t>dozimetrų</w:t>
            </w:r>
            <w:proofErr w:type="spellEnd"/>
            <w:r w:rsidRPr="000C1201">
              <w:rPr>
                <w:rFonts w:ascii="Cambria" w:hAnsi="Cambria"/>
                <w:color w:val="000000"/>
                <w:sz w:val="22"/>
                <w:szCs w:val="22"/>
                <w:lang w:val="lt-LT"/>
              </w:rPr>
              <w:t xml:space="preserve">, nuskaitomų kas tris mėnesius). Prieš paimant </w:t>
            </w:r>
            <w:proofErr w:type="spellStart"/>
            <w:r w:rsidRPr="000C1201">
              <w:rPr>
                <w:rFonts w:ascii="Cambria" w:hAnsi="Cambria"/>
                <w:color w:val="000000"/>
                <w:sz w:val="22"/>
                <w:szCs w:val="22"/>
                <w:lang w:val="lt-LT"/>
              </w:rPr>
              <w:t>dozimetrus</w:t>
            </w:r>
            <w:proofErr w:type="spellEnd"/>
            <w:r w:rsidRPr="000C1201">
              <w:rPr>
                <w:rFonts w:ascii="Cambria" w:hAnsi="Cambria"/>
                <w:color w:val="000000"/>
                <w:sz w:val="22"/>
                <w:szCs w:val="22"/>
                <w:lang w:val="lt-LT"/>
              </w:rPr>
              <w:t xml:space="preserve"> nuskaitymui, užsakovas turės būti aprūpintas reikiamu kiekiu </w:t>
            </w:r>
            <w:proofErr w:type="spellStart"/>
            <w:r w:rsidRPr="000C1201">
              <w:rPr>
                <w:rFonts w:ascii="Cambria" w:hAnsi="Cambria"/>
                <w:color w:val="000000"/>
                <w:sz w:val="22"/>
                <w:szCs w:val="22"/>
                <w:lang w:val="lt-LT"/>
              </w:rPr>
              <w:t>dozimetrų</w:t>
            </w:r>
            <w:proofErr w:type="spellEnd"/>
            <w:r w:rsidRPr="000C1201">
              <w:rPr>
                <w:rFonts w:ascii="Cambria" w:hAnsi="Cambria"/>
                <w:color w:val="000000"/>
                <w:sz w:val="22"/>
                <w:szCs w:val="22"/>
                <w:lang w:val="lt-LT"/>
              </w:rPr>
              <w:t xml:space="preserve"> sekančiam individualiosios </w:t>
            </w:r>
            <w:proofErr w:type="spellStart"/>
            <w:r w:rsidRPr="000C1201">
              <w:rPr>
                <w:rFonts w:ascii="Cambria" w:hAnsi="Cambria"/>
                <w:color w:val="000000"/>
                <w:sz w:val="22"/>
                <w:szCs w:val="22"/>
                <w:lang w:val="lt-LT"/>
              </w:rPr>
              <w:t>apšvitos</w:t>
            </w:r>
            <w:proofErr w:type="spellEnd"/>
            <w:r w:rsidRPr="000C1201">
              <w:rPr>
                <w:rFonts w:ascii="Cambria" w:hAnsi="Cambria"/>
                <w:color w:val="000000"/>
                <w:sz w:val="22"/>
                <w:szCs w:val="22"/>
                <w:lang w:val="lt-LT"/>
              </w:rPr>
              <w:t xml:space="preserve"> stebėsenos periodui.</w:t>
            </w:r>
            <w:r w:rsidRPr="000C1201">
              <w:rPr>
                <w:rFonts w:ascii="Cambria" w:hAnsi="Cambria"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0C1201">
              <w:rPr>
                <w:rFonts w:ascii="Cambria" w:hAnsi="Cambria"/>
                <w:color w:val="000000" w:themeColor="text1"/>
                <w:sz w:val="22"/>
                <w:szCs w:val="22"/>
                <w:lang w:val="lt-LT"/>
              </w:rPr>
              <w:t>Dozimetrų</w:t>
            </w:r>
            <w:proofErr w:type="spellEnd"/>
            <w:r w:rsidRPr="000C1201">
              <w:rPr>
                <w:rFonts w:ascii="Cambria" w:hAnsi="Cambria"/>
                <w:color w:val="000000" w:themeColor="text1"/>
                <w:sz w:val="22"/>
                <w:szCs w:val="22"/>
                <w:lang w:val="lt-LT"/>
              </w:rPr>
              <w:t xml:space="preserve"> transportavimo išlaidos turi būti įskaičiuotos į pasiūlytą individualiosios dozės ekvivalento tyrimo/matavimo kainą.</w:t>
            </w:r>
            <w:r w:rsidR="00905C39" w:rsidRPr="000C1201">
              <w:rPr>
                <w:rFonts w:ascii="Cambria" w:hAnsi="Cambria"/>
                <w:color w:val="FF0000"/>
                <w:sz w:val="22"/>
                <w:szCs w:val="22"/>
                <w:lang w:val="lt-LT"/>
              </w:rPr>
              <w:t xml:space="preserve"> </w:t>
            </w:r>
          </w:p>
          <w:p w:rsidR="00797DD3" w:rsidRPr="000C1201" w:rsidRDefault="00797DD3" w:rsidP="000C1201">
            <w:pPr>
              <w:numPr>
                <w:ilvl w:val="0"/>
                <w:numId w:val="3"/>
              </w:numPr>
              <w:tabs>
                <w:tab w:val="clear" w:pos="720"/>
                <w:tab w:val="left" w:pos="251"/>
              </w:tabs>
              <w:ind w:left="0" w:firstLine="24"/>
              <w:jc w:val="both"/>
              <w:rPr>
                <w:rFonts w:ascii="Cambria" w:hAnsi="Cambria"/>
                <w:color w:val="000000" w:themeColor="text1"/>
                <w:sz w:val="22"/>
                <w:szCs w:val="22"/>
                <w:lang w:val="lt-LT"/>
              </w:rPr>
            </w:pPr>
            <w:r w:rsidRPr="000C1201">
              <w:rPr>
                <w:rFonts w:ascii="Cambria" w:hAnsi="Cambria"/>
                <w:color w:val="000000"/>
                <w:sz w:val="22"/>
                <w:szCs w:val="22"/>
                <w:lang w:val="lt-LT"/>
              </w:rPr>
              <w:t xml:space="preserve">Paslaugą teikianti įmonė, prireikus, privalo atlikti </w:t>
            </w:r>
            <w:proofErr w:type="spellStart"/>
            <w:r w:rsidRPr="000C1201">
              <w:rPr>
                <w:rFonts w:ascii="Cambria" w:hAnsi="Cambria"/>
                <w:color w:val="000000"/>
                <w:sz w:val="22"/>
                <w:szCs w:val="22"/>
                <w:lang w:val="lt-LT"/>
              </w:rPr>
              <w:t>efektinės</w:t>
            </w:r>
            <w:proofErr w:type="spellEnd"/>
            <w:r w:rsidRPr="000C1201">
              <w:rPr>
                <w:rFonts w:ascii="Cambria" w:hAnsi="Cambria"/>
                <w:color w:val="000000"/>
                <w:sz w:val="22"/>
                <w:szCs w:val="22"/>
                <w:lang w:val="lt-LT"/>
              </w:rPr>
              <w:t xml:space="preserve"> dozės vertinimą</w:t>
            </w:r>
            <w:r w:rsidRPr="000C1201">
              <w:rPr>
                <w:rFonts w:ascii="Cambria" w:hAnsi="Cambria"/>
                <w:color w:val="000000" w:themeColor="text1"/>
                <w:sz w:val="22"/>
                <w:szCs w:val="22"/>
                <w:lang w:val="lt-LT"/>
              </w:rPr>
              <w:t xml:space="preserve">. </w:t>
            </w:r>
            <w:proofErr w:type="spellStart"/>
            <w:r w:rsidRPr="000C1201">
              <w:rPr>
                <w:rFonts w:ascii="Cambria" w:hAnsi="Cambria"/>
                <w:color w:val="000000" w:themeColor="text1"/>
                <w:sz w:val="22"/>
                <w:szCs w:val="22"/>
                <w:lang w:val="lt-LT"/>
              </w:rPr>
              <w:t>Efektinės</w:t>
            </w:r>
            <w:proofErr w:type="spellEnd"/>
            <w:r w:rsidRPr="000C1201">
              <w:rPr>
                <w:rFonts w:ascii="Cambria" w:hAnsi="Cambria"/>
                <w:color w:val="000000" w:themeColor="text1"/>
                <w:sz w:val="22"/>
                <w:szCs w:val="22"/>
                <w:lang w:val="lt-LT"/>
              </w:rPr>
              <w:t xml:space="preserve"> dozės vertinimas atliekamas be papildomo apmokėjimo – šios paslaugos kaina turi būti įskaičiuota į pasiūlyme nurodytą individualiosios dozės ekvivalento tyrimo/matavimo kainą. </w:t>
            </w:r>
          </w:p>
          <w:p w:rsidR="00797DD3" w:rsidRPr="000C1201" w:rsidRDefault="00797DD3" w:rsidP="000C1201">
            <w:pPr>
              <w:numPr>
                <w:ilvl w:val="0"/>
                <w:numId w:val="3"/>
              </w:numPr>
              <w:tabs>
                <w:tab w:val="clear" w:pos="720"/>
                <w:tab w:val="left" w:pos="251"/>
              </w:tabs>
              <w:ind w:left="0" w:firstLine="24"/>
              <w:jc w:val="both"/>
              <w:rPr>
                <w:rFonts w:ascii="Cambria" w:hAnsi="Cambria"/>
                <w:color w:val="000000"/>
                <w:sz w:val="22"/>
                <w:szCs w:val="22"/>
                <w:lang w:val="lt-LT"/>
              </w:rPr>
            </w:pPr>
            <w:r w:rsidRPr="000C1201">
              <w:rPr>
                <w:rFonts w:ascii="Cambria" w:hAnsi="Cambria"/>
                <w:color w:val="000000"/>
                <w:sz w:val="22"/>
                <w:szCs w:val="22"/>
                <w:lang w:val="lt-LT"/>
              </w:rPr>
              <w:t xml:space="preserve">Paslaugą teikianti įmonė turi turėti </w:t>
            </w:r>
            <w:r w:rsidRPr="000C1201">
              <w:rPr>
                <w:rFonts w:ascii="Cambria" w:hAnsi="Cambria"/>
                <w:color w:val="000000" w:themeColor="text1"/>
                <w:sz w:val="22"/>
                <w:szCs w:val="22"/>
                <w:lang w:val="lt-LT"/>
              </w:rPr>
              <w:t>galimybę, prireikus,</w:t>
            </w:r>
            <w:r w:rsidRPr="000C1201">
              <w:rPr>
                <w:rFonts w:ascii="Cambria" w:hAnsi="Cambria"/>
                <w:color w:val="000000"/>
                <w:sz w:val="22"/>
                <w:szCs w:val="22"/>
                <w:lang w:val="lt-LT"/>
              </w:rPr>
              <w:t xml:space="preserve"> individualiuose </w:t>
            </w:r>
            <w:proofErr w:type="spellStart"/>
            <w:r w:rsidRPr="000C1201">
              <w:rPr>
                <w:rFonts w:ascii="Cambria" w:hAnsi="Cambria"/>
                <w:color w:val="000000"/>
                <w:sz w:val="22"/>
                <w:szCs w:val="22"/>
                <w:lang w:val="lt-LT"/>
              </w:rPr>
              <w:t>dozimetruose</w:t>
            </w:r>
            <w:proofErr w:type="spellEnd"/>
            <w:r w:rsidRPr="000C1201">
              <w:rPr>
                <w:rFonts w:ascii="Cambria" w:hAnsi="Cambria"/>
                <w:color w:val="000000"/>
                <w:sz w:val="22"/>
                <w:szCs w:val="22"/>
                <w:lang w:val="lt-LT"/>
              </w:rPr>
              <w:t xml:space="preserve"> sukauptų dozių tyrimus atlikti per parą nuo individualaus </w:t>
            </w:r>
            <w:proofErr w:type="spellStart"/>
            <w:r w:rsidRPr="000C1201">
              <w:rPr>
                <w:rFonts w:ascii="Cambria" w:hAnsi="Cambria"/>
                <w:color w:val="000000"/>
                <w:sz w:val="22"/>
                <w:szCs w:val="22"/>
                <w:lang w:val="lt-LT"/>
              </w:rPr>
              <w:t>dozimetro</w:t>
            </w:r>
            <w:proofErr w:type="spellEnd"/>
            <w:r w:rsidRPr="000C1201">
              <w:rPr>
                <w:rFonts w:ascii="Cambria" w:hAnsi="Cambria"/>
                <w:color w:val="000000"/>
                <w:sz w:val="22"/>
                <w:szCs w:val="22"/>
                <w:lang w:val="lt-LT"/>
              </w:rPr>
              <w:t xml:space="preserve"> gr</w:t>
            </w:r>
            <w:r w:rsidR="006D1EE4" w:rsidRPr="000C1201">
              <w:rPr>
                <w:rFonts w:ascii="Cambria" w:hAnsi="Cambria"/>
                <w:color w:val="000000"/>
                <w:sz w:val="22"/>
                <w:szCs w:val="22"/>
                <w:lang w:val="lt-LT"/>
              </w:rPr>
              <w:t>ą</w:t>
            </w:r>
            <w:r w:rsidRPr="000C1201">
              <w:rPr>
                <w:rFonts w:ascii="Cambria" w:hAnsi="Cambria"/>
                <w:color w:val="000000"/>
                <w:sz w:val="22"/>
                <w:szCs w:val="22"/>
                <w:lang w:val="lt-LT"/>
              </w:rPr>
              <w:t>žinimo (radiologinės avarijos atveju).</w:t>
            </w:r>
          </w:p>
          <w:p w:rsidR="00797DD3" w:rsidRPr="000C1201" w:rsidRDefault="00797DD3" w:rsidP="000C1201">
            <w:pPr>
              <w:numPr>
                <w:ilvl w:val="0"/>
                <w:numId w:val="3"/>
              </w:numPr>
              <w:tabs>
                <w:tab w:val="clear" w:pos="720"/>
                <w:tab w:val="left" w:pos="251"/>
              </w:tabs>
              <w:ind w:left="0" w:firstLine="24"/>
              <w:jc w:val="both"/>
              <w:rPr>
                <w:rFonts w:ascii="Cambria" w:hAnsi="Cambria"/>
                <w:color w:val="000000"/>
                <w:sz w:val="22"/>
                <w:szCs w:val="22"/>
                <w:lang w:val="lt-LT"/>
              </w:rPr>
            </w:pPr>
            <w:r w:rsidRPr="000C1201">
              <w:rPr>
                <w:rFonts w:ascii="Cambria" w:hAnsi="Cambria"/>
                <w:color w:val="000000"/>
                <w:sz w:val="22"/>
                <w:szCs w:val="22"/>
                <w:lang w:val="lt-LT"/>
              </w:rPr>
              <w:t xml:space="preserve">Pateikiami </w:t>
            </w:r>
            <w:proofErr w:type="spellStart"/>
            <w:r w:rsidRPr="000C1201">
              <w:rPr>
                <w:rFonts w:ascii="Cambria" w:hAnsi="Cambria"/>
                <w:color w:val="000000"/>
                <w:sz w:val="22"/>
                <w:szCs w:val="22"/>
                <w:lang w:val="lt-LT"/>
              </w:rPr>
              <w:t>dozimetrai</w:t>
            </w:r>
            <w:proofErr w:type="spellEnd"/>
            <w:r w:rsidRPr="000C1201">
              <w:rPr>
                <w:rFonts w:ascii="Cambria" w:hAnsi="Cambria"/>
                <w:color w:val="000000"/>
                <w:sz w:val="22"/>
                <w:szCs w:val="22"/>
                <w:lang w:val="lt-LT"/>
              </w:rPr>
              <w:t xml:space="preserve"> turi būti tinkami rentgeno, gama, beta spinduliuotės sąlygojamai individualiajai dozei nustatyti.</w:t>
            </w:r>
          </w:p>
          <w:p w:rsidR="00797DD3" w:rsidRPr="000C1201" w:rsidRDefault="00797DD3" w:rsidP="000C1201">
            <w:pPr>
              <w:numPr>
                <w:ilvl w:val="0"/>
                <w:numId w:val="3"/>
              </w:numPr>
              <w:tabs>
                <w:tab w:val="clear" w:pos="720"/>
                <w:tab w:val="left" w:pos="251"/>
              </w:tabs>
              <w:ind w:left="0" w:firstLine="24"/>
              <w:jc w:val="both"/>
              <w:rPr>
                <w:rFonts w:ascii="Cambria" w:hAnsi="Cambria"/>
                <w:color w:val="000000"/>
                <w:sz w:val="22"/>
                <w:szCs w:val="22"/>
                <w:lang w:val="lt-LT"/>
              </w:rPr>
            </w:pPr>
            <w:proofErr w:type="spellStart"/>
            <w:r w:rsidRPr="000C1201">
              <w:rPr>
                <w:rFonts w:ascii="Cambria" w:hAnsi="Cambria"/>
                <w:color w:val="000000"/>
                <w:sz w:val="22"/>
                <w:szCs w:val="22"/>
                <w:lang w:val="lt-LT"/>
              </w:rPr>
              <w:t>Dozimetrai</w:t>
            </w:r>
            <w:proofErr w:type="spellEnd"/>
            <w:r w:rsidRPr="000C1201">
              <w:rPr>
                <w:rFonts w:ascii="Cambria" w:hAnsi="Cambria"/>
                <w:color w:val="000000"/>
                <w:sz w:val="22"/>
                <w:szCs w:val="22"/>
                <w:lang w:val="lt-LT"/>
              </w:rPr>
              <w:t xml:space="preserve">, skirti individualiosios dozės ekvivalento </w:t>
            </w:r>
            <w:proofErr w:type="spellStart"/>
            <w:r w:rsidRPr="000C1201">
              <w:rPr>
                <w:rFonts w:ascii="Cambria" w:hAnsi="Cambria"/>
                <w:color w:val="000000"/>
                <w:sz w:val="22"/>
                <w:szCs w:val="22"/>
                <w:lang w:val="lt-LT"/>
              </w:rPr>
              <w:t>Hp</w:t>
            </w:r>
            <w:proofErr w:type="spellEnd"/>
            <w:r w:rsidRPr="000C1201">
              <w:rPr>
                <w:rFonts w:ascii="Cambria" w:hAnsi="Cambria"/>
                <w:color w:val="000000"/>
                <w:sz w:val="22"/>
                <w:szCs w:val="22"/>
                <w:lang w:val="lt-LT"/>
              </w:rPr>
              <w:t xml:space="preserve">(10) nustatymui, turi būti </w:t>
            </w:r>
            <w:r w:rsidR="002D244E" w:rsidRPr="000C1201">
              <w:rPr>
                <w:rFonts w:ascii="Cambria" w:hAnsi="Cambria"/>
                <w:color w:val="000000"/>
                <w:sz w:val="22"/>
                <w:szCs w:val="22"/>
                <w:lang w:val="lt-LT"/>
              </w:rPr>
              <w:t xml:space="preserve">pritaikyti ir </w:t>
            </w:r>
            <w:r w:rsidRPr="000C1201">
              <w:rPr>
                <w:rFonts w:ascii="Cambria" w:hAnsi="Cambria"/>
                <w:color w:val="000000"/>
                <w:sz w:val="22"/>
                <w:szCs w:val="22"/>
                <w:lang w:val="lt-LT"/>
              </w:rPr>
              <w:t>tinkami nešioti</w:t>
            </w:r>
            <w:r w:rsidR="002D244E" w:rsidRPr="000C1201">
              <w:rPr>
                <w:rFonts w:ascii="Cambria" w:hAnsi="Cambria"/>
                <w:color w:val="000000"/>
                <w:sz w:val="22"/>
                <w:szCs w:val="22"/>
                <w:lang w:val="lt-LT"/>
              </w:rPr>
              <w:t xml:space="preserve"> ant, </w:t>
            </w:r>
            <w:r w:rsidRPr="000C1201">
              <w:rPr>
                <w:rFonts w:ascii="Cambria" w:hAnsi="Cambria"/>
                <w:color w:val="000000"/>
                <w:sz w:val="22"/>
                <w:szCs w:val="22"/>
                <w:lang w:val="lt-LT"/>
              </w:rPr>
              <w:t>virš ir po individualiomis apsaugos nuo jonizuojančiosios spinduliuotės priemonėmis.</w:t>
            </w:r>
          </w:p>
        </w:tc>
      </w:tr>
      <w:tr w:rsidR="00957B52" w:rsidRPr="000C1201" w:rsidTr="00291AD4">
        <w:tc>
          <w:tcPr>
            <w:tcW w:w="10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52" w:rsidRPr="000C1201" w:rsidRDefault="00957B52" w:rsidP="000C1201">
            <w:pPr>
              <w:ind w:left="384"/>
              <w:jc w:val="center"/>
              <w:rPr>
                <w:rFonts w:ascii="Cambria" w:hAnsi="Cambria"/>
                <w:b/>
                <w:color w:val="000000"/>
                <w:sz w:val="22"/>
                <w:szCs w:val="22"/>
                <w:lang w:val="lt-LT"/>
              </w:rPr>
            </w:pPr>
            <w:r w:rsidRPr="000C1201">
              <w:rPr>
                <w:rFonts w:ascii="Cambria" w:hAnsi="Cambria"/>
                <w:b/>
                <w:color w:val="000000"/>
                <w:sz w:val="22"/>
                <w:szCs w:val="22"/>
                <w:lang w:val="lt-LT"/>
              </w:rPr>
              <w:t>Antra pirkimo dalis</w:t>
            </w:r>
          </w:p>
        </w:tc>
      </w:tr>
      <w:tr w:rsidR="00C8635E" w:rsidRPr="000C1201" w:rsidTr="00C8759F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35E" w:rsidRPr="000C1201" w:rsidRDefault="002B7881" w:rsidP="000C1201">
            <w:pPr>
              <w:ind w:right="-108"/>
              <w:jc w:val="center"/>
              <w:rPr>
                <w:rFonts w:ascii="Cambria" w:hAnsi="Cambria"/>
                <w:color w:val="000000" w:themeColor="text1"/>
                <w:sz w:val="22"/>
                <w:szCs w:val="22"/>
                <w:lang w:val="lt-LT"/>
              </w:rPr>
            </w:pPr>
            <w:r w:rsidRPr="000C1201">
              <w:rPr>
                <w:rFonts w:ascii="Cambria" w:hAnsi="Cambria"/>
                <w:color w:val="000000" w:themeColor="text1"/>
                <w:sz w:val="22"/>
                <w:szCs w:val="22"/>
                <w:lang w:val="lt-LT"/>
              </w:rPr>
              <w:t>2.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35E" w:rsidRPr="000C1201" w:rsidRDefault="00C8635E" w:rsidP="000C1201">
            <w:pPr>
              <w:pStyle w:val="Heading3"/>
              <w:numPr>
                <w:ilvl w:val="0"/>
                <w:numId w:val="0"/>
              </w:numPr>
              <w:ind w:left="85"/>
              <w:jc w:val="left"/>
              <w:rPr>
                <w:rFonts w:ascii="Cambria" w:hAnsi="Cambria"/>
                <w:b w:val="0"/>
                <w:color w:val="000000"/>
                <w:sz w:val="22"/>
                <w:szCs w:val="22"/>
              </w:rPr>
            </w:pPr>
            <w:r w:rsidRPr="000C1201">
              <w:rPr>
                <w:rFonts w:ascii="Cambria" w:hAnsi="Cambria"/>
                <w:b w:val="0"/>
                <w:bCs w:val="0"/>
                <w:color w:val="000000"/>
                <w:sz w:val="22"/>
                <w:szCs w:val="22"/>
              </w:rPr>
              <w:t xml:space="preserve">Individualiosios dozės ekvivalento </w:t>
            </w:r>
            <w:proofErr w:type="spellStart"/>
            <w:r w:rsidRPr="000C1201">
              <w:rPr>
                <w:rFonts w:ascii="Cambria" w:hAnsi="Cambria"/>
                <w:b w:val="0"/>
                <w:color w:val="000000"/>
                <w:sz w:val="22"/>
                <w:szCs w:val="22"/>
              </w:rPr>
              <w:t>Hp</w:t>
            </w:r>
            <w:proofErr w:type="spellEnd"/>
            <w:r w:rsidRPr="000C1201">
              <w:rPr>
                <w:rFonts w:ascii="Cambria" w:hAnsi="Cambria"/>
                <w:b w:val="0"/>
                <w:color w:val="000000"/>
                <w:sz w:val="22"/>
                <w:szCs w:val="22"/>
              </w:rPr>
              <w:t xml:space="preserve">(0,07) </w:t>
            </w:r>
            <w:r w:rsidRPr="000C1201">
              <w:rPr>
                <w:rFonts w:ascii="Cambria" w:hAnsi="Cambria"/>
                <w:b w:val="0"/>
                <w:bCs w:val="0"/>
                <w:color w:val="000000"/>
                <w:sz w:val="22"/>
                <w:szCs w:val="22"/>
              </w:rPr>
              <w:t xml:space="preserve">matavimas </w:t>
            </w:r>
            <w:r w:rsidRPr="000C1201">
              <w:rPr>
                <w:rFonts w:ascii="Cambria" w:hAnsi="Cambria"/>
                <w:b w:val="0"/>
                <w:color w:val="000000"/>
                <w:sz w:val="22"/>
                <w:szCs w:val="22"/>
              </w:rPr>
              <w:t xml:space="preserve"> odos, galūnių lygiavertės dozės įvertinimui </w:t>
            </w:r>
          </w:p>
          <w:p w:rsidR="00C8635E" w:rsidRPr="000C1201" w:rsidRDefault="00C8635E" w:rsidP="000C1201">
            <w:pPr>
              <w:rPr>
                <w:rFonts w:ascii="Cambria" w:hAnsi="Cambria"/>
                <w:sz w:val="22"/>
                <w:szCs w:val="22"/>
                <w:lang w:val="lt-LT" w:eastAsia="lt-LT"/>
              </w:rPr>
            </w:pP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35E" w:rsidRPr="000C1201" w:rsidRDefault="00C8635E" w:rsidP="00837A98">
            <w:pPr>
              <w:pStyle w:val="ListParagraph"/>
              <w:numPr>
                <w:ilvl w:val="0"/>
                <w:numId w:val="8"/>
              </w:numPr>
              <w:tabs>
                <w:tab w:val="left" w:pos="247"/>
              </w:tabs>
              <w:ind w:left="0" w:firstLine="0"/>
              <w:jc w:val="both"/>
              <w:rPr>
                <w:rFonts w:ascii="Cambria" w:hAnsi="Cambria"/>
                <w:color w:val="000000" w:themeColor="text1"/>
                <w:sz w:val="22"/>
                <w:szCs w:val="22"/>
                <w:lang w:val="lt-LT"/>
              </w:rPr>
            </w:pPr>
            <w:r w:rsidRPr="000C1201">
              <w:rPr>
                <w:rFonts w:ascii="Cambria" w:hAnsi="Cambria"/>
                <w:color w:val="000000" w:themeColor="text1"/>
                <w:sz w:val="22"/>
                <w:szCs w:val="22"/>
                <w:lang w:val="lt-LT"/>
              </w:rPr>
              <w:t xml:space="preserve">Pasiūlyme turi būti nurodyta paslaugos kaina  vienam tyrimui/matavimui. </w:t>
            </w:r>
          </w:p>
          <w:p w:rsidR="00C8635E" w:rsidRPr="000C1201" w:rsidRDefault="00C8635E" w:rsidP="00837A98">
            <w:pPr>
              <w:numPr>
                <w:ilvl w:val="0"/>
                <w:numId w:val="8"/>
              </w:numPr>
              <w:tabs>
                <w:tab w:val="left" w:pos="247"/>
              </w:tabs>
              <w:ind w:left="0" w:firstLine="23"/>
              <w:jc w:val="both"/>
              <w:rPr>
                <w:rFonts w:ascii="Cambria" w:hAnsi="Cambria"/>
                <w:color w:val="000000" w:themeColor="text1"/>
                <w:sz w:val="22"/>
                <w:szCs w:val="22"/>
                <w:lang w:val="lt-LT"/>
              </w:rPr>
            </w:pPr>
            <w:r w:rsidRPr="000C1201">
              <w:rPr>
                <w:rFonts w:ascii="Cambria" w:hAnsi="Cambria"/>
                <w:color w:val="000000" w:themeColor="text1"/>
                <w:sz w:val="22"/>
                <w:szCs w:val="22"/>
                <w:lang w:val="lt-LT"/>
              </w:rPr>
              <w:t xml:space="preserve">Paslaugą teikianti įmonė privalo turėti galimybę pateikti </w:t>
            </w:r>
            <w:proofErr w:type="spellStart"/>
            <w:r w:rsidRPr="000C1201">
              <w:rPr>
                <w:rFonts w:ascii="Cambria" w:hAnsi="Cambria"/>
                <w:color w:val="000000" w:themeColor="text1"/>
                <w:sz w:val="22"/>
                <w:szCs w:val="22"/>
                <w:lang w:val="lt-LT"/>
              </w:rPr>
              <w:t>dozimetrus</w:t>
            </w:r>
            <w:proofErr w:type="spellEnd"/>
            <w:r w:rsidRPr="000C1201">
              <w:rPr>
                <w:rFonts w:ascii="Cambria" w:hAnsi="Cambria"/>
                <w:color w:val="000000" w:themeColor="text1"/>
                <w:sz w:val="22"/>
                <w:szCs w:val="22"/>
                <w:lang w:val="lt-LT"/>
              </w:rPr>
              <w:t xml:space="preserve">, tinkamus individualiosios dozės ekvivalento </w:t>
            </w:r>
            <w:proofErr w:type="spellStart"/>
            <w:r w:rsidRPr="000C1201">
              <w:rPr>
                <w:rFonts w:ascii="Cambria" w:hAnsi="Cambria"/>
                <w:color w:val="000000" w:themeColor="text1"/>
                <w:sz w:val="22"/>
                <w:szCs w:val="22"/>
                <w:lang w:val="lt-LT"/>
              </w:rPr>
              <w:t>Hp</w:t>
            </w:r>
            <w:proofErr w:type="spellEnd"/>
            <w:r w:rsidRPr="000C1201">
              <w:rPr>
                <w:rFonts w:ascii="Cambria" w:hAnsi="Cambria"/>
                <w:color w:val="000000" w:themeColor="text1"/>
                <w:sz w:val="22"/>
                <w:szCs w:val="22"/>
                <w:lang w:val="lt-LT"/>
              </w:rPr>
              <w:t xml:space="preserve">(0,07) nustatymui ir atitinkamai odos, galūnių lygiavertės dozės įvertinimui bei atlikti individualiuose </w:t>
            </w:r>
            <w:proofErr w:type="spellStart"/>
            <w:r w:rsidRPr="000C1201">
              <w:rPr>
                <w:rFonts w:ascii="Cambria" w:hAnsi="Cambria"/>
                <w:color w:val="000000" w:themeColor="text1"/>
                <w:sz w:val="22"/>
                <w:szCs w:val="22"/>
                <w:lang w:val="lt-LT"/>
              </w:rPr>
              <w:t>dozimetruose</w:t>
            </w:r>
            <w:proofErr w:type="spellEnd"/>
            <w:r w:rsidRPr="000C1201">
              <w:rPr>
                <w:rFonts w:ascii="Cambria" w:hAnsi="Cambria"/>
                <w:color w:val="000000" w:themeColor="text1"/>
                <w:sz w:val="22"/>
                <w:szCs w:val="22"/>
                <w:lang w:val="lt-LT"/>
              </w:rPr>
              <w:t xml:space="preserve"> sukauptų dozių tyrimus.</w:t>
            </w:r>
          </w:p>
          <w:p w:rsidR="00C8635E" w:rsidRPr="000C1201" w:rsidRDefault="00C8635E" w:rsidP="00837A98">
            <w:pPr>
              <w:numPr>
                <w:ilvl w:val="0"/>
                <w:numId w:val="8"/>
              </w:numPr>
              <w:tabs>
                <w:tab w:val="left" w:pos="247"/>
              </w:tabs>
              <w:ind w:left="0" w:firstLine="23"/>
              <w:jc w:val="both"/>
              <w:rPr>
                <w:rFonts w:ascii="Cambria" w:hAnsi="Cambria"/>
                <w:color w:val="000000" w:themeColor="text1"/>
                <w:sz w:val="22"/>
                <w:szCs w:val="22"/>
                <w:lang w:val="lt-LT"/>
              </w:rPr>
            </w:pPr>
            <w:r w:rsidRPr="000C1201">
              <w:rPr>
                <w:rFonts w:ascii="Cambria" w:hAnsi="Cambria"/>
                <w:color w:val="000000" w:themeColor="text1"/>
                <w:sz w:val="22"/>
                <w:szCs w:val="22"/>
                <w:lang w:val="lt-LT"/>
              </w:rPr>
              <w:t xml:space="preserve">Paslaugą teikianti įmonė privalo pateikti užsakovo prašomą kiekį </w:t>
            </w:r>
            <w:proofErr w:type="spellStart"/>
            <w:r w:rsidRPr="000C1201">
              <w:rPr>
                <w:rFonts w:ascii="Cambria" w:hAnsi="Cambria"/>
                <w:color w:val="000000" w:themeColor="text1"/>
                <w:sz w:val="22"/>
                <w:szCs w:val="22"/>
                <w:lang w:val="lt-LT"/>
              </w:rPr>
              <w:t>dozimetrų</w:t>
            </w:r>
            <w:proofErr w:type="spellEnd"/>
            <w:r w:rsidRPr="000C1201">
              <w:rPr>
                <w:rFonts w:ascii="Cambria" w:hAnsi="Cambria"/>
                <w:color w:val="000000" w:themeColor="text1"/>
                <w:sz w:val="22"/>
                <w:szCs w:val="22"/>
                <w:lang w:val="lt-LT"/>
              </w:rPr>
              <w:t xml:space="preserve">, skirtų individualiosios dozės ekvivalento tyrimams (preliminariai planuojama užsakyti apie </w:t>
            </w:r>
            <w:r w:rsidR="00AB3368" w:rsidRPr="000C1201">
              <w:rPr>
                <w:rFonts w:ascii="Cambria" w:hAnsi="Cambria"/>
                <w:color w:val="000000" w:themeColor="text1"/>
                <w:sz w:val="22"/>
                <w:szCs w:val="22"/>
                <w:lang w:val="lt-LT"/>
              </w:rPr>
              <w:t>4</w:t>
            </w:r>
            <w:r w:rsidRPr="000C1201">
              <w:rPr>
                <w:rFonts w:ascii="Cambria" w:hAnsi="Cambria"/>
                <w:color w:val="000000" w:themeColor="text1"/>
                <w:sz w:val="22"/>
                <w:szCs w:val="22"/>
                <w:lang w:val="lt-LT"/>
              </w:rPr>
              <w:t xml:space="preserve">0 vnt. </w:t>
            </w:r>
            <w:proofErr w:type="spellStart"/>
            <w:r w:rsidRPr="000C1201">
              <w:rPr>
                <w:rFonts w:ascii="Cambria" w:hAnsi="Cambria"/>
                <w:color w:val="000000" w:themeColor="text1"/>
                <w:sz w:val="22"/>
                <w:szCs w:val="22"/>
                <w:lang w:val="lt-LT"/>
              </w:rPr>
              <w:t>dozimetrų</w:t>
            </w:r>
            <w:proofErr w:type="spellEnd"/>
            <w:r w:rsidRPr="000C1201">
              <w:rPr>
                <w:rFonts w:ascii="Cambria" w:hAnsi="Cambria"/>
                <w:color w:val="000000" w:themeColor="text1"/>
                <w:sz w:val="22"/>
                <w:szCs w:val="22"/>
                <w:lang w:val="lt-LT"/>
              </w:rPr>
              <w:t xml:space="preserve">, nuskaitomų kas mėnesį ir apie 50 vnt. </w:t>
            </w:r>
            <w:proofErr w:type="spellStart"/>
            <w:r w:rsidRPr="000C1201">
              <w:rPr>
                <w:rFonts w:ascii="Cambria" w:hAnsi="Cambria"/>
                <w:color w:val="000000" w:themeColor="text1"/>
                <w:sz w:val="22"/>
                <w:szCs w:val="22"/>
                <w:lang w:val="lt-LT"/>
              </w:rPr>
              <w:t>dozimetrų</w:t>
            </w:r>
            <w:proofErr w:type="spellEnd"/>
            <w:r w:rsidRPr="000C1201">
              <w:rPr>
                <w:rFonts w:ascii="Cambria" w:hAnsi="Cambria"/>
                <w:color w:val="000000" w:themeColor="text1"/>
                <w:sz w:val="22"/>
                <w:szCs w:val="22"/>
                <w:lang w:val="lt-LT"/>
              </w:rPr>
              <w:t xml:space="preserve">, nuskaitomų kas tris mėnesius). Prieš paimant </w:t>
            </w:r>
            <w:proofErr w:type="spellStart"/>
            <w:r w:rsidRPr="000C1201">
              <w:rPr>
                <w:rFonts w:ascii="Cambria" w:hAnsi="Cambria"/>
                <w:color w:val="000000" w:themeColor="text1"/>
                <w:sz w:val="22"/>
                <w:szCs w:val="22"/>
                <w:lang w:val="lt-LT"/>
              </w:rPr>
              <w:t>dozimetrus</w:t>
            </w:r>
            <w:proofErr w:type="spellEnd"/>
            <w:r w:rsidRPr="000C1201">
              <w:rPr>
                <w:rFonts w:ascii="Cambria" w:hAnsi="Cambria"/>
                <w:color w:val="000000" w:themeColor="text1"/>
                <w:sz w:val="22"/>
                <w:szCs w:val="22"/>
                <w:lang w:val="lt-LT"/>
              </w:rPr>
              <w:t xml:space="preserve"> nuskaitymui, užsakovas turės būti aprūpintas reikiamu kiekiu </w:t>
            </w:r>
            <w:proofErr w:type="spellStart"/>
            <w:r w:rsidRPr="000C1201">
              <w:rPr>
                <w:rFonts w:ascii="Cambria" w:hAnsi="Cambria"/>
                <w:color w:val="000000" w:themeColor="text1"/>
                <w:sz w:val="22"/>
                <w:szCs w:val="22"/>
                <w:lang w:val="lt-LT"/>
              </w:rPr>
              <w:t>dozimetrų</w:t>
            </w:r>
            <w:proofErr w:type="spellEnd"/>
            <w:r w:rsidRPr="000C1201">
              <w:rPr>
                <w:rFonts w:ascii="Cambria" w:hAnsi="Cambria"/>
                <w:color w:val="000000" w:themeColor="text1"/>
                <w:sz w:val="22"/>
                <w:szCs w:val="22"/>
                <w:lang w:val="lt-LT"/>
              </w:rPr>
              <w:t xml:space="preserve"> sekančiam individualiosios </w:t>
            </w:r>
            <w:proofErr w:type="spellStart"/>
            <w:r w:rsidRPr="000C1201">
              <w:rPr>
                <w:rFonts w:ascii="Cambria" w:hAnsi="Cambria"/>
                <w:color w:val="000000" w:themeColor="text1"/>
                <w:sz w:val="22"/>
                <w:szCs w:val="22"/>
                <w:lang w:val="lt-LT"/>
              </w:rPr>
              <w:t>apšvitos</w:t>
            </w:r>
            <w:proofErr w:type="spellEnd"/>
            <w:r w:rsidRPr="000C1201">
              <w:rPr>
                <w:rFonts w:ascii="Cambria" w:hAnsi="Cambria"/>
                <w:color w:val="000000" w:themeColor="text1"/>
                <w:sz w:val="22"/>
                <w:szCs w:val="22"/>
                <w:lang w:val="lt-LT"/>
              </w:rPr>
              <w:t xml:space="preserve"> stebėsenos periodui.</w:t>
            </w:r>
            <w:r w:rsidR="00D1195F" w:rsidRPr="000C1201">
              <w:rPr>
                <w:rFonts w:ascii="Cambria" w:hAnsi="Cambria"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proofErr w:type="spellStart"/>
            <w:r w:rsidR="00D1195F" w:rsidRPr="000C1201">
              <w:rPr>
                <w:rFonts w:ascii="Cambria" w:hAnsi="Cambria"/>
                <w:color w:val="000000" w:themeColor="text1"/>
                <w:sz w:val="22"/>
                <w:szCs w:val="22"/>
                <w:lang w:val="lt-LT"/>
              </w:rPr>
              <w:t>Dozimetrų</w:t>
            </w:r>
            <w:proofErr w:type="spellEnd"/>
            <w:r w:rsidR="00D1195F" w:rsidRPr="000C1201">
              <w:rPr>
                <w:rFonts w:ascii="Cambria" w:hAnsi="Cambria"/>
                <w:color w:val="000000" w:themeColor="text1"/>
                <w:sz w:val="22"/>
                <w:szCs w:val="22"/>
                <w:lang w:val="lt-LT"/>
              </w:rPr>
              <w:t xml:space="preserve"> transportavimo </w:t>
            </w:r>
            <w:r w:rsidRPr="000C1201">
              <w:rPr>
                <w:rFonts w:ascii="Cambria" w:hAnsi="Cambria"/>
                <w:color w:val="000000" w:themeColor="text1"/>
                <w:sz w:val="22"/>
                <w:szCs w:val="22"/>
                <w:lang w:val="lt-LT"/>
              </w:rPr>
              <w:t xml:space="preserve">išlaidos turi būti įskaičiuotos į pasiūlytą individualiosios dozės ekvivalento tyrimo/matavimo kainą. </w:t>
            </w:r>
          </w:p>
          <w:p w:rsidR="00C8635E" w:rsidRPr="000C1201" w:rsidRDefault="00C8635E" w:rsidP="00837A98">
            <w:pPr>
              <w:numPr>
                <w:ilvl w:val="0"/>
                <w:numId w:val="8"/>
              </w:numPr>
              <w:tabs>
                <w:tab w:val="left" w:pos="247"/>
              </w:tabs>
              <w:ind w:left="0" w:firstLine="23"/>
              <w:jc w:val="both"/>
              <w:rPr>
                <w:rFonts w:ascii="Cambria" w:hAnsi="Cambria"/>
                <w:color w:val="000000" w:themeColor="text1"/>
                <w:sz w:val="22"/>
                <w:szCs w:val="22"/>
                <w:lang w:val="lt-LT"/>
              </w:rPr>
            </w:pPr>
            <w:r w:rsidRPr="000C1201">
              <w:rPr>
                <w:rFonts w:ascii="Cambria" w:hAnsi="Cambria"/>
                <w:color w:val="000000" w:themeColor="text1"/>
                <w:sz w:val="22"/>
                <w:szCs w:val="22"/>
                <w:lang w:val="lt-LT"/>
              </w:rPr>
              <w:lastRenderedPageBreak/>
              <w:t xml:space="preserve">Paslaugą teikianti įmonė turi turėti galimybę, prireikus, individualiuose </w:t>
            </w:r>
            <w:proofErr w:type="spellStart"/>
            <w:r w:rsidRPr="000C1201">
              <w:rPr>
                <w:rFonts w:ascii="Cambria" w:hAnsi="Cambria"/>
                <w:color w:val="000000" w:themeColor="text1"/>
                <w:sz w:val="22"/>
                <w:szCs w:val="22"/>
                <w:lang w:val="lt-LT"/>
              </w:rPr>
              <w:t>dozimetruose</w:t>
            </w:r>
            <w:proofErr w:type="spellEnd"/>
            <w:r w:rsidRPr="000C1201">
              <w:rPr>
                <w:rFonts w:ascii="Cambria" w:hAnsi="Cambria"/>
                <w:color w:val="000000" w:themeColor="text1"/>
                <w:sz w:val="22"/>
                <w:szCs w:val="22"/>
                <w:lang w:val="lt-LT"/>
              </w:rPr>
              <w:t xml:space="preserve"> sukauptų dozių tyrimus atlikti per parą nuo individualaus </w:t>
            </w:r>
            <w:proofErr w:type="spellStart"/>
            <w:r w:rsidRPr="000C1201">
              <w:rPr>
                <w:rFonts w:ascii="Cambria" w:hAnsi="Cambria"/>
                <w:color w:val="000000" w:themeColor="text1"/>
                <w:sz w:val="22"/>
                <w:szCs w:val="22"/>
                <w:lang w:val="lt-LT"/>
              </w:rPr>
              <w:t>dozimetro</w:t>
            </w:r>
            <w:proofErr w:type="spellEnd"/>
            <w:r w:rsidRPr="000C1201">
              <w:rPr>
                <w:rFonts w:ascii="Cambria" w:hAnsi="Cambria"/>
                <w:color w:val="000000" w:themeColor="text1"/>
                <w:sz w:val="22"/>
                <w:szCs w:val="22"/>
                <w:lang w:val="lt-LT"/>
              </w:rPr>
              <w:t xml:space="preserve"> gr</w:t>
            </w:r>
            <w:r w:rsidR="006D1EE4" w:rsidRPr="000C1201">
              <w:rPr>
                <w:rFonts w:ascii="Cambria" w:hAnsi="Cambria"/>
                <w:color w:val="000000" w:themeColor="text1"/>
                <w:sz w:val="22"/>
                <w:szCs w:val="22"/>
                <w:lang w:val="lt-LT"/>
              </w:rPr>
              <w:t>ą</w:t>
            </w:r>
            <w:r w:rsidRPr="000C1201">
              <w:rPr>
                <w:rFonts w:ascii="Cambria" w:hAnsi="Cambria"/>
                <w:color w:val="000000" w:themeColor="text1"/>
                <w:sz w:val="22"/>
                <w:szCs w:val="22"/>
                <w:lang w:val="lt-LT"/>
              </w:rPr>
              <w:t>žinimo (radiologinės avarijos atveju).</w:t>
            </w:r>
          </w:p>
          <w:p w:rsidR="00C8635E" w:rsidRPr="00837A98" w:rsidRDefault="00C8635E" w:rsidP="00837A98">
            <w:pPr>
              <w:numPr>
                <w:ilvl w:val="0"/>
                <w:numId w:val="8"/>
              </w:numPr>
              <w:tabs>
                <w:tab w:val="left" w:pos="247"/>
              </w:tabs>
              <w:ind w:left="0" w:firstLine="23"/>
              <w:jc w:val="both"/>
              <w:rPr>
                <w:rFonts w:ascii="Cambria" w:hAnsi="Cambria"/>
                <w:color w:val="000000" w:themeColor="text1"/>
                <w:sz w:val="22"/>
                <w:szCs w:val="22"/>
                <w:lang w:val="lt-LT"/>
              </w:rPr>
            </w:pPr>
            <w:r w:rsidRPr="000C1201">
              <w:rPr>
                <w:rFonts w:ascii="Cambria" w:hAnsi="Cambria"/>
                <w:color w:val="000000" w:themeColor="text1"/>
                <w:sz w:val="22"/>
                <w:szCs w:val="22"/>
                <w:lang w:val="lt-LT"/>
              </w:rPr>
              <w:t xml:space="preserve">Pateikiami </w:t>
            </w:r>
            <w:proofErr w:type="spellStart"/>
            <w:r w:rsidRPr="000C1201">
              <w:rPr>
                <w:rFonts w:ascii="Cambria" w:hAnsi="Cambria"/>
                <w:color w:val="000000" w:themeColor="text1"/>
                <w:sz w:val="22"/>
                <w:szCs w:val="22"/>
                <w:lang w:val="lt-LT"/>
              </w:rPr>
              <w:t>dozimetrai</w:t>
            </w:r>
            <w:proofErr w:type="spellEnd"/>
            <w:r w:rsidRPr="000C1201">
              <w:rPr>
                <w:rFonts w:ascii="Cambria" w:hAnsi="Cambria"/>
                <w:color w:val="000000" w:themeColor="text1"/>
                <w:sz w:val="22"/>
                <w:szCs w:val="22"/>
                <w:lang w:val="lt-LT"/>
              </w:rPr>
              <w:t xml:space="preserve"> turi būti tinkami rentgeno, gama, beta spinduliuotės sąlygojamai individualiajai dozei nustatyti.</w:t>
            </w:r>
          </w:p>
        </w:tc>
      </w:tr>
      <w:tr w:rsidR="00957B52" w:rsidRPr="000C1201" w:rsidTr="000E36AD">
        <w:tc>
          <w:tcPr>
            <w:tcW w:w="10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52" w:rsidRPr="000C1201" w:rsidRDefault="00957B52" w:rsidP="000C1201">
            <w:pPr>
              <w:pStyle w:val="ListParagraph"/>
              <w:ind w:left="744"/>
              <w:jc w:val="center"/>
              <w:rPr>
                <w:rFonts w:ascii="Cambria" w:hAnsi="Cambria"/>
                <w:b/>
                <w:color w:val="000000"/>
                <w:sz w:val="22"/>
                <w:szCs w:val="22"/>
                <w:lang w:val="lt-LT"/>
              </w:rPr>
            </w:pPr>
            <w:r w:rsidRPr="000C1201">
              <w:rPr>
                <w:rFonts w:ascii="Cambria" w:hAnsi="Cambria"/>
                <w:b/>
                <w:color w:val="000000"/>
                <w:sz w:val="22"/>
                <w:szCs w:val="22"/>
                <w:lang w:val="lt-LT"/>
              </w:rPr>
              <w:lastRenderedPageBreak/>
              <w:t>Trečia pirkimo dalis</w:t>
            </w:r>
          </w:p>
        </w:tc>
      </w:tr>
      <w:tr w:rsidR="00C8635E" w:rsidRPr="000C1201" w:rsidTr="00C8759F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35E" w:rsidRPr="000C1201" w:rsidRDefault="002B7881" w:rsidP="000C1201">
            <w:pPr>
              <w:ind w:right="-108"/>
              <w:jc w:val="center"/>
              <w:rPr>
                <w:rFonts w:ascii="Cambria" w:hAnsi="Cambria"/>
                <w:color w:val="000000" w:themeColor="text1"/>
                <w:sz w:val="22"/>
                <w:szCs w:val="22"/>
                <w:lang w:val="lt-LT"/>
              </w:rPr>
            </w:pPr>
            <w:r w:rsidRPr="000C1201">
              <w:rPr>
                <w:rFonts w:ascii="Cambria" w:hAnsi="Cambria"/>
                <w:color w:val="000000" w:themeColor="text1"/>
                <w:sz w:val="22"/>
                <w:szCs w:val="22"/>
                <w:lang w:val="lt-LT"/>
              </w:rPr>
              <w:t>3</w:t>
            </w:r>
            <w:r w:rsidR="00C8635E" w:rsidRPr="000C1201">
              <w:rPr>
                <w:rFonts w:ascii="Cambria" w:hAnsi="Cambria"/>
                <w:color w:val="000000" w:themeColor="text1"/>
                <w:sz w:val="22"/>
                <w:szCs w:val="22"/>
                <w:lang w:val="lt-LT"/>
              </w:rPr>
              <w:t>.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35E" w:rsidRPr="000C1201" w:rsidRDefault="00C8635E" w:rsidP="000C1201">
            <w:pPr>
              <w:pStyle w:val="Heading3"/>
              <w:numPr>
                <w:ilvl w:val="0"/>
                <w:numId w:val="0"/>
              </w:numPr>
              <w:ind w:left="85"/>
              <w:jc w:val="left"/>
              <w:rPr>
                <w:rFonts w:ascii="Cambria" w:hAnsi="Cambria"/>
                <w:b w:val="0"/>
                <w:bCs w:val="0"/>
                <w:color w:val="000000"/>
                <w:sz w:val="22"/>
                <w:szCs w:val="22"/>
              </w:rPr>
            </w:pPr>
            <w:r w:rsidRPr="000C1201">
              <w:rPr>
                <w:rFonts w:ascii="Cambria" w:hAnsi="Cambria"/>
                <w:b w:val="0"/>
                <w:bCs w:val="0"/>
                <w:color w:val="000000"/>
                <w:sz w:val="22"/>
                <w:szCs w:val="22"/>
              </w:rPr>
              <w:t>In</w:t>
            </w:r>
            <w:bookmarkStart w:id="0" w:name="_GoBack"/>
            <w:bookmarkEnd w:id="0"/>
            <w:r w:rsidRPr="000C1201">
              <w:rPr>
                <w:rFonts w:ascii="Cambria" w:hAnsi="Cambria"/>
                <w:b w:val="0"/>
                <w:bCs w:val="0"/>
                <w:color w:val="000000"/>
                <w:sz w:val="22"/>
                <w:szCs w:val="22"/>
              </w:rPr>
              <w:t xml:space="preserve">dividualiosios dozės ekvivalento  </w:t>
            </w:r>
            <w:proofErr w:type="spellStart"/>
            <w:r w:rsidRPr="000C1201">
              <w:rPr>
                <w:rFonts w:ascii="Cambria" w:hAnsi="Cambria"/>
                <w:b w:val="0"/>
                <w:color w:val="000000"/>
                <w:sz w:val="22"/>
                <w:szCs w:val="22"/>
              </w:rPr>
              <w:t>Hp</w:t>
            </w:r>
            <w:proofErr w:type="spellEnd"/>
            <w:r w:rsidRPr="000C1201">
              <w:rPr>
                <w:rFonts w:ascii="Cambria" w:hAnsi="Cambria"/>
                <w:b w:val="0"/>
                <w:color w:val="000000"/>
                <w:sz w:val="22"/>
                <w:szCs w:val="22"/>
              </w:rPr>
              <w:t xml:space="preserve">(3)  </w:t>
            </w:r>
            <w:r w:rsidRPr="000C1201">
              <w:rPr>
                <w:rFonts w:ascii="Cambria" w:hAnsi="Cambria"/>
                <w:b w:val="0"/>
                <w:bCs w:val="0"/>
                <w:color w:val="000000"/>
                <w:sz w:val="22"/>
                <w:szCs w:val="22"/>
              </w:rPr>
              <w:t>matavimas</w:t>
            </w:r>
          </w:p>
          <w:p w:rsidR="00C8635E" w:rsidRPr="000C1201" w:rsidRDefault="00C8635E" w:rsidP="000C1201">
            <w:pPr>
              <w:pStyle w:val="Heading3"/>
              <w:numPr>
                <w:ilvl w:val="0"/>
                <w:numId w:val="0"/>
              </w:numPr>
              <w:ind w:left="85"/>
              <w:jc w:val="left"/>
              <w:rPr>
                <w:rFonts w:ascii="Cambria" w:hAnsi="Cambria"/>
                <w:b w:val="0"/>
                <w:bCs w:val="0"/>
                <w:color w:val="000000"/>
                <w:sz w:val="22"/>
                <w:szCs w:val="22"/>
              </w:rPr>
            </w:pPr>
            <w:r w:rsidRPr="000C1201">
              <w:rPr>
                <w:rFonts w:ascii="Cambria" w:hAnsi="Cambria"/>
                <w:b w:val="0"/>
                <w:color w:val="000000"/>
                <w:sz w:val="22"/>
                <w:szCs w:val="22"/>
              </w:rPr>
              <w:t>akies lęšiuko lygiavertės dozės įvertinimui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35E" w:rsidRPr="000C1201" w:rsidRDefault="00C8635E" w:rsidP="00837A98">
            <w:pPr>
              <w:pStyle w:val="ListParagraph"/>
              <w:numPr>
                <w:ilvl w:val="0"/>
                <w:numId w:val="5"/>
              </w:numPr>
              <w:tabs>
                <w:tab w:val="left" w:pos="238"/>
              </w:tabs>
              <w:ind w:left="0" w:firstLine="6"/>
              <w:jc w:val="both"/>
              <w:rPr>
                <w:rFonts w:ascii="Cambria" w:hAnsi="Cambria"/>
                <w:color w:val="000000"/>
                <w:sz w:val="22"/>
                <w:szCs w:val="22"/>
                <w:lang w:val="lt-LT"/>
              </w:rPr>
            </w:pPr>
            <w:r w:rsidRPr="000C1201">
              <w:rPr>
                <w:rFonts w:ascii="Cambria" w:hAnsi="Cambria"/>
                <w:color w:val="000000"/>
                <w:sz w:val="22"/>
                <w:szCs w:val="22"/>
                <w:lang w:val="lt-LT"/>
              </w:rPr>
              <w:t>Pasiūlyme turi būti nurod</w:t>
            </w:r>
            <w:r w:rsidRPr="000C1201">
              <w:rPr>
                <w:rFonts w:ascii="Cambria" w:hAnsi="Cambria"/>
                <w:color w:val="000000" w:themeColor="text1"/>
                <w:sz w:val="22"/>
                <w:szCs w:val="22"/>
                <w:lang w:val="lt-LT"/>
              </w:rPr>
              <w:t xml:space="preserve">yta </w:t>
            </w:r>
            <w:r w:rsidRPr="000C1201">
              <w:rPr>
                <w:rFonts w:ascii="Cambria" w:hAnsi="Cambria"/>
                <w:color w:val="000000"/>
                <w:sz w:val="22"/>
                <w:szCs w:val="22"/>
                <w:lang w:val="lt-LT"/>
              </w:rPr>
              <w:t>paslaugos kaina  vienam tyrimui/matavimui.</w:t>
            </w:r>
          </w:p>
          <w:p w:rsidR="00C8635E" w:rsidRPr="000C1201" w:rsidRDefault="00C8635E" w:rsidP="00837A98">
            <w:pPr>
              <w:pStyle w:val="ListParagraph"/>
              <w:numPr>
                <w:ilvl w:val="0"/>
                <w:numId w:val="5"/>
              </w:numPr>
              <w:tabs>
                <w:tab w:val="left" w:pos="238"/>
              </w:tabs>
              <w:ind w:left="0" w:firstLine="6"/>
              <w:jc w:val="both"/>
              <w:rPr>
                <w:rFonts w:ascii="Cambria" w:hAnsi="Cambria"/>
                <w:color w:val="000000"/>
                <w:sz w:val="22"/>
                <w:szCs w:val="22"/>
                <w:lang w:val="lt-LT"/>
              </w:rPr>
            </w:pPr>
            <w:r w:rsidRPr="000C1201">
              <w:rPr>
                <w:rFonts w:ascii="Cambria" w:hAnsi="Cambria"/>
                <w:color w:val="000000"/>
                <w:sz w:val="22"/>
                <w:szCs w:val="22"/>
                <w:lang w:val="lt-LT"/>
              </w:rPr>
              <w:t xml:space="preserve">Paslaugą teikianti įmonė privalo turėti galimybę pateikti </w:t>
            </w:r>
            <w:proofErr w:type="spellStart"/>
            <w:r w:rsidRPr="000C1201">
              <w:rPr>
                <w:rFonts w:ascii="Cambria" w:hAnsi="Cambria"/>
                <w:color w:val="000000"/>
                <w:sz w:val="22"/>
                <w:szCs w:val="22"/>
                <w:lang w:val="lt-LT"/>
              </w:rPr>
              <w:t>dozimetrus</w:t>
            </w:r>
            <w:proofErr w:type="spellEnd"/>
            <w:r w:rsidRPr="000C1201">
              <w:rPr>
                <w:rFonts w:ascii="Cambria" w:hAnsi="Cambria"/>
                <w:color w:val="000000"/>
                <w:sz w:val="22"/>
                <w:szCs w:val="22"/>
                <w:lang w:val="lt-LT"/>
              </w:rPr>
              <w:t xml:space="preserve">, tinkamus individualiosios dozės ekvivalento </w:t>
            </w:r>
            <w:proofErr w:type="spellStart"/>
            <w:r w:rsidRPr="000C1201">
              <w:rPr>
                <w:rFonts w:ascii="Cambria" w:hAnsi="Cambria"/>
                <w:color w:val="000000"/>
                <w:sz w:val="22"/>
                <w:szCs w:val="22"/>
                <w:lang w:val="lt-LT"/>
              </w:rPr>
              <w:t>Hp</w:t>
            </w:r>
            <w:proofErr w:type="spellEnd"/>
            <w:r w:rsidRPr="000C1201">
              <w:rPr>
                <w:rFonts w:ascii="Cambria" w:hAnsi="Cambria"/>
                <w:color w:val="000000"/>
                <w:sz w:val="22"/>
                <w:szCs w:val="22"/>
                <w:lang w:val="lt-LT"/>
              </w:rPr>
              <w:t xml:space="preserve">(3) nustatymui ir atitinkamai akies lęšiuko lygiavertės dozės įvertinimui bei atlikti individualiuose </w:t>
            </w:r>
            <w:proofErr w:type="spellStart"/>
            <w:r w:rsidRPr="000C1201">
              <w:rPr>
                <w:rFonts w:ascii="Cambria" w:hAnsi="Cambria"/>
                <w:color w:val="000000"/>
                <w:sz w:val="22"/>
                <w:szCs w:val="22"/>
                <w:lang w:val="lt-LT"/>
              </w:rPr>
              <w:t>dozimetruose</w:t>
            </w:r>
            <w:proofErr w:type="spellEnd"/>
            <w:r w:rsidRPr="000C1201">
              <w:rPr>
                <w:rFonts w:ascii="Cambria" w:hAnsi="Cambria"/>
                <w:color w:val="000000"/>
                <w:sz w:val="22"/>
                <w:szCs w:val="22"/>
                <w:lang w:val="lt-LT"/>
              </w:rPr>
              <w:t xml:space="preserve"> sukauptų dozių tyrimus.</w:t>
            </w:r>
          </w:p>
          <w:p w:rsidR="00C8635E" w:rsidRPr="000C1201" w:rsidRDefault="00C8635E" w:rsidP="00837A98">
            <w:pPr>
              <w:pStyle w:val="ListParagraph"/>
              <w:numPr>
                <w:ilvl w:val="0"/>
                <w:numId w:val="5"/>
              </w:numPr>
              <w:tabs>
                <w:tab w:val="left" w:pos="238"/>
              </w:tabs>
              <w:ind w:left="0" w:firstLine="6"/>
              <w:jc w:val="both"/>
              <w:rPr>
                <w:rFonts w:ascii="Cambria" w:hAnsi="Cambria"/>
                <w:color w:val="000000"/>
                <w:sz w:val="22"/>
                <w:szCs w:val="22"/>
                <w:lang w:val="lt-LT"/>
              </w:rPr>
            </w:pPr>
            <w:r w:rsidRPr="000C1201">
              <w:rPr>
                <w:rFonts w:ascii="Cambria" w:hAnsi="Cambria"/>
                <w:color w:val="000000"/>
                <w:sz w:val="22"/>
                <w:szCs w:val="22"/>
                <w:lang w:val="lt-LT"/>
              </w:rPr>
              <w:t xml:space="preserve">Paslaugą teikianti įmonė privalo pateikti užsakovo prašomą kiekį </w:t>
            </w:r>
            <w:proofErr w:type="spellStart"/>
            <w:r w:rsidRPr="000C1201">
              <w:rPr>
                <w:rFonts w:ascii="Cambria" w:hAnsi="Cambria"/>
                <w:color w:val="000000"/>
                <w:sz w:val="22"/>
                <w:szCs w:val="22"/>
                <w:lang w:val="lt-LT"/>
              </w:rPr>
              <w:t>dozimetrų</w:t>
            </w:r>
            <w:proofErr w:type="spellEnd"/>
            <w:r w:rsidRPr="000C1201">
              <w:rPr>
                <w:rFonts w:ascii="Cambria" w:hAnsi="Cambria"/>
                <w:color w:val="000000"/>
                <w:sz w:val="22"/>
                <w:szCs w:val="22"/>
                <w:lang w:val="lt-LT"/>
              </w:rPr>
              <w:t xml:space="preserve">, skirtų individualiosios dozės ekvivalento tyrimams (preliminariai planuojama užsakyti apie </w:t>
            </w:r>
            <w:r w:rsidR="00D033A3" w:rsidRPr="000C1201">
              <w:rPr>
                <w:rFonts w:ascii="Cambria" w:hAnsi="Cambria"/>
                <w:color w:val="000000"/>
                <w:sz w:val="22"/>
                <w:szCs w:val="22"/>
                <w:lang w:val="lt-LT"/>
              </w:rPr>
              <w:t>4</w:t>
            </w:r>
            <w:r w:rsidRPr="000C1201">
              <w:rPr>
                <w:rFonts w:ascii="Cambria" w:hAnsi="Cambria"/>
                <w:color w:val="000000"/>
                <w:sz w:val="22"/>
                <w:szCs w:val="22"/>
                <w:lang w:val="lt-LT"/>
              </w:rPr>
              <w:t xml:space="preserve">0 </w:t>
            </w:r>
            <w:r w:rsidRPr="000C1201">
              <w:rPr>
                <w:rFonts w:ascii="Cambria" w:hAnsi="Cambria"/>
                <w:color w:val="000000" w:themeColor="text1"/>
                <w:sz w:val="22"/>
                <w:szCs w:val="22"/>
                <w:lang w:val="lt-LT"/>
              </w:rPr>
              <w:t>vnt.</w:t>
            </w:r>
            <w:r w:rsidRPr="000C1201">
              <w:rPr>
                <w:rFonts w:ascii="Cambria" w:hAnsi="Cambria"/>
                <w:color w:val="FF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0C1201">
              <w:rPr>
                <w:rFonts w:ascii="Cambria" w:hAnsi="Cambria"/>
                <w:color w:val="000000"/>
                <w:sz w:val="22"/>
                <w:szCs w:val="22"/>
                <w:lang w:val="lt-LT"/>
              </w:rPr>
              <w:t>dozimetrų</w:t>
            </w:r>
            <w:proofErr w:type="spellEnd"/>
            <w:r w:rsidRPr="000C1201">
              <w:rPr>
                <w:rFonts w:ascii="Cambria" w:hAnsi="Cambria"/>
                <w:color w:val="000000"/>
                <w:sz w:val="22"/>
                <w:szCs w:val="22"/>
                <w:lang w:val="lt-LT"/>
              </w:rPr>
              <w:t xml:space="preserve">, nuskaitomų kas mėnesį. Prieš paimant </w:t>
            </w:r>
            <w:proofErr w:type="spellStart"/>
            <w:r w:rsidRPr="000C1201">
              <w:rPr>
                <w:rFonts w:ascii="Cambria" w:hAnsi="Cambria"/>
                <w:color w:val="000000"/>
                <w:sz w:val="22"/>
                <w:szCs w:val="22"/>
                <w:lang w:val="lt-LT"/>
              </w:rPr>
              <w:t>dozimetrus</w:t>
            </w:r>
            <w:proofErr w:type="spellEnd"/>
            <w:r w:rsidRPr="000C1201">
              <w:rPr>
                <w:rFonts w:ascii="Cambria" w:hAnsi="Cambria"/>
                <w:color w:val="000000"/>
                <w:sz w:val="22"/>
                <w:szCs w:val="22"/>
                <w:lang w:val="lt-LT"/>
              </w:rPr>
              <w:t xml:space="preserve"> nuskaitymui, užsakovas turės būti aprūpintas reikiamu kiekiu </w:t>
            </w:r>
            <w:proofErr w:type="spellStart"/>
            <w:r w:rsidRPr="000C1201">
              <w:rPr>
                <w:rFonts w:ascii="Cambria" w:hAnsi="Cambria"/>
                <w:color w:val="000000"/>
                <w:sz w:val="22"/>
                <w:szCs w:val="22"/>
                <w:lang w:val="lt-LT"/>
              </w:rPr>
              <w:t>dozimetrų</w:t>
            </w:r>
            <w:proofErr w:type="spellEnd"/>
            <w:r w:rsidRPr="000C1201">
              <w:rPr>
                <w:rFonts w:ascii="Cambria" w:hAnsi="Cambria"/>
                <w:color w:val="000000"/>
                <w:sz w:val="22"/>
                <w:szCs w:val="22"/>
                <w:lang w:val="lt-LT"/>
              </w:rPr>
              <w:t xml:space="preserve"> sekančiam individualiosios </w:t>
            </w:r>
            <w:proofErr w:type="spellStart"/>
            <w:r w:rsidRPr="000C1201">
              <w:rPr>
                <w:rFonts w:ascii="Cambria" w:hAnsi="Cambria"/>
                <w:color w:val="000000"/>
                <w:sz w:val="22"/>
                <w:szCs w:val="22"/>
                <w:lang w:val="lt-LT"/>
              </w:rPr>
              <w:t>apšvitos</w:t>
            </w:r>
            <w:proofErr w:type="spellEnd"/>
            <w:r w:rsidRPr="000C1201">
              <w:rPr>
                <w:rFonts w:ascii="Cambria" w:hAnsi="Cambria"/>
                <w:color w:val="000000"/>
                <w:sz w:val="22"/>
                <w:szCs w:val="22"/>
                <w:lang w:val="lt-LT"/>
              </w:rPr>
              <w:t xml:space="preserve"> stebėsenos periodui.</w:t>
            </w:r>
            <w:r w:rsidRPr="000C1201">
              <w:rPr>
                <w:rFonts w:ascii="Cambria" w:hAnsi="Cambria"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0C1201">
              <w:rPr>
                <w:rFonts w:ascii="Cambria" w:hAnsi="Cambria"/>
                <w:color w:val="000000" w:themeColor="text1"/>
                <w:sz w:val="22"/>
                <w:szCs w:val="22"/>
                <w:lang w:val="lt-LT"/>
              </w:rPr>
              <w:t>Dozimetrų</w:t>
            </w:r>
            <w:proofErr w:type="spellEnd"/>
            <w:r w:rsidRPr="000C1201">
              <w:rPr>
                <w:rFonts w:ascii="Cambria" w:hAnsi="Cambria"/>
                <w:color w:val="000000" w:themeColor="text1"/>
                <w:sz w:val="22"/>
                <w:szCs w:val="22"/>
                <w:lang w:val="lt-LT"/>
              </w:rPr>
              <w:t xml:space="preserve"> transportavimo išlaidos turi būti įskaičiuotos į pasiūlytą individualiosios dozės ekvivalento tyrimo/matavimo kainą.</w:t>
            </w:r>
            <w:r w:rsidRPr="000C1201">
              <w:rPr>
                <w:rFonts w:ascii="Cambria" w:hAnsi="Cambria"/>
                <w:color w:val="FF0000"/>
                <w:sz w:val="22"/>
                <w:szCs w:val="22"/>
                <w:lang w:val="lt-LT"/>
              </w:rPr>
              <w:t xml:space="preserve"> </w:t>
            </w:r>
          </w:p>
          <w:p w:rsidR="00C8635E" w:rsidRPr="000C1201" w:rsidRDefault="00C8635E" w:rsidP="00837A98">
            <w:pPr>
              <w:pStyle w:val="ListParagraph"/>
              <w:numPr>
                <w:ilvl w:val="0"/>
                <w:numId w:val="5"/>
              </w:numPr>
              <w:tabs>
                <w:tab w:val="left" w:pos="238"/>
              </w:tabs>
              <w:ind w:left="0" w:firstLine="6"/>
              <w:jc w:val="both"/>
              <w:rPr>
                <w:rFonts w:ascii="Cambria" w:hAnsi="Cambria"/>
                <w:color w:val="000000"/>
                <w:sz w:val="22"/>
                <w:szCs w:val="22"/>
                <w:lang w:val="lt-LT"/>
              </w:rPr>
            </w:pPr>
            <w:r w:rsidRPr="000C1201">
              <w:rPr>
                <w:rFonts w:ascii="Cambria" w:hAnsi="Cambria"/>
                <w:color w:val="000000"/>
                <w:sz w:val="22"/>
                <w:szCs w:val="22"/>
                <w:lang w:val="lt-LT"/>
              </w:rPr>
              <w:t xml:space="preserve">Paslaugą teikianti įmonė turi turėti </w:t>
            </w:r>
            <w:r w:rsidRPr="000C1201">
              <w:rPr>
                <w:rFonts w:ascii="Cambria" w:hAnsi="Cambria"/>
                <w:color w:val="000000" w:themeColor="text1"/>
                <w:sz w:val="22"/>
                <w:szCs w:val="22"/>
                <w:lang w:val="lt-LT"/>
              </w:rPr>
              <w:t>galimybę, prireikus,</w:t>
            </w:r>
            <w:r w:rsidRPr="000C1201">
              <w:rPr>
                <w:rFonts w:ascii="Cambria" w:hAnsi="Cambria"/>
                <w:color w:val="000000"/>
                <w:sz w:val="22"/>
                <w:szCs w:val="22"/>
                <w:lang w:val="lt-LT"/>
              </w:rPr>
              <w:t xml:space="preserve"> individualiuose </w:t>
            </w:r>
            <w:proofErr w:type="spellStart"/>
            <w:r w:rsidRPr="000C1201">
              <w:rPr>
                <w:rFonts w:ascii="Cambria" w:hAnsi="Cambria"/>
                <w:color w:val="000000"/>
                <w:sz w:val="22"/>
                <w:szCs w:val="22"/>
                <w:lang w:val="lt-LT"/>
              </w:rPr>
              <w:t>dozimetruose</w:t>
            </w:r>
            <w:proofErr w:type="spellEnd"/>
            <w:r w:rsidRPr="000C1201">
              <w:rPr>
                <w:rFonts w:ascii="Cambria" w:hAnsi="Cambria"/>
                <w:color w:val="000000"/>
                <w:sz w:val="22"/>
                <w:szCs w:val="22"/>
                <w:lang w:val="lt-LT"/>
              </w:rPr>
              <w:t xml:space="preserve"> sukauptų dozių tyrimus atlikti per parą nuo individualaus </w:t>
            </w:r>
            <w:proofErr w:type="spellStart"/>
            <w:r w:rsidRPr="000C1201">
              <w:rPr>
                <w:rFonts w:ascii="Cambria" w:hAnsi="Cambria"/>
                <w:color w:val="000000"/>
                <w:sz w:val="22"/>
                <w:szCs w:val="22"/>
                <w:lang w:val="lt-LT"/>
              </w:rPr>
              <w:t>dozimetro</w:t>
            </w:r>
            <w:proofErr w:type="spellEnd"/>
            <w:r w:rsidRPr="000C1201">
              <w:rPr>
                <w:rFonts w:ascii="Cambria" w:hAnsi="Cambria"/>
                <w:color w:val="000000"/>
                <w:sz w:val="22"/>
                <w:szCs w:val="22"/>
                <w:lang w:val="lt-LT"/>
              </w:rPr>
              <w:t xml:space="preserve"> gr</w:t>
            </w:r>
            <w:r w:rsidR="006D1EE4" w:rsidRPr="000C1201">
              <w:rPr>
                <w:rFonts w:ascii="Cambria" w:hAnsi="Cambria"/>
                <w:color w:val="000000"/>
                <w:sz w:val="22"/>
                <w:szCs w:val="22"/>
                <w:lang w:val="lt-LT"/>
              </w:rPr>
              <w:t>ą</w:t>
            </w:r>
            <w:r w:rsidRPr="000C1201">
              <w:rPr>
                <w:rFonts w:ascii="Cambria" w:hAnsi="Cambria"/>
                <w:color w:val="000000"/>
                <w:sz w:val="22"/>
                <w:szCs w:val="22"/>
                <w:lang w:val="lt-LT"/>
              </w:rPr>
              <w:t>žinimo (radiologinės avarijos atveju).</w:t>
            </w:r>
          </w:p>
          <w:p w:rsidR="00C8635E" w:rsidRPr="000C1201" w:rsidRDefault="00C8635E" w:rsidP="00837A98">
            <w:pPr>
              <w:pStyle w:val="ListParagraph"/>
              <w:numPr>
                <w:ilvl w:val="0"/>
                <w:numId w:val="5"/>
              </w:numPr>
              <w:tabs>
                <w:tab w:val="left" w:pos="238"/>
              </w:tabs>
              <w:ind w:left="0" w:firstLine="6"/>
              <w:jc w:val="both"/>
              <w:rPr>
                <w:rFonts w:ascii="Cambria" w:hAnsi="Cambria"/>
                <w:color w:val="000000"/>
                <w:sz w:val="22"/>
                <w:szCs w:val="22"/>
                <w:lang w:val="lt-LT"/>
              </w:rPr>
            </w:pPr>
            <w:r w:rsidRPr="000C1201">
              <w:rPr>
                <w:rFonts w:ascii="Cambria" w:hAnsi="Cambria"/>
                <w:color w:val="000000"/>
                <w:sz w:val="22"/>
                <w:szCs w:val="22"/>
                <w:lang w:val="lt-LT"/>
              </w:rPr>
              <w:t xml:space="preserve">Pateikiami </w:t>
            </w:r>
            <w:proofErr w:type="spellStart"/>
            <w:r w:rsidRPr="000C1201">
              <w:rPr>
                <w:rFonts w:ascii="Cambria" w:hAnsi="Cambria"/>
                <w:color w:val="000000"/>
                <w:sz w:val="22"/>
                <w:szCs w:val="22"/>
                <w:lang w:val="lt-LT"/>
              </w:rPr>
              <w:t>dozimetrai</w:t>
            </w:r>
            <w:proofErr w:type="spellEnd"/>
            <w:r w:rsidRPr="000C1201">
              <w:rPr>
                <w:rFonts w:ascii="Cambria" w:hAnsi="Cambria"/>
                <w:color w:val="000000"/>
                <w:sz w:val="22"/>
                <w:szCs w:val="22"/>
                <w:lang w:val="lt-LT"/>
              </w:rPr>
              <w:t xml:space="preserve"> turi būti tinkami rentgeno, gama, beta spinduliuotės sąlygojamai individualiajai dozei nustatyti.</w:t>
            </w:r>
          </w:p>
        </w:tc>
      </w:tr>
      <w:tr w:rsidR="00837A98" w:rsidRPr="000C1201" w:rsidTr="006241AE">
        <w:trPr>
          <w:trHeight w:val="23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7A98" w:rsidRPr="000C1201" w:rsidRDefault="00837A98" w:rsidP="000C1201">
            <w:pPr>
              <w:jc w:val="center"/>
              <w:rPr>
                <w:rFonts w:ascii="Cambria" w:hAnsi="Cambria"/>
                <w:color w:val="000000"/>
                <w:sz w:val="22"/>
                <w:szCs w:val="22"/>
                <w:lang w:val="lt-LT"/>
              </w:rPr>
            </w:pPr>
            <w:r w:rsidRPr="000C1201">
              <w:rPr>
                <w:rFonts w:ascii="Cambria" w:hAnsi="Cambria"/>
                <w:color w:val="000000"/>
                <w:sz w:val="22"/>
                <w:szCs w:val="22"/>
                <w:lang w:val="lt-LT"/>
              </w:rPr>
              <w:t>3.</w:t>
            </w:r>
          </w:p>
        </w:tc>
        <w:tc>
          <w:tcPr>
            <w:tcW w:w="9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98" w:rsidRPr="000C1201" w:rsidRDefault="00837A98" w:rsidP="000C1201">
            <w:pPr>
              <w:snapToGrid w:val="0"/>
              <w:jc w:val="both"/>
              <w:rPr>
                <w:rFonts w:ascii="Cambria" w:hAnsi="Cambria"/>
                <w:color w:val="000000"/>
                <w:sz w:val="22"/>
                <w:szCs w:val="22"/>
                <w:lang w:val="lt-LT"/>
              </w:rPr>
            </w:pPr>
            <w:r w:rsidRPr="000C1201">
              <w:rPr>
                <w:rFonts w:ascii="Cambria" w:hAnsi="Cambria"/>
                <w:color w:val="000000"/>
                <w:sz w:val="22"/>
                <w:szCs w:val="22"/>
                <w:lang w:val="lt-LT"/>
              </w:rPr>
              <w:t>Paslaugų  organizavimas:</w:t>
            </w:r>
          </w:p>
        </w:tc>
      </w:tr>
      <w:tr w:rsidR="00C8635E" w:rsidRPr="000C1201" w:rsidTr="00C8759F">
        <w:trPr>
          <w:trHeight w:val="209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35E" w:rsidRPr="000C1201" w:rsidRDefault="00C8635E" w:rsidP="000C1201">
            <w:pPr>
              <w:jc w:val="center"/>
              <w:rPr>
                <w:rFonts w:ascii="Cambria" w:hAnsi="Cambria"/>
                <w:color w:val="000000"/>
                <w:sz w:val="22"/>
                <w:szCs w:val="22"/>
                <w:lang w:val="lt-LT"/>
              </w:rPr>
            </w:pPr>
            <w:r w:rsidRPr="000C1201">
              <w:rPr>
                <w:rFonts w:ascii="Cambria" w:hAnsi="Cambria"/>
                <w:color w:val="000000"/>
                <w:sz w:val="22"/>
                <w:szCs w:val="22"/>
                <w:lang w:val="lt-LT"/>
              </w:rPr>
              <w:t>3.1.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35E" w:rsidRPr="000C1201" w:rsidRDefault="00C8635E" w:rsidP="00837A98">
            <w:pPr>
              <w:rPr>
                <w:rFonts w:ascii="Cambria" w:hAnsi="Cambria"/>
                <w:color w:val="000000"/>
                <w:sz w:val="22"/>
                <w:szCs w:val="22"/>
                <w:lang w:val="lt-LT"/>
              </w:rPr>
            </w:pPr>
            <w:r w:rsidRPr="000C1201">
              <w:rPr>
                <w:rFonts w:ascii="Cambria" w:hAnsi="Cambria"/>
                <w:color w:val="000000"/>
                <w:sz w:val="22"/>
                <w:szCs w:val="22"/>
                <w:lang w:val="lt-LT"/>
              </w:rPr>
              <w:t>Užsakymų priėmimas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35E" w:rsidRPr="000C1201" w:rsidRDefault="00C8635E" w:rsidP="000C1201">
            <w:pPr>
              <w:jc w:val="both"/>
              <w:rPr>
                <w:rFonts w:ascii="Cambria" w:hAnsi="Cambria"/>
                <w:color w:val="000000"/>
                <w:sz w:val="22"/>
                <w:szCs w:val="22"/>
                <w:lang w:val="lt-LT"/>
              </w:rPr>
            </w:pPr>
            <w:r w:rsidRPr="000C1201">
              <w:rPr>
                <w:rFonts w:ascii="Cambria" w:hAnsi="Cambria"/>
                <w:color w:val="000000"/>
                <w:sz w:val="22"/>
                <w:szCs w:val="22"/>
                <w:lang w:val="lt-LT"/>
              </w:rPr>
              <w:t xml:space="preserve">Užsakymai </w:t>
            </w:r>
            <w:r w:rsidRPr="000C1201">
              <w:rPr>
                <w:rFonts w:ascii="Cambria" w:hAnsi="Cambria"/>
                <w:color w:val="000000" w:themeColor="text1"/>
                <w:sz w:val="22"/>
                <w:szCs w:val="22"/>
                <w:lang w:val="lt-LT"/>
              </w:rPr>
              <w:t>turi būti priimami elektroniniu</w:t>
            </w:r>
            <w:r w:rsidRPr="000C1201">
              <w:rPr>
                <w:rFonts w:ascii="Cambria" w:hAnsi="Cambria"/>
                <w:color w:val="000000"/>
                <w:sz w:val="22"/>
                <w:szCs w:val="22"/>
                <w:lang w:val="lt-LT"/>
              </w:rPr>
              <w:t xml:space="preserve"> paštu.</w:t>
            </w:r>
          </w:p>
        </w:tc>
      </w:tr>
      <w:tr w:rsidR="00C8635E" w:rsidRPr="000C1201" w:rsidTr="00C8759F">
        <w:trPr>
          <w:trHeight w:val="108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35E" w:rsidRPr="000C1201" w:rsidRDefault="00C8635E" w:rsidP="000C1201">
            <w:pPr>
              <w:jc w:val="center"/>
              <w:rPr>
                <w:rFonts w:ascii="Cambria" w:hAnsi="Cambria"/>
                <w:color w:val="000000"/>
                <w:sz w:val="22"/>
                <w:szCs w:val="22"/>
                <w:lang w:val="lt-LT"/>
              </w:rPr>
            </w:pPr>
            <w:r w:rsidRPr="000C1201">
              <w:rPr>
                <w:rFonts w:ascii="Cambria" w:hAnsi="Cambria"/>
                <w:color w:val="000000"/>
                <w:sz w:val="22"/>
                <w:szCs w:val="22"/>
                <w:lang w:val="lt-LT"/>
              </w:rPr>
              <w:t>4.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35E" w:rsidRPr="000C1201" w:rsidRDefault="00C8635E" w:rsidP="00837A98">
            <w:pPr>
              <w:rPr>
                <w:rFonts w:ascii="Cambria" w:hAnsi="Cambria"/>
                <w:color w:val="000000"/>
                <w:sz w:val="22"/>
                <w:szCs w:val="22"/>
                <w:lang w:val="lt-LT"/>
              </w:rPr>
            </w:pPr>
            <w:r w:rsidRPr="000C1201">
              <w:rPr>
                <w:rFonts w:ascii="Cambria" w:hAnsi="Cambria"/>
                <w:color w:val="000000"/>
                <w:sz w:val="22"/>
                <w:szCs w:val="22"/>
                <w:lang w:val="lt-LT"/>
              </w:rPr>
              <w:t>Paslaugų įforminimas: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35E" w:rsidRPr="000C1201" w:rsidRDefault="00C8635E" w:rsidP="000C1201">
            <w:pPr>
              <w:snapToGrid w:val="0"/>
              <w:jc w:val="both"/>
              <w:rPr>
                <w:rFonts w:ascii="Cambria" w:hAnsi="Cambria"/>
                <w:color w:val="000000"/>
                <w:sz w:val="22"/>
                <w:szCs w:val="22"/>
                <w:lang w:val="lt-LT"/>
              </w:rPr>
            </w:pPr>
          </w:p>
        </w:tc>
      </w:tr>
      <w:tr w:rsidR="00C8635E" w:rsidRPr="000C1201" w:rsidTr="00C8759F">
        <w:trPr>
          <w:trHeight w:val="596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35E" w:rsidRPr="000C1201" w:rsidRDefault="00C8635E" w:rsidP="000C1201">
            <w:pPr>
              <w:jc w:val="center"/>
              <w:rPr>
                <w:rFonts w:ascii="Cambria" w:hAnsi="Cambria"/>
                <w:color w:val="000000"/>
                <w:sz w:val="22"/>
                <w:szCs w:val="22"/>
                <w:lang w:val="lt-LT"/>
              </w:rPr>
            </w:pPr>
            <w:r w:rsidRPr="000C1201">
              <w:rPr>
                <w:rFonts w:ascii="Cambria" w:hAnsi="Cambria"/>
                <w:color w:val="000000"/>
                <w:sz w:val="22"/>
                <w:szCs w:val="22"/>
                <w:lang w:val="lt-LT"/>
              </w:rPr>
              <w:t>4.1.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35E" w:rsidRPr="000C1201" w:rsidRDefault="00C8635E" w:rsidP="00837A98">
            <w:pPr>
              <w:rPr>
                <w:rFonts w:ascii="Cambria" w:hAnsi="Cambria"/>
                <w:color w:val="000000"/>
                <w:sz w:val="22"/>
                <w:szCs w:val="22"/>
                <w:lang w:val="lt-LT"/>
              </w:rPr>
            </w:pPr>
            <w:r w:rsidRPr="000C1201">
              <w:rPr>
                <w:rFonts w:ascii="Cambria" w:hAnsi="Cambria"/>
                <w:color w:val="000000"/>
                <w:sz w:val="22"/>
                <w:szCs w:val="22"/>
                <w:lang w:val="lt-LT"/>
              </w:rPr>
              <w:t>Atlikus darbus: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35E" w:rsidRPr="000C1201" w:rsidRDefault="00C8635E" w:rsidP="00837A98">
            <w:pPr>
              <w:numPr>
                <w:ilvl w:val="0"/>
                <w:numId w:val="2"/>
              </w:numPr>
              <w:tabs>
                <w:tab w:val="clear" w:pos="720"/>
                <w:tab w:val="left" w:pos="201"/>
              </w:tabs>
              <w:ind w:left="0" w:firstLine="0"/>
              <w:jc w:val="both"/>
              <w:rPr>
                <w:rFonts w:ascii="Cambria" w:hAnsi="Cambria"/>
                <w:color w:val="000000" w:themeColor="text1"/>
                <w:sz w:val="22"/>
                <w:szCs w:val="22"/>
                <w:lang w:val="lt-LT"/>
              </w:rPr>
            </w:pPr>
            <w:r w:rsidRPr="000C1201">
              <w:rPr>
                <w:rFonts w:ascii="Cambria" w:hAnsi="Cambria"/>
                <w:color w:val="000000" w:themeColor="text1"/>
                <w:sz w:val="22"/>
                <w:szCs w:val="22"/>
                <w:lang w:val="lt-LT"/>
              </w:rPr>
              <w:t>Išmatavus (nuskaičius) vertes, viršijančias HN 73:2018 6 priede nurodytas vertes, informacija apie dozes nedelsiant pateikiama užsakovui telefonu arba elektroniniu paštu;</w:t>
            </w:r>
          </w:p>
          <w:p w:rsidR="00C8635E" w:rsidRPr="000C1201" w:rsidRDefault="00C8635E" w:rsidP="00837A98">
            <w:pPr>
              <w:numPr>
                <w:ilvl w:val="0"/>
                <w:numId w:val="2"/>
              </w:numPr>
              <w:tabs>
                <w:tab w:val="clear" w:pos="720"/>
                <w:tab w:val="left" w:pos="201"/>
              </w:tabs>
              <w:ind w:left="0" w:firstLine="0"/>
              <w:jc w:val="both"/>
              <w:rPr>
                <w:rFonts w:ascii="Cambria" w:hAnsi="Cambria"/>
                <w:color w:val="000000" w:themeColor="text1"/>
                <w:sz w:val="22"/>
                <w:szCs w:val="22"/>
                <w:lang w:val="lt-LT"/>
              </w:rPr>
            </w:pPr>
            <w:r w:rsidRPr="000C1201">
              <w:rPr>
                <w:rFonts w:ascii="Cambria" w:hAnsi="Cambria"/>
                <w:color w:val="000000" w:themeColor="text1"/>
                <w:sz w:val="22"/>
                <w:szCs w:val="22"/>
                <w:lang w:val="lt-LT"/>
              </w:rPr>
              <w:t xml:space="preserve">Pateikiamas visų </w:t>
            </w:r>
            <w:proofErr w:type="spellStart"/>
            <w:r w:rsidRPr="000C1201">
              <w:rPr>
                <w:rFonts w:ascii="Cambria" w:hAnsi="Cambria"/>
                <w:color w:val="000000" w:themeColor="text1"/>
                <w:sz w:val="22"/>
                <w:szCs w:val="22"/>
                <w:lang w:val="lt-LT"/>
              </w:rPr>
              <w:t>dozimetrų</w:t>
            </w:r>
            <w:proofErr w:type="spellEnd"/>
            <w:r w:rsidRPr="000C1201">
              <w:rPr>
                <w:rFonts w:ascii="Cambria" w:hAnsi="Cambria"/>
                <w:color w:val="000000" w:themeColor="text1"/>
                <w:sz w:val="22"/>
                <w:szCs w:val="22"/>
                <w:lang w:val="lt-LT"/>
              </w:rPr>
              <w:t xml:space="preserve"> matavimų protokolas su matavimų rezultatų vertinimo išvadomis; </w:t>
            </w:r>
          </w:p>
          <w:p w:rsidR="00C8635E" w:rsidRPr="000C1201" w:rsidRDefault="00C8635E" w:rsidP="00837A98">
            <w:pPr>
              <w:numPr>
                <w:ilvl w:val="0"/>
                <w:numId w:val="2"/>
              </w:numPr>
              <w:tabs>
                <w:tab w:val="clear" w:pos="720"/>
                <w:tab w:val="left" w:pos="201"/>
              </w:tabs>
              <w:ind w:left="0" w:firstLine="0"/>
              <w:jc w:val="both"/>
              <w:rPr>
                <w:rFonts w:ascii="Cambria" w:hAnsi="Cambria"/>
                <w:color w:val="000000" w:themeColor="text1"/>
                <w:sz w:val="22"/>
                <w:szCs w:val="22"/>
                <w:lang w:val="lt-LT"/>
              </w:rPr>
            </w:pPr>
            <w:r w:rsidRPr="000C1201">
              <w:rPr>
                <w:rFonts w:ascii="Cambria" w:hAnsi="Cambria"/>
                <w:color w:val="000000" w:themeColor="text1"/>
                <w:sz w:val="22"/>
                <w:szCs w:val="22"/>
                <w:lang w:val="lt-LT"/>
              </w:rPr>
              <w:t>Surašomas atliktų darbų aktas.</w:t>
            </w:r>
          </w:p>
          <w:p w:rsidR="00C8635E" w:rsidRPr="000C1201" w:rsidRDefault="00C8635E" w:rsidP="00837A98">
            <w:pPr>
              <w:numPr>
                <w:ilvl w:val="0"/>
                <w:numId w:val="2"/>
              </w:numPr>
              <w:tabs>
                <w:tab w:val="clear" w:pos="720"/>
                <w:tab w:val="left" w:pos="201"/>
              </w:tabs>
              <w:ind w:left="0" w:firstLine="0"/>
              <w:jc w:val="both"/>
              <w:rPr>
                <w:rFonts w:ascii="Cambria" w:hAnsi="Cambria"/>
                <w:color w:val="000000" w:themeColor="text1"/>
                <w:sz w:val="22"/>
                <w:szCs w:val="22"/>
                <w:lang w:val="lt-LT"/>
              </w:rPr>
            </w:pPr>
            <w:r w:rsidRPr="000C1201">
              <w:rPr>
                <w:rFonts w:ascii="Cambria" w:hAnsi="Cambria"/>
                <w:color w:val="000000" w:themeColor="text1"/>
                <w:sz w:val="22"/>
                <w:szCs w:val="22"/>
                <w:lang w:val="lt-LT"/>
              </w:rPr>
              <w:t>Pateikiama atitinkama sąskaita-faktūra.</w:t>
            </w:r>
          </w:p>
        </w:tc>
      </w:tr>
      <w:tr w:rsidR="00C8635E" w:rsidRPr="000C1201" w:rsidTr="000C73B3">
        <w:trPr>
          <w:trHeight w:val="203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35E" w:rsidRPr="000C1201" w:rsidRDefault="00C8635E" w:rsidP="000C1201">
            <w:pPr>
              <w:jc w:val="center"/>
              <w:rPr>
                <w:rFonts w:ascii="Cambria" w:hAnsi="Cambria"/>
                <w:color w:val="000000"/>
                <w:sz w:val="22"/>
                <w:szCs w:val="22"/>
                <w:lang w:val="lt-LT"/>
              </w:rPr>
            </w:pPr>
            <w:r w:rsidRPr="000C1201">
              <w:rPr>
                <w:rFonts w:ascii="Cambria" w:hAnsi="Cambria"/>
                <w:color w:val="000000"/>
                <w:sz w:val="22"/>
                <w:szCs w:val="22"/>
                <w:lang w:val="lt-LT"/>
              </w:rPr>
              <w:t>4.2.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35E" w:rsidRPr="000C1201" w:rsidRDefault="00C8635E" w:rsidP="00837A98">
            <w:pPr>
              <w:rPr>
                <w:rFonts w:ascii="Cambria" w:hAnsi="Cambria"/>
                <w:color w:val="000000"/>
                <w:sz w:val="22"/>
                <w:szCs w:val="22"/>
                <w:lang w:val="lt-LT"/>
              </w:rPr>
            </w:pPr>
            <w:r w:rsidRPr="000C1201">
              <w:rPr>
                <w:rFonts w:ascii="Cambria" w:hAnsi="Cambria"/>
                <w:color w:val="000000"/>
                <w:sz w:val="22"/>
                <w:szCs w:val="22"/>
                <w:lang w:val="lt-LT"/>
              </w:rPr>
              <w:t xml:space="preserve">Apmokėjimo sąlygos 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35E" w:rsidRPr="000C1201" w:rsidRDefault="00C8635E" w:rsidP="000C1201">
            <w:pPr>
              <w:jc w:val="both"/>
              <w:rPr>
                <w:rFonts w:ascii="Cambria" w:hAnsi="Cambria"/>
                <w:color w:val="000000"/>
                <w:sz w:val="22"/>
                <w:szCs w:val="22"/>
                <w:lang w:val="lt-LT"/>
              </w:rPr>
            </w:pPr>
            <w:r w:rsidRPr="000C1201">
              <w:rPr>
                <w:rFonts w:ascii="Cambria" w:hAnsi="Cambria"/>
                <w:color w:val="000000"/>
                <w:sz w:val="22"/>
                <w:szCs w:val="22"/>
                <w:lang w:val="lt-LT"/>
              </w:rPr>
              <w:t>Per 30 dienų nuo sąskaitos-faktūros išrašymo dienos</w:t>
            </w:r>
          </w:p>
        </w:tc>
      </w:tr>
    </w:tbl>
    <w:p w:rsidR="003C0708" w:rsidRPr="000C1201" w:rsidRDefault="003C0708" w:rsidP="000C1201">
      <w:pPr>
        <w:pStyle w:val="Default"/>
        <w:rPr>
          <w:rFonts w:ascii="Cambria" w:hAnsi="Cambria"/>
          <w:sz w:val="22"/>
          <w:szCs w:val="22"/>
        </w:rPr>
      </w:pPr>
    </w:p>
    <w:p w:rsidR="00797DD3" w:rsidRPr="000C1201" w:rsidRDefault="00797DD3" w:rsidP="000C1201">
      <w:pPr>
        <w:pStyle w:val="BodyText"/>
        <w:ind w:left="-284"/>
        <w:rPr>
          <w:rFonts w:ascii="Cambria" w:hAnsi="Cambria"/>
          <w:b/>
          <w:bCs/>
          <w:color w:val="000000" w:themeColor="text1"/>
          <w:szCs w:val="22"/>
        </w:rPr>
      </w:pPr>
      <w:r w:rsidRPr="000C1201">
        <w:rPr>
          <w:rFonts w:ascii="Cambria" w:hAnsi="Cambria"/>
          <w:b/>
          <w:bCs/>
          <w:color w:val="000000" w:themeColor="text1"/>
          <w:szCs w:val="22"/>
        </w:rPr>
        <w:t>P</w:t>
      </w:r>
      <w:r w:rsidR="00D6077E" w:rsidRPr="000C1201">
        <w:rPr>
          <w:rFonts w:ascii="Cambria" w:hAnsi="Cambria"/>
          <w:b/>
          <w:bCs/>
          <w:color w:val="000000" w:themeColor="text1"/>
          <w:szCs w:val="22"/>
        </w:rPr>
        <w:t>astabos, p</w:t>
      </w:r>
      <w:r w:rsidRPr="000C1201">
        <w:rPr>
          <w:rFonts w:ascii="Cambria" w:hAnsi="Cambria"/>
          <w:b/>
          <w:bCs/>
          <w:color w:val="000000" w:themeColor="text1"/>
          <w:szCs w:val="22"/>
        </w:rPr>
        <w:t>apildomi reikalavimai:</w:t>
      </w:r>
    </w:p>
    <w:p w:rsidR="001A66EF" w:rsidRPr="000C1201" w:rsidRDefault="00751BAE" w:rsidP="000C73B3">
      <w:pPr>
        <w:pStyle w:val="BodyText"/>
        <w:numPr>
          <w:ilvl w:val="0"/>
          <w:numId w:val="7"/>
        </w:numPr>
        <w:tabs>
          <w:tab w:val="left" w:pos="426"/>
        </w:tabs>
        <w:suppressAutoHyphens w:val="0"/>
        <w:ind w:left="-284" w:right="140" w:firstLine="426"/>
        <w:rPr>
          <w:rFonts w:ascii="Cambria" w:hAnsi="Cambria"/>
          <w:bCs/>
          <w:color w:val="000000" w:themeColor="text1"/>
          <w:szCs w:val="22"/>
        </w:rPr>
      </w:pPr>
      <w:r w:rsidRPr="000C1201">
        <w:rPr>
          <w:rFonts w:ascii="Cambria" w:hAnsi="Cambria"/>
          <w:color w:val="000000" w:themeColor="text1"/>
          <w:szCs w:val="22"/>
          <w:shd w:val="clear" w:color="auto" w:fill="FFFFFF"/>
        </w:rPr>
        <w:t>Pirkim</w:t>
      </w:r>
      <w:r w:rsidR="00C111D5" w:rsidRPr="000C1201">
        <w:rPr>
          <w:rFonts w:ascii="Cambria" w:hAnsi="Cambria"/>
          <w:color w:val="000000" w:themeColor="text1"/>
          <w:szCs w:val="22"/>
          <w:shd w:val="clear" w:color="auto" w:fill="FFFFFF"/>
        </w:rPr>
        <w:t xml:space="preserve">as </w:t>
      </w:r>
      <w:r w:rsidRPr="000C1201">
        <w:rPr>
          <w:rFonts w:ascii="Cambria" w:hAnsi="Cambria"/>
          <w:color w:val="000000" w:themeColor="text1"/>
          <w:szCs w:val="22"/>
          <w:shd w:val="clear" w:color="auto" w:fill="FFFFFF"/>
        </w:rPr>
        <w:t>skaid</w:t>
      </w:r>
      <w:r w:rsidR="00C111D5" w:rsidRPr="000C1201">
        <w:rPr>
          <w:rFonts w:ascii="Cambria" w:hAnsi="Cambria"/>
          <w:color w:val="000000" w:themeColor="text1"/>
          <w:szCs w:val="22"/>
          <w:shd w:val="clear" w:color="auto" w:fill="FFFFFF"/>
        </w:rPr>
        <w:t>omas</w:t>
      </w:r>
      <w:r w:rsidR="00FE62EC" w:rsidRPr="000C1201">
        <w:rPr>
          <w:rFonts w:ascii="Cambria" w:hAnsi="Cambria"/>
          <w:color w:val="000000" w:themeColor="text1"/>
          <w:szCs w:val="22"/>
          <w:shd w:val="clear" w:color="auto" w:fill="FFFFFF"/>
        </w:rPr>
        <w:t xml:space="preserve"> </w:t>
      </w:r>
      <w:r w:rsidRPr="000C1201">
        <w:rPr>
          <w:rFonts w:ascii="Cambria" w:hAnsi="Cambria"/>
          <w:color w:val="000000" w:themeColor="text1"/>
          <w:szCs w:val="22"/>
          <w:shd w:val="clear" w:color="auto" w:fill="FFFFFF"/>
        </w:rPr>
        <w:t xml:space="preserve"> į </w:t>
      </w:r>
      <w:r w:rsidR="002B7881" w:rsidRPr="000C1201">
        <w:rPr>
          <w:rFonts w:ascii="Cambria" w:hAnsi="Cambria"/>
          <w:color w:val="000000" w:themeColor="text1"/>
          <w:szCs w:val="22"/>
          <w:shd w:val="clear" w:color="auto" w:fill="FFFFFF"/>
        </w:rPr>
        <w:t>tris</w:t>
      </w:r>
      <w:r w:rsidR="00C111D5" w:rsidRPr="000C1201">
        <w:rPr>
          <w:rFonts w:ascii="Cambria" w:hAnsi="Cambria"/>
          <w:color w:val="000000" w:themeColor="text1"/>
          <w:szCs w:val="22"/>
          <w:shd w:val="clear" w:color="auto" w:fill="FFFFFF"/>
        </w:rPr>
        <w:t xml:space="preserve"> atskiras pirkimo </w:t>
      </w:r>
      <w:r w:rsidRPr="000C1201">
        <w:rPr>
          <w:rFonts w:ascii="Cambria" w:hAnsi="Cambria"/>
          <w:color w:val="000000" w:themeColor="text1"/>
          <w:szCs w:val="22"/>
          <w:shd w:val="clear" w:color="auto" w:fill="FFFFFF"/>
        </w:rPr>
        <w:t>dalis</w:t>
      </w:r>
      <w:r w:rsidR="00D6077E" w:rsidRPr="000C1201">
        <w:rPr>
          <w:rFonts w:ascii="Cambria" w:hAnsi="Cambria"/>
          <w:color w:val="000000" w:themeColor="text1"/>
          <w:szCs w:val="22"/>
          <w:shd w:val="clear" w:color="auto" w:fill="FFFFFF"/>
        </w:rPr>
        <w:t xml:space="preserve">: </w:t>
      </w:r>
    </w:p>
    <w:p w:rsidR="001A66EF" w:rsidRPr="000C1201" w:rsidRDefault="00C111D5" w:rsidP="000C73B3">
      <w:pPr>
        <w:pStyle w:val="Heading3"/>
        <w:numPr>
          <w:ilvl w:val="0"/>
          <w:numId w:val="0"/>
        </w:numPr>
        <w:tabs>
          <w:tab w:val="left" w:pos="426"/>
        </w:tabs>
        <w:ind w:left="-284" w:firstLine="426"/>
        <w:jc w:val="both"/>
        <w:rPr>
          <w:rFonts w:ascii="Cambria" w:hAnsi="Cambria"/>
          <w:b w:val="0"/>
          <w:color w:val="000000"/>
          <w:sz w:val="22"/>
          <w:szCs w:val="22"/>
        </w:rPr>
      </w:pPr>
      <w:r w:rsidRPr="000C1201">
        <w:rPr>
          <w:rFonts w:ascii="Cambria" w:hAnsi="Cambria"/>
          <w:color w:val="000000" w:themeColor="text1"/>
          <w:sz w:val="22"/>
          <w:szCs w:val="22"/>
          <w:shd w:val="clear" w:color="auto" w:fill="FFFFFF"/>
        </w:rPr>
        <w:t>1</w:t>
      </w:r>
      <w:r w:rsidR="00D6077E" w:rsidRPr="000C1201">
        <w:rPr>
          <w:rFonts w:ascii="Cambria" w:hAnsi="Cambria"/>
          <w:color w:val="000000" w:themeColor="text1"/>
          <w:sz w:val="22"/>
          <w:szCs w:val="22"/>
          <w:shd w:val="clear" w:color="auto" w:fill="FFFFFF"/>
        </w:rPr>
        <w:t xml:space="preserve"> pirkimo dalis</w:t>
      </w:r>
      <w:r w:rsidRPr="000C1201">
        <w:rPr>
          <w:rFonts w:ascii="Cambria" w:hAnsi="Cambria"/>
          <w:color w:val="000000" w:themeColor="text1"/>
          <w:sz w:val="22"/>
          <w:szCs w:val="22"/>
          <w:shd w:val="clear" w:color="auto" w:fill="FFFFFF"/>
        </w:rPr>
        <w:t xml:space="preserve"> - </w:t>
      </w:r>
      <w:r w:rsidRPr="000C1201">
        <w:rPr>
          <w:rFonts w:ascii="Cambria" w:hAnsi="Cambria"/>
          <w:b w:val="0"/>
          <w:bCs w:val="0"/>
          <w:color w:val="000000"/>
          <w:sz w:val="22"/>
          <w:szCs w:val="22"/>
        </w:rPr>
        <w:t xml:space="preserve">Individualiosios dozės ekvivalento </w:t>
      </w:r>
      <w:proofErr w:type="spellStart"/>
      <w:r w:rsidRPr="000C1201">
        <w:rPr>
          <w:rFonts w:ascii="Cambria" w:hAnsi="Cambria"/>
          <w:b w:val="0"/>
          <w:color w:val="000000"/>
          <w:sz w:val="22"/>
          <w:szCs w:val="22"/>
        </w:rPr>
        <w:t>Hp</w:t>
      </w:r>
      <w:proofErr w:type="spellEnd"/>
      <w:r w:rsidRPr="000C1201">
        <w:rPr>
          <w:rFonts w:ascii="Cambria" w:hAnsi="Cambria"/>
          <w:b w:val="0"/>
          <w:color w:val="000000"/>
          <w:sz w:val="22"/>
          <w:szCs w:val="22"/>
        </w:rPr>
        <w:t xml:space="preserve">(10) </w:t>
      </w:r>
      <w:r w:rsidRPr="000C1201">
        <w:rPr>
          <w:rFonts w:ascii="Cambria" w:hAnsi="Cambria"/>
          <w:b w:val="0"/>
          <w:bCs w:val="0"/>
          <w:color w:val="000000"/>
          <w:sz w:val="22"/>
          <w:szCs w:val="22"/>
        </w:rPr>
        <w:t xml:space="preserve">matavimas </w:t>
      </w:r>
      <w:r w:rsidRPr="000C1201">
        <w:rPr>
          <w:rFonts w:ascii="Cambria" w:hAnsi="Cambria"/>
          <w:b w:val="0"/>
          <w:color w:val="000000"/>
          <w:sz w:val="22"/>
          <w:szCs w:val="22"/>
        </w:rPr>
        <w:t xml:space="preserve">viso kūno </w:t>
      </w:r>
      <w:proofErr w:type="spellStart"/>
      <w:r w:rsidRPr="000C1201">
        <w:rPr>
          <w:rFonts w:ascii="Cambria" w:hAnsi="Cambria"/>
          <w:b w:val="0"/>
          <w:color w:val="000000"/>
          <w:sz w:val="22"/>
          <w:szCs w:val="22"/>
        </w:rPr>
        <w:t>efektinės</w:t>
      </w:r>
      <w:proofErr w:type="spellEnd"/>
      <w:r w:rsidRPr="000C1201">
        <w:rPr>
          <w:rFonts w:ascii="Cambria" w:hAnsi="Cambria"/>
          <w:b w:val="0"/>
          <w:color w:val="000000"/>
          <w:sz w:val="22"/>
          <w:szCs w:val="22"/>
        </w:rPr>
        <w:t xml:space="preserve"> dozės įvertinimu</w:t>
      </w:r>
      <w:r w:rsidR="00DC5ACC" w:rsidRPr="000C1201">
        <w:rPr>
          <w:rFonts w:ascii="Cambria" w:hAnsi="Cambria"/>
          <w:b w:val="0"/>
          <w:color w:val="000000"/>
          <w:sz w:val="22"/>
          <w:szCs w:val="22"/>
        </w:rPr>
        <w:t xml:space="preserve">i. Preliminari </w:t>
      </w:r>
      <w:r w:rsidR="00812996" w:rsidRPr="000C1201">
        <w:rPr>
          <w:rFonts w:ascii="Cambria" w:hAnsi="Cambria"/>
          <w:b w:val="0"/>
          <w:color w:val="000000"/>
          <w:sz w:val="22"/>
          <w:szCs w:val="22"/>
        </w:rPr>
        <w:t xml:space="preserve">sutarties vertė </w:t>
      </w:r>
      <w:r w:rsidR="00DC5ACC" w:rsidRPr="000C1201">
        <w:rPr>
          <w:rFonts w:ascii="Cambria" w:hAnsi="Cambria"/>
          <w:b w:val="0"/>
          <w:color w:val="000000"/>
          <w:sz w:val="22"/>
          <w:szCs w:val="22"/>
        </w:rPr>
        <w:t xml:space="preserve"> </w:t>
      </w:r>
      <w:r w:rsidR="00812996" w:rsidRPr="000C1201">
        <w:rPr>
          <w:rFonts w:ascii="Cambria" w:hAnsi="Cambria"/>
          <w:b w:val="0"/>
          <w:color w:val="000000"/>
          <w:sz w:val="22"/>
          <w:szCs w:val="22"/>
        </w:rPr>
        <w:t xml:space="preserve">pirmai pirkimo daliai </w:t>
      </w:r>
      <w:r w:rsidR="00DC5ACC" w:rsidRPr="000C1201">
        <w:rPr>
          <w:rFonts w:ascii="Cambria" w:hAnsi="Cambria"/>
          <w:b w:val="0"/>
          <w:color w:val="000000"/>
          <w:sz w:val="22"/>
          <w:szCs w:val="22"/>
        </w:rPr>
        <w:t>34992</w:t>
      </w:r>
      <w:r w:rsidR="00812996" w:rsidRPr="000C1201">
        <w:rPr>
          <w:rFonts w:ascii="Cambria" w:hAnsi="Cambria"/>
          <w:b w:val="0"/>
          <w:color w:val="000000"/>
          <w:sz w:val="22"/>
          <w:szCs w:val="22"/>
        </w:rPr>
        <w:t xml:space="preserve"> </w:t>
      </w:r>
      <w:r w:rsidR="00DC5ACC" w:rsidRPr="000C1201">
        <w:rPr>
          <w:rFonts w:ascii="Cambria" w:hAnsi="Cambria"/>
          <w:b w:val="0"/>
          <w:color w:val="000000"/>
          <w:sz w:val="22"/>
          <w:szCs w:val="22"/>
        </w:rPr>
        <w:t>Eur.</w:t>
      </w:r>
    </w:p>
    <w:p w:rsidR="001A66EF" w:rsidRPr="000C1201" w:rsidRDefault="00D6077E" w:rsidP="000C73B3">
      <w:pPr>
        <w:pStyle w:val="Heading3"/>
        <w:numPr>
          <w:ilvl w:val="0"/>
          <w:numId w:val="0"/>
        </w:numPr>
        <w:tabs>
          <w:tab w:val="left" w:pos="426"/>
        </w:tabs>
        <w:ind w:left="-284" w:firstLine="426"/>
        <w:jc w:val="both"/>
        <w:rPr>
          <w:rFonts w:ascii="Cambria" w:hAnsi="Cambria"/>
          <w:b w:val="0"/>
          <w:color w:val="000000"/>
          <w:sz w:val="22"/>
          <w:szCs w:val="22"/>
        </w:rPr>
      </w:pPr>
      <w:r w:rsidRPr="000C1201">
        <w:rPr>
          <w:rFonts w:ascii="Cambria" w:hAnsi="Cambria"/>
          <w:color w:val="000000" w:themeColor="text1"/>
          <w:sz w:val="22"/>
          <w:szCs w:val="22"/>
          <w:shd w:val="clear" w:color="auto" w:fill="FFFFFF"/>
        </w:rPr>
        <w:t>2 pirkimo dalis</w:t>
      </w:r>
      <w:r w:rsidR="00C111D5" w:rsidRPr="000C1201">
        <w:rPr>
          <w:rFonts w:ascii="Cambria" w:hAnsi="Cambria"/>
          <w:color w:val="000000" w:themeColor="text1"/>
          <w:sz w:val="22"/>
          <w:szCs w:val="22"/>
          <w:shd w:val="clear" w:color="auto" w:fill="FFFFFF"/>
        </w:rPr>
        <w:t xml:space="preserve"> - </w:t>
      </w:r>
      <w:r w:rsidR="00C111D5" w:rsidRPr="000C1201">
        <w:rPr>
          <w:rFonts w:ascii="Cambria" w:hAnsi="Cambria"/>
          <w:b w:val="0"/>
          <w:bCs w:val="0"/>
          <w:color w:val="000000"/>
          <w:sz w:val="22"/>
          <w:szCs w:val="22"/>
        </w:rPr>
        <w:t xml:space="preserve">Individualiosios dozės ekvivalento </w:t>
      </w:r>
      <w:proofErr w:type="spellStart"/>
      <w:r w:rsidR="00C111D5" w:rsidRPr="000C1201">
        <w:rPr>
          <w:rFonts w:ascii="Cambria" w:hAnsi="Cambria"/>
          <w:b w:val="0"/>
          <w:color w:val="000000"/>
          <w:sz w:val="22"/>
          <w:szCs w:val="22"/>
        </w:rPr>
        <w:t>Hp</w:t>
      </w:r>
      <w:proofErr w:type="spellEnd"/>
      <w:r w:rsidR="00C111D5" w:rsidRPr="000C1201">
        <w:rPr>
          <w:rFonts w:ascii="Cambria" w:hAnsi="Cambria"/>
          <w:b w:val="0"/>
          <w:color w:val="000000"/>
          <w:sz w:val="22"/>
          <w:szCs w:val="22"/>
        </w:rPr>
        <w:t xml:space="preserve">(0,07) </w:t>
      </w:r>
      <w:r w:rsidR="00C111D5" w:rsidRPr="000C1201">
        <w:rPr>
          <w:rFonts w:ascii="Cambria" w:hAnsi="Cambria"/>
          <w:b w:val="0"/>
          <w:bCs w:val="0"/>
          <w:color w:val="000000"/>
          <w:sz w:val="22"/>
          <w:szCs w:val="22"/>
        </w:rPr>
        <w:t xml:space="preserve">matavimas </w:t>
      </w:r>
      <w:r w:rsidR="00C111D5" w:rsidRPr="000C1201">
        <w:rPr>
          <w:rFonts w:ascii="Cambria" w:hAnsi="Cambria"/>
          <w:b w:val="0"/>
          <w:color w:val="000000"/>
          <w:sz w:val="22"/>
          <w:szCs w:val="22"/>
        </w:rPr>
        <w:t xml:space="preserve"> odos, galūnių lygiavertės dozės įvertinimui</w:t>
      </w:r>
      <w:r w:rsidR="00DC5ACC" w:rsidRPr="000C1201">
        <w:rPr>
          <w:rFonts w:ascii="Cambria" w:hAnsi="Cambria"/>
          <w:color w:val="000000" w:themeColor="text1"/>
          <w:sz w:val="22"/>
          <w:szCs w:val="22"/>
          <w:shd w:val="clear" w:color="auto" w:fill="FFFFFF"/>
        </w:rPr>
        <w:t xml:space="preserve">. </w:t>
      </w:r>
      <w:r w:rsidR="00DC5ACC" w:rsidRPr="000C1201">
        <w:rPr>
          <w:rFonts w:ascii="Cambria" w:hAnsi="Cambria"/>
          <w:b w:val="0"/>
          <w:color w:val="000000" w:themeColor="text1"/>
          <w:sz w:val="22"/>
          <w:szCs w:val="22"/>
          <w:shd w:val="clear" w:color="auto" w:fill="FFFFFF"/>
        </w:rPr>
        <w:t xml:space="preserve">Preliminari </w:t>
      </w:r>
      <w:r w:rsidR="00812996" w:rsidRPr="000C1201">
        <w:rPr>
          <w:rFonts w:ascii="Cambria" w:hAnsi="Cambria"/>
          <w:b w:val="0"/>
          <w:color w:val="000000" w:themeColor="text1"/>
          <w:sz w:val="22"/>
          <w:szCs w:val="22"/>
          <w:shd w:val="clear" w:color="auto" w:fill="FFFFFF"/>
        </w:rPr>
        <w:t xml:space="preserve">sutarties </w:t>
      </w:r>
      <w:r w:rsidR="00DC5ACC" w:rsidRPr="000C1201">
        <w:rPr>
          <w:rFonts w:ascii="Cambria" w:hAnsi="Cambria"/>
          <w:b w:val="0"/>
          <w:color w:val="000000" w:themeColor="text1"/>
          <w:sz w:val="22"/>
          <w:szCs w:val="22"/>
          <w:shd w:val="clear" w:color="auto" w:fill="FFFFFF"/>
        </w:rPr>
        <w:t xml:space="preserve">vertė </w:t>
      </w:r>
      <w:r w:rsidR="00812996" w:rsidRPr="000C1201">
        <w:rPr>
          <w:rFonts w:ascii="Cambria" w:hAnsi="Cambria"/>
          <w:b w:val="0"/>
          <w:color w:val="000000" w:themeColor="text1"/>
          <w:sz w:val="22"/>
          <w:szCs w:val="22"/>
          <w:shd w:val="clear" w:color="auto" w:fill="FFFFFF"/>
        </w:rPr>
        <w:t xml:space="preserve">antrai pirkimo daliai </w:t>
      </w:r>
      <w:r w:rsidR="00DC5ACC" w:rsidRPr="000C1201">
        <w:rPr>
          <w:rFonts w:ascii="Cambria" w:hAnsi="Cambria"/>
          <w:b w:val="0"/>
          <w:color w:val="000000" w:themeColor="text1"/>
          <w:sz w:val="22"/>
          <w:szCs w:val="22"/>
          <w:shd w:val="clear" w:color="auto" w:fill="FFFFFF"/>
        </w:rPr>
        <w:t>6000</w:t>
      </w:r>
      <w:r w:rsidR="00812996" w:rsidRPr="000C1201">
        <w:rPr>
          <w:rFonts w:ascii="Cambria" w:hAnsi="Cambria"/>
          <w:b w:val="0"/>
          <w:color w:val="000000" w:themeColor="text1"/>
          <w:sz w:val="22"/>
          <w:szCs w:val="22"/>
          <w:shd w:val="clear" w:color="auto" w:fill="FFFFFF"/>
        </w:rPr>
        <w:t xml:space="preserve"> </w:t>
      </w:r>
      <w:r w:rsidR="00DC5ACC" w:rsidRPr="000C1201">
        <w:rPr>
          <w:rFonts w:ascii="Cambria" w:hAnsi="Cambria"/>
          <w:b w:val="0"/>
          <w:color w:val="000000" w:themeColor="text1"/>
          <w:sz w:val="22"/>
          <w:szCs w:val="22"/>
          <w:shd w:val="clear" w:color="auto" w:fill="FFFFFF"/>
        </w:rPr>
        <w:t xml:space="preserve">Eur, </w:t>
      </w:r>
    </w:p>
    <w:p w:rsidR="002B7881" w:rsidRPr="000C1201" w:rsidRDefault="002B7881" w:rsidP="000C73B3">
      <w:pPr>
        <w:pStyle w:val="Heading3"/>
        <w:numPr>
          <w:ilvl w:val="0"/>
          <w:numId w:val="0"/>
        </w:numPr>
        <w:tabs>
          <w:tab w:val="left" w:pos="426"/>
        </w:tabs>
        <w:ind w:left="-284" w:firstLine="426"/>
        <w:jc w:val="both"/>
        <w:rPr>
          <w:rFonts w:ascii="Cambria" w:hAnsi="Cambria"/>
          <w:b w:val="0"/>
          <w:bCs w:val="0"/>
          <w:color w:val="000000"/>
          <w:sz w:val="22"/>
          <w:szCs w:val="22"/>
        </w:rPr>
      </w:pPr>
      <w:r w:rsidRPr="000C1201">
        <w:rPr>
          <w:rFonts w:ascii="Cambria" w:hAnsi="Cambria"/>
          <w:color w:val="000000" w:themeColor="text1"/>
          <w:sz w:val="22"/>
          <w:szCs w:val="22"/>
          <w:shd w:val="clear" w:color="auto" w:fill="FFFFFF"/>
        </w:rPr>
        <w:t>3 pirkimo dalis</w:t>
      </w:r>
      <w:r w:rsidR="00C111D5" w:rsidRPr="000C1201">
        <w:rPr>
          <w:rFonts w:ascii="Cambria" w:hAnsi="Cambria"/>
          <w:color w:val="000000" w:themeColor="text1"/>
          <w:sz w:val="22"/>
          <w:szCs w:val="22"/>
          <w:shd w:val="clear" w:color="auto" w:fill="FFFFFF"/>
        </w:rPr>
        <w:t xml:space="preserve"> - </w:t>
      </w:r>
      <w:r w:rsidR="00C111D5" w:rsidRPr="000C1201">
        <w:rPr>
          <w:rFonts w:ascii="Cambria" w:hAnsi="Cambria"/>
          <w:b w:val="0"/>
          <w:bCs w:val="0"/>
          <w:color w:val="000000"/>
          <w:sz w:val="22"/>
          <w:szCs w:val="22"/>
        </w:rPr>
        <w:t xml:space="preserve">Individualiosios dozės ekvivalento  </w:t>
      </w:r>
      <w:proofErr w:type="spellStart"/>
      <w:r w:rsidR="00C111D5" w:rsidRPr="000C1201">
        <w:rPr>
          <w:rFonts w:ascii="Cambria" w:hAnsi="Cambria"/>
          <w:b w:val="0"/>
          <w:color w:val="000000"/>
          <w:sz w:val="22"/>
          <w:szCs w:val="22"/>
        </w:rPr>
        <w:t>Hp</w:t>
      </w:r>
      <w:proofErr w:type="spellEnd"/>
      <w:r w:rsidR="00C111D5" w:rsidRPr="000C1201">
        <w:rPr>
          <w:rFonts w:ascii="Cambria" w:hAnsi="Cambria"/>
          <w:b w:val="0"/>
          <w:color w:val="000000"/>
          <w:sz w:val="22"/>
          <w:szCs w:val="22"/>
        </w:rPr>
        <w:t xml:space="preserve">(3)  </w:t>
      </w:r>
      <w:r w:rsidR="00C111D5" w:rsidRPr="000C1201">
        <w:rPr>
          <w:rFonts w:ascii="Cambria" w:hAnsi="Cambria"/>
          <w:b w:val="0"/>
          <w:bCs w:val="0"/>
          <w:color w:val="000000"/>
          <w:sz w:val="22"/>
          <w:szCs w:val="22"/>
        </w:rPr>
        <w:t xml:space="preserve">matavimas </w:t>
      </w:r>
      <w:r w:rsidR="00C111D5" w:rsidRPr="000C1201">
        <w:rPr>
          <w:rFonts w:ascii="Cambria" w:hAnsi="Cambria"/>
          <w:b w:val="0"/>
          <w:color w:val="000000"/>
          <w:sz w:val="22"/>
          <w:szCs w:val="22"/>
        </w:rPr>
        <w:t>akies lęšiuko lygiavertės dozės įvertinimui</w:t>
      </w:r>
      <w:r w:rsidR="00C111D5" w:rsidRPr="000C1201">
        <w:rPr>
          <w:rFonts w:ascii="Cambria" w:hAnsi="Cambria"/>
          <w:color w:val="000000" w:themeColor="text1"/>
          <w:sz w:val="22"/>
          <w:szCs w:val="22"/>
          <w:shd w:val="clear" w:color="auto" w:fill="FFFFFF"/>
        </w:rPr>
        <w:t>.</w:t>
      </w:r>
      <w:r w:rsidR="00DC5ACC" w:rsidRPr="000C1201">
        <w:rPr>
          <w:rFonts w:ascii="Cambria" w:hAnsi="Cambria"/>
          <w:color w:val="000000" w:themeColor="text1"/>
          <w:sz w:val="22"/>
          <w:szCs w:val="22"/>
          <w:shd w:val="clear" w:color="auto" w:fill="FFFFFF"/>
        </w:rPr>
        <w:t xml:space="preserve"> </w:t>
      </w:r>
      <w:r w:rsidR="00DC5ACC" w:rsidRPr="000C1201">
        <w:rPr>
          <w:rFonts w:ascii="Cambria" w:hAnsi="Cambria"/>
          <w:b w:val="0"/>
          <w:color w:val="000000" w:themeColor="text1"/>
          <w:sz w:val="22"/>
          <w:szCs w:val="22"/>
          <w:shd w:val="clear" w:color="auto" w:fill="FFFFFF"/>
        </w:rPr>
        <w:t xml:space="preserve">Preliminari </w:t>
      </w:r>
      <w:r w:rsidR="00812996" w:rsidRPr="000C1201">
        <w:rPr>
          <w:rFonts w:ascii="Cambria" w:hAnsi="Cambria"/>
          <w:b w:val="0"/>
          <w:color w:val="000000" w:themeColor="text1"/>
          <w:sz w:val="22"/>
          <w:szCs w:val="22"/>
          <w:shd w:val="clear" w:color="auto" w:fill="FFFFFF"/>
        </w:rPr>
        <w:t>sutarties vertė trečiai pirkimo daliai</w:t>
      </w:r>
      <w:r w:rsidR="00DC5ACC" w:rsidRPr="000C1201">
        <w:rPr>
          <w:rFonts w:ascii="Cambria" w:hAnsi="Cambria"/>
          <w:b w:val="0"/>
          <w:color w:val="000000" w:themeColor="text1"/>
          <w:sz w:val="22"/>
          <w:szCs w:val="22"/>
          <w:shd w:val="clear" w:color="auto" w:fill="FFFFFF"/>
        </w:rPr>
        <w:t xml:space="preserve"> 4000 Eur.</w:t>
      </w:r>
    </w:p>
    <w:p w:rsidR="00865653" w:rsidRPr="000C1201" w:rsidRDefault="0039295D" w:rsidP="000C73B3">
      <w:pPr>
        <w:pStyle w:val="BodyText"/>
        <w:numPr>
          <w:ilvl w:val="0"/>
          <w:numId w:val="7"/>
        </w:numPr>
        <w:tabs>
          <w:tab w:val="left" w:pos="426"/>
        </w:tabs>
        <w:suppressAutoHyphens w:val="0"/>
        <w:ind w:left="-284" w:right="140" w:firstLine="426"/>
        <w:rPr>
          <w:rFonts w:ascii="Cambria" w:hAnsi="Cambria"/>
          <w:szCs w:val="22"/>
        </w:rPr>
      </w:pPr>
      <w:r w:rsidRPr="000C1201">
        <w:rPr>
          <w:rFonts w:ascii="Cambria" w:hAnsi="Cambria"/>
          <w:color w:val="000000" w:themeColor="text1"/>
          <w:szCs w:val="22"/>
        </w:rPr>
        <w:t xml:space="preserve">Paslaugos teikėjas turi atitikti </w:t>
      </w:r>
      <w:r w:rsidR="00797DD3" w:rsidRPr="000C1201">
        <w:rPr>
          <w:rFonts w:ascii="Cambria" w:hAnsi="Cambria"/>
          <w:color w:val="000000" w:themeColor="text1"/>
          <w:szCs w:val="22"/>
        </w:rPr>
        <w:t xml:space="preserve">Lietuvos Respublikos </w:t>
      </w:r>
      <w:r w:rsidRPr="000C1201">
        <w:rPr>
          <w:rFonts w:ascii="Cambria" w:hAnsi="Cambria"/>
          <w:color w:val="000000" w:themeColor="text1"/>
          <w:szCs w:val="22"/>
        </w:rPr>
        <w:t xml:space="preserve">radiacinės saugos įstatymo 28 straipsnyje keliamus reikalavimus.  </w:t>
      </w:r>
    </w:p>
    <w:p w:rsidR="001B00F8" w:rsidRPr="000C1201" w:rsidRDefault="001B00F8" w:rsidP="000C1201">
      <w:pPr>
        <w:autoSpaceDE w:val="0"/>
        <w:autoSpaceDN w:val="0"/>
        <w:adjustRightInd w:val="0"/>
        <w:rPr>
          <w:rFonts w:ascii="Cambria" w:eastAsiaTheme="minorHAnsi" w:hAnsi="Cambria"/>
          <w:color w:val="000000"/>
          <w:sz w:val="22"/>
          <w:szCs w:val="22"/>
          <w:lang w:val="lt-LT"/>
        </w:rPr>
      </w:pPr>
    </w:p>
    <w:sectPr w:rsidR="001B00F8" w:rsidRPr="000C1201" w:rsidSect="00837A9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2D32" w:rsidRDefault="006D2D32" w:rsidP="00FD6F62">
      <w:r>
        <w:separator/>
      </w:r>
    </w:p>
  </w:endnote>
  <w:endnote w:type="continuationSeparator" w:id="0">
    <w:p w:rsidR="006D2D32" w:rsidRDefault="006D2D32" w:rsidP="00FD6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5DC2" w:rsidRDefault="00BE5D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2463180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D6F62" w:rsidRDefault="001D3C2A">
        <w:pPr>
          <w:pStyle w:val="Footer"/>
          <w:jc w:val="right"/>
        </w:pPr>
        <w:r>
          <w:fldChar w:fldCharType="begin"/>
        </w:r>
        <w:r w:rsidR="00FD6F62">
          <w:instrText xml:space="preserve"> PAGE   \* MERGEFORMAT </w:instrText>
        </w:r>
        <w:r>
          <w:fldChar w:fldCharType="separate"/>
        </w:r>
        <w:r w:rsidR="00B163F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D6F62" w:rsidRDefault="00FD6F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5DC2" w:rsidRDefault="00BE5D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2D32" w:rsidRDefault="006D2D32" w:rsidP="00FD6F62">
      <w:r>
        <w:separator/>
      </w:r>
    </w:p>
  </w:footnote>
  <w:footnote w:type="continuationSeparator" w:id="0">
    <w:p w:rsidR="006D2D32" w:rsidRDefault="006D2D32" w:rsidP="00FD6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5DC2" w:rsidRDefault="00BE5D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5DC2" w:rsidRDefault="00BE5DC2" w:rsidP="00BE5DC2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5DC2" w:rsidRDefault="00BE5D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4A32BF38"/>
    <w:lvl w:ilvl="0" w:tplc="164A8BA6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pStyle w:val="Heading3"/>
      <w:lvlText w:val="%3."/>
      <w:lvlJc w:val="left"/>
      <w:pPr>
        <w:tabs>
          <w:tab w:val="num" w:pos="2434"/>
        </w:tabs>
        <w:ind w:left="2434" w:hanging="454"/>
      </w:pPr>
      <w:rPr>
        <w:rFonts w:ascii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34777A7"/>
    <w:multiLevelType w:val="hybridMultilevel"/>
    <w:tmpl w:val="42C01ED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FC09D1"/>
    <w:multiLevelType w:val="hybridMultilevel"/>
    <w:tmpl w:val="B34C1384"/>
    <w:lvl w:ilvl="0" w:tplc="19F2CC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2B64D1"/>
    <w:multiLevelType w:val="hybridMultilevel"/>
    <w:tmpl w:val="547A3558"/>
    <w:lvl w:ilvl="0" w:tplc="474EEF1A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64" w:hanging="360"/>
      </w:pPr>
    </w:lvl>
    <w:lvl w:ilvl="2" w:tplc="0427001B" w:tentative="1">
      <w:start w:val="1"/>
      <w:numFmt w:val="lowerRoman"/>
      <w:lvlText w:val="%3."/>
      <w:lvlJc w:val="right"/>
      <w:pPr>
        <w:ind w:left="2184" w:hanging="180"/>
      </w:pPr>
    </w:lvl>
    <w:lvl w:ilvl="3" w:tplc="0427000F" w:tentative="1">
      <w:start w:val="1"/>
      <w:numFmt w:val="decimal"/>
      <w:lvlText w:val="%4."/>
      <w:lvlJc w:val="left"/>
      <w:pPr>
        <w:ind w:left="2904" w:hanging="360"/>
      </w:pPr>
    </w:lvl>
    <w:lvl w:ilvl="4" w:tplc="04270019" w:tentative="1">
      <w:start w:val="1"/>
      <w:numFmt w:val="lowerLetter"/>
      <w:lvlText w:val="%5."/>
      <w:lvlJc w:val="left"/>
      <w:pPr>
        <w:ind w:left="3624" w:hanging="360"/>
      </w:pPr>
    </w:lvl>
    <w:lvl w:ilvl="5" w:tplc="0427001B" w:tentative="1">
      <w:start w:val="1"/>
      <w:numFmt w:val="lowerRoman"/>
      <w:lvlText w:val="%6."/>
      <w:lvlJc w:val="right"/>
      <w:pPr>
        <w:ind w:left="4344" w:hanging="180"/>
      </w:pPr>
    </w:lvl>
    <w:lvl w:ilvl="6" w:tplc="0427000F" w:tentative="1">
      <w:start w:val="1"/>
      <w:numFmt w:val="decimal"/>
      <w:lvlText w:val="%7."/>
      <w:lvlJc w:val="left"/>
      <w:pPr>
        <w:ind w:left="5064" w:hanging="360"/>
      </w:pPr>
    </w:lvl>
    <w:lvl w:ilvl="7" w:tplc="04270019" w:tentative="1">
      <w:start w:val="1"/>
      <w:numFmt w:val="lowerLetter"/>
      <w:lvlText w:val="%8."/>
      <w:lvlJc w:val="left"/>
      <w:pPr>
        <w:ind w:left="5784" w:hanging="360"/>
      </w:pPr>
    </w:lvl>
    <w:lvl w:ilvl="8" w:tplc="0427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5" w15:restartNumberingAfterBreak="0">
    <w:nsid w:val="4D9F2559"/>
    <w:multiLevelType w:val="hybridMultilevel"/>
    <w:tmpl w:val="ECDAFB4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EF5C23"/>
    <w:multiLevelType w:val="hybridMultilevel"/>
    <w:tmpl w:val="33442E9A"/>
    <w:lvl w:ilvl="0" w:tplc="9B3E27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ED00D35"/>
    <w:multiLevelType w:val="hybridMultilevel"/>
    <w:tmpl w:val="090A3CB8"/>
    <w:lvl w:ilvl="0" w:tplc="3A4E29BA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64" w:hanging="360"/>
      </w:pPr>
    </w:lvl>
    <w:lvl w:ilvl="2" w:tplc="0427001B" w:tentative="1">
      <w:start w:val="1"/>
      <w:numFmt w:val="lowerRoman"/>
      <w:lvlText w:val="%3."/>
      <w:lvlJc w:val="right"/>
      <w:pPr>
        <w:ind w:left="2184" w:hanging="180"/>
      </w:pPr>
    </w:lvl>
    <w:lvl w:ilvl="3" w:tplc="0427000F" w:tentative="1">
      <w:start w:val="1"/>
      <w:numFmt w:val="decimal"/>
      <w:lvlText w:val="%4."/>
      <w:lvlJc w:val="left"/>
      <w:pPr>
        <w:ind w:left="2904" w:hanging="360"/>
      </w:pPr>
    </w:lvl>
    <w:lvl w:ilvl="4" w:tplc="04270019" w:tentative="1">
      <w:start w:val="1"/>
      <w:numFmt w:val="lowerLetter"/>
      <w:lvlText w:val="%5."/>
      <w:lvlJc w:val="left"/>
      <w:pPr>
        <w:ind w:left="3624" w:hanging="360"/>
      </w:pPr>
    </w:lvl>
    <w:lvl w:ilvl="5" w:tplc="0427001B" w:tentative="1">
      <w:start w:val="1"/>
      <w:numFmt w:val="lowerRoman"/>
      <w:lvlText w:val="%6."/>
      <w:lvlJc w:val="right"/>
      <w:pPr>
        <w:ind w:left="4344" w:hanging="180"/>
      </w:pPr>
    </w:lvl>
    <w:lvl w:ilvl="6" w:tplc="0427000F" w:tentative="1">
      <w:start w:val="1"/>
      <w:numFmt w:val="decimal"/>
      <w:lvlText w:val="%7."/>
      <w:lvlJc w:val="left"/>
      <w:pPr>
        <w:ind w:left="5064" w:hanging="360"/>
      </w:pPr>
    </w:lvl>
    <w:lvl w:ilvl="7" w:tplc="04270019" w:tentative="1">
      <w:start w:val="1"/>
      <w:numFmt w:val="lowerLetter"/>
      <w:lvlText w:val="%8."/>
      <w:lvlJc w:val="left"/>
      <w:pPr>
        <w:ind w:left="5784" w:hanging="360"/>
      </w:pPr>
    </w:lvl>
    <w:lvl w:ilvl="8" w:tplc="0427001B" w:tentative="1">
      <w:start w:val="1"/>
      <w:numFmt w:val="lowerRoman"/>
      <w:lvlText w:val="%9."/>
      <w:lvlJc w:val="right"/>
      <w:pPr>
        <w:ind w:left="6504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DD3"/>
    <w:rsid w:val="000858CC"/>
    <w:rsid w:val="00094CF5"/>
    <w:rsid w:val="000C1201"/>
    <w:rsid w:val="000C29B4"/>
    <w:rsid w:val="000C52E6"/>
    <w:rsid w:val="000C61AB"/>
    <w:rsid w:val="000C73B3"/>
    <w:rsid w:val="000E28AF"/>
    <w:rsid w:val="000E6474"/>
    <w:rsid w:val="00104963"/>
    <w:rsid w:val="00141BA5"/>
    <w:rsid w:val="001566E6"/>
    <w:rsid w:val="00171EFA"/>
    <w:rsid w:val="001A66EF"/>
    <w:rsid w:val="001B00F8"/>
    <w:rsid w:val="001D2BC2"/>
    <w:rsid w:val="001D3C2A"/>
    <w:rsid w:val="001E1757"/>
    <w:rsid w:val="001F01B1"/>
    <w:rsid w:val="00235386"/>
    <w:rsid w:val="002629E5"/>
    <w:rsid w:val="002902AA"/>
    <w:rsid w:val="00291857"/>
    <w:rsid w:val="002B6529"/>
    <w:rsid w:val="002B7881"/>
    <w:rsid w:val="002C77E0"/>
    <w:rsid w:val="002C7D08"/>
    <w:rsid w:val="002D244E"/>
    <w:rsid w:val="002D6346"/>
    <w:rsid w:val="002E00CB"/>
    <w:rsid w:val="002E02D4"/>
    <w:rsid w:val="00301A08"/>
    <w:rsid w:val="00312FA9"/>
    <w:rsid w:val="0039295D"/>
    <w:rsid w:val="0039559E"/>
    <w:rsid w:val="003C0708"/>
    <w:rsid w:val="003E7D08"/>
    <w:rsid w:val="003F70CB"/>
    <w:rsid w:val="00404868"/>
    <w:rsid w:val="00444B3D"/>
    <w:rsid w:val="004506D0"/>
    <w:rsid w:val="00451D6D"/>
    <w:rsid w:val="004D0C0D"/>
    <w:rsid w:val="005160FC"/>
    <w:rsid w:val="00552402"/>
    <w:rsid w:val="005619C4"/>
    <w:rsid w:val="00574519"/>
    <w:rsid w:val="00597DFF"/>
    <w:rsid w:val="005C54EE"/>
    <w:rsid w:val="005C5EE4"/>
    <w:rsid w:val="005D3BEA"/>
    <w:rsid w:val="005F2947"/>
    <w:rsid w:val="005F57FC"/>
    <w:rsid w:val="00612323"/>
    <w:rsid w:val="00620A32"/>
    <w:rsid w:val="0062186D"/>
    <w:rsid w:val="006B7A2D"/>
    <w:rsid w:val="006D1EE4"/>
    <w:rsid w:val="006D2D32"/>
    <w:rsid w:val="006D4FF4"/>
    <w:rsid w:val="00712993"/>
    <w:rsid w:val="00733B83"/>
    <w:rsid w:val="00735761"/>
    <w:rsid w:val="00751BAE"/>
    <w:rsid w:val="00783CEC"/>
    <w:rsid w:val="0079738D"/>
    <w:rsid w:val="007978CC"/>
    <w:rsid w:val="00797DD3"/>
    <w:rsid w:val="007D06F5"/>
    <w:rsid w:val="008007BB"/>
    <w:rsid w:val="00812996"/>
    <w:rsid w:val="00812F22"/>
    <w:rsid w:val="00825F6C"/>
    <w:rsid w:val="00837A98"/>
    <w:rsid w:val="00865653"/>
    <w:rsid w:val="00866BB8"/>
    <w:rsid w:val="00867326"/>
    <w:rsid w:val="008969A8"/>
    <w:rsid w:val="008C001A"/>
    <w:rsid w:val="008C3973"/>
    <w:rsid w:val="008E6FD7"/>
    <w:rsid w:val="008F0AD7"/>
    <w:rsid w:val="008F1371"/>
    <w:rsid w:val="008F5C30"/>
    <w:rsid w:val="00904075"/>
    <w:rsid w:val="00905C39"/>
    <w:rsid w:val="00924CD9"/>
    <w:rsid w:val="00937B95"/>
    <w:rsid w:val="00943956"/>
    <w:rsid w:val="0095081B"/>
    <w:rsid w:val="00957B52"/>
    <w:rsid w:val="00977486"/>
    <w:rsid w:val="009E7BB4"/>
    <w:rsid w:val="009F530F"/>
    <w:rsid w:val="00A03216"/>
    <w:rsid w:val="00A30F32"/>
    <w:rsid w:val="00A46FDB"/>
    <w:rsid w:val="00AB3368"/>
    <w:rsid w:val="00AB5751"/>
    <w:rsid w:val="00AF312E"/>
    <w:rsid w:val="00B163FD"/>
    <w:rsid w:val="00B310E9"/>
    <w:rsid w:val="00B32B0A"/>
    <w:rsid w:val="00BE5DC2"/>
    <w:rsid w:val="00BF6B60"/>
    <w:rsid w:val="00C111D5"/>
    <w:rsid w:val="00C14404"/>
    <w:rsid w:val="00C34636"/>
    <w:rsid w:val="00C642CB"/>
    <w:rsid w:val="00C770C9"/>
    <w:rsid w:val="00C8635E"/>
    <w:rsid w:val="00CB7D44"/>
    <w:rsid w:val="00CC48EF"/>
    <w:rsid w:val="00CF314C"/>
    <w:rsid w:val="00CF3C6B"/>
    <w:rsid w:val="00CF5BB3"/>
    <w:rsid w:val="00D033A3"/>
    <w:rsid w:val="00D1195F"/>
    <w:rsid w:val="00D2091F"/>
    <w:rsid w:val="00D2214E"/>
    <w:rsid w:val="00D2703C"/>
    <w:rsid w:val="00D60569"/>
    <w:rsid w:val="00D6077E"/>
    <w:rsid w:val="00D72289"/>
    <w:rsid w:val="00D72F10"/>
    <w:rsid w:val="00D848C9"/>
    <w:rsid w:val="00D97691"/>
    <w:rsid w:val="00DA1243"/>
    <w:rsid w:val="00DC5ACC"/>
    <w:rsid w:val="00E02677"/>
    <w:rsid w:val="00E10600"/>
    <w:rsid w:val="00E277F5"/>
    <w:rsid w:val="00E5793A"/>
    <w:rsid w:val="00E608DE"/>
    <w:rsid w:val="00E63E69"/>
    <w:rsid w:val="00E658C2"/>
    <w:rsid w:val="00EB6BB4"/>
    <w:rsid w:val="00EC5FAF"/>
    <w:rsid w:val="00EE1428"/>
    <w:rsid w:val="00EF73D0"/>
    <w:rsid w:val="00F0280F"/>
    <w:rsid w:val="00F20821"/>
    <w:rsid w:val="00F353BD"/>
    <w:rsid w:val="00F40F30"/>
    <w:rsid w:val="00F73BAB"/>
    <w:rsid w:val="00FD6F62"/>
    <w:rsid w:val="00FE4271"/>
    <w:rsid w:val="00FE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6313A"/>
  <w15:docId w15:val="{5D167C98-3C03-43F3-9F6D-E49223091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7D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797DD3"/>
    <w:pPr>
      <w:keepNext/>
      <w:numPr>
        <w:numId w:val="1"/>
      </w:numPr>
      <w:suppressAutoHyphens/>
      <w:jc w:val="center"/>
      <w:outlineLvl w:val="0"/>
    </w:pPr>
    <w:rPr>
      <w:b/>
      <w:sz w:val="22"/>
      <w:lang w:val="lt-LT" w:eastAsia="lt-LT"/>
    </w:rPr>
  </w:style>
  <w:style w:type="paragraph" w:styleId="Heading3">
    <w:name w:val="heading 3"/>
    <w:basedOn w:val="Normal"/>
    <w:next w:val="Normal"/>
    <w:link w:val="Heading3Char"/>
    <w:qFormat/>
    <w:rsid w:val="00797DD3"/>
    <w:pPr>
      <w:keepNext/>
      <w:numPr>
        <w:ilvl w:val="2"/>
        <w:numId w:val="1"/>
      </w:numPr>
      <w:suppressAutoHyphens/>
      <w:jc w:val="center"/>
      <w:outlineLvl w:val="2"/>
    </w:pPr>
    <w:rPr>
      <w:b/>
      <w:bCs/>
      <w:sz w:val="20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97DD3"/>
    <w:rPr>
      <w:rFonts w:ascii="Times New Roman" w:eastAsia="Times New Roman" w:hAnsi="Times New Roman" w:cs="Times New Roman"/>
      <w:b/>
      <w:szCs w:val="24"/>
      <w:lang w:eastAsia="lt-LT"/>
    </w:rPr>
  </w:style>
  <w:style w:type="character" w:customStyle="1" w:styleId="Heading3Char">
    <w:name w:val="Heading 3 Char"/>
    <w:basedOn w:val="DefaultParagraphFont"/>
    <w:link w:val="Heading3"/>
    <w:rsid w:val="00797DD3"/>
    <w:rPr>
      <w:rFonts w:ascii="Times New Roman" w:eastAsia="Times New Roman" w:hAnsi="Times New Roman" w:cs="Times New Roman"/>
      <w:b/>
      <w:bCs/>
      <w:sz w:val="20"/>
      <w:szCs w:val="24"/>
      <w:lang w:eastAsia="lt-LT"/>
    </w:rPr>
  </w:style>
  <w:style w:type="paragraph" w:styleId="BodyText">
    <w:name w:val="Body Text"/>
    <w:basedOn w:val="Normal"/>
    <w:link w:val="BodyTextChar"/>
    <w:semiHidden/>
    <w:rsid w:val="00797DD3"/>
    <w:pPr>
      <w:suppressAutoHyphens/>
      <w:jc w:val="both"/>
    </w:pPr>
    <w:rPr>
      <w:sz w:val="22"/>
      <w:lang w:val="lt-LT" w:eastAsia="lt-LT"/>
    </w:rPr>
  </w:style>
  <w:style w:type="character" w:customStyle="1" w:styleId="BodyTextChar">
    <w:name w:val="Body Text Char"/>
    <w:basedOn w:val="DefaultParagraphFont"/>
    <w:link w:val="BodyText"/>
    <w:semiHidden/>
    <w:rsid w:val="00797DD3"/>
    <w:rPr>
      <w:rFonts w:ascii="Times New Roman" w:eastAsia="Times New Roman" w:hAnsi="Times New Roman" w:cs="Times New Roman"/>
      <w:szCs w:val="24"/>
      <w:lang w:eastAsia="lt-LT"/>
    </w:rPr>
  </w:style>
  <w:style w:type="paragraph" w:customStyle="1" w:styleId="Default">
    <w:name w:val="Default"/>
    <w:rsid w:val="00797D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Hyperlink">
    <w:name w:val="Hyperlink"/>
    <w:basedOn w:val="DefaultParagraphFont"/>
    <w:uiPriority w:val="99"/>
    <w:semiHidden/>
    <w:unhideWhenUsed/>
    <w:rsid w:val="00797DD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97D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6F6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6F6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D6F6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6F62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2B03F5-3384-47EB-AA9A-A541BCDFE3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1BD17F-D977-4190-9757-A8D78230A7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D2EA0F2-CDD8-4CEA-AA34-C715762AB1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3698</Words>
  <Characters>2109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Karina Gudavičiūtė</cp:lastModifiedBy>
  <cp:revision>3</cp:revision>
  <cp:lastPrinted>2019-05-17T05:31:00Z</cp:lastPrinted>
  <dcterms:created xsi:type="dcterms:W3CDTF">2026-03-12T11:09:00Z</dcterms:created>
  <dcterms:modified xsi:type="dcterms:W3CDTF">2026-03-19T11:07:00Z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