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B163F5B" w:rsidR="004B7029" w:rsidRPr="00726A9C" w:rsidRDefault="001915B1"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00E161E1">
        <w:rPr>
          <w:rFonts w:eastAsia="Arial" w:cs="Arial"/>
          <w:sz w:val="20"/>
          <w:szCs w:val="20"/>
        </w:rPr>
        <w:t>Įmokų surinkimo ir administravimo paslauga</w:t>
      </w:r>
      <w:r w:rsidR="004B7029" w:rsidRPr="00726A9C">
        <w:rPr>
          <w:rFonts w:cs="Arial"/>
          <w:i/>
          <w:iCs/>
          <w:color w:val="747474" w:themeColor="background2" w:themeShade="80"/>
          <w:sz w:val="20"/>
          <w:szCs w:val="20"/>
        </w:rPr>
        <w:t xml:space="preserve"> </w:t>
      </w:r>
      <w:r w:rsidR="004B7029" w:rsidRPr="00726A9C">
        <w:rPr>
          <w:rFonts w:cs="Arial"/>
          <w:sz w:val="20"/>
          <w:szCs w:val="20"/>
        </w:rPr>
        <w:t>(</w:t>
      </w:r>
      <w:r w:rsidR="004B7029" w:rsidRPr="00A95549">
        <w:rPr>
          <w:rFonts w:cs="Arial"/>
          <w:sz w:val="20"/>
          <w:szCs w:val="20"/>
        </w:rPr>
        <w:t>toliau – Paslaug</w:t>
      </w:r>
      <w:r w:rsidR="00A95549" w:rsidRPr="00A95549">
        <w:rPr>
          <w:rFonts w:cs="Arial"/>
          <w:sz w:val="20"/>
          <w:szCs w:val="20"/>
        </w:rPr>
        <w:t>a</w:t>
      </w:r>
      <w:r w:rsidR="004B7029" w:rsidRPr="00A95549">
        <w:rPr>
          <w:rFonts w:cs="Arial"/>
          <w:sz w:val="20"/>
          <w:szCs w:val="20"/>
        </w:rPr>
        <w:t>).</w:t>
      </w:r>
    </w:p>
    <w:p w14:paraId="271188AC" w14:textId="0F77D8DB" w:rsidR="00FC1E11" w:rsidRPr="0043712E"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1FC32ED3" w14:textId="77777777" w:rsidR="00B91EAD" w:rsidRPr="0090173C" w:rsidRDefault="00B91EAD" w:rsidP="00B91EAD">
      <w:pPr>
        <w:pStyle w:val="ListParagraph"/>
        <w:numPr>
          <w:ilvl w:val="1"/>
          <w:numId w:val="3"/>
        </w:numPr>
        <w:tabs>
          <w:tab w:val="left" w:pos="540"/>
          <w:tab w:val="left" w:pos="720"/>
        </w:tabs>
        <w:spacing w:before="60" w:after="60"/>
        <w:ind w:left="0" w:firstLine="0"/>
        <w:jc w:val="both"/>
        <w:rPr>
          <w:rFonts w:cs="Arial"/>
          <w:color w:val="000000"/>
          <w:sz w:val="20"/>
        </w:rPr>
      </w:pPr>
      <w:r w:rsidRPr="0090173C">
        <w:rPr>
          <w:rFonts w:cs="Arial"/>
          <w:b/>
          <w:color w:val="000000"/>
          <w:sz w:val="20"/>
        </w:rPr>
        <w:t>Užsakovas</w:t>
      </w:r>
      <w:r w:rsidRPr="0090173C">
        <w:rPr>
          <w:rFonts w:cs="Arial"/>
          <w:color w:val="000000"/>
          <w:sz w:val="20"/>
        </w:rPr>
        <w:t xml:space="preserve"> – akcinė bendrovė „Kauno energija“, Raudondvario pl. 84, 47179 Kaunas.</w:t>
      </w:r>
    </w:p>
    <w:p w14:paraId="02DAEAA5" w14:textId="7B4DCE74" w:rsidR="00805F3F" w:rsidRPr="00726A9C" w:rsidRDefault="003944C1"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3944C1">
        <w:rPr>
          <w:rFonts w:eastAsia="Arial" w:cs="Arial"/>
          <w:b/>
          <w:bCs/>
          <w:sz w:val="20"/>
          <w:szCs w:val="20"/>
        </w:rPr>
        <w:t>Paslaug</w:t>
      </w:r>
      <w:r w:rsidR="005F5B43">
        <w:rPr>
          <w:rFonts w:eastAsia="Arial" w:cs="Arial"/>
          <w:b/>
          <w:bCs/>
          <w:sz w:val="20"/>
          <w:szCs w:val="20"/>
        </w:rPr>
        <w:t>ų</w:t>
      </w:r>
      <w:r w:rsidRPr="003944C1">
        <w:rPr>
          <w:rFonts w:eastAsia="Arial" w:cs="Arial"/>
          <w:b/>
          <w:bCs/>
          <w:sz w:val="20"/>
          <w:szCs w:val="20"/>
        </w:rPr>
        <w:t xml:space="preserve"> tiekėjas</w:t>
      </w:r>
      <w:r w:rsidR="00805F3F" w:rsidRPr="00726A9C">
        <w:rPr>
          <w:rFonts w:eastAsia="Arial" w:cs="Arial"/>
          <w:sz w:val="20"/>
          <w:szCs w:val="20"/>
        </w:rPr>
        <w:t xml:space="preserve"> – juridinis asmuo, vykdantis įmokų surinkimą ir administravimą</w:t>
      </w:r>
      <w:r w:rsidR="00726A9C" w:rsidRPr="00726A9C">
        <w:rPr>
          <w:rFonts w:eastAsia="Arial" w:cs="Arial"/>
          <w:sz w:val="20"/>
          <w:szCs w:val="20"/>
        </w:rPr>
        <w:t>.</w:t>
      </w:r>
    </w:p>
    <w:p w14:paraId="23687B08" w14:textId="4FCD6326"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Šalys</w:t>
      </w:r>
      <w:r w:rsidRPr="00726A9C">
        <w:rPr>
          <w:rFonts w:eastAsia="Arial" w:cs="Arial"/>
          <w:sz w:val="20"/>
          <w:szCs w:val="20"/>
        </w:rPr>
        <w:t xml:space="preserve"> – </w:t>
      </w:r>
      <w:r w:rsidR="00987223" w:rsidRPr="00987223">
        <w:rPr>
          <w:rFonts w:eastAsia="Arial" w:cs="Arial"/>
          <w:sz w:val="20"/>
          <w:szCs w:val="20"/>
        </w:rPr>
        <w:t>Užsakovas ir Paslaugų teikėjas kartu.</w:t>
      </w:r>
    </w:p>
    <w:p w14:paraId="7A44B97F" w14:textId="21F8ACDB"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Mokėtojas</w:t>
      </w:r>
      <w:r w:rsidRPr="00726A9C">
        <w:rPr>
          <w:rFonts w:eastAsia="Arial" w:cs="Arial"/>
          <w:sz w:val="20"/>
          <w:szCs w:val="20"/>
        </w:rPr>
        <w:t xml:space="preserve"> – fizinis arba juridinis asmuo, mokantis lėšas į Užsakovo sąskaitą, t. y. apmokantis</w:t>
      </w:r>
      <w:r w:rsidR="00726A9C" w:rsidRPr="00726A9C">
        <w:rPr>
          <w:rFonts w:eastAsia="Arial" w:cs="Arial"/>
          <w:sz w:val="20"/>
          <w:szCs w:val="20"/>
        </w:rPr>
        <w:t xml:space="preserve"> </w:t>
      </w:r>
      <w:r w:rsidRPr="00726A9C">
        <w:rPr>
          <w:rFonts w:eastAsia="Arial" w:cs="Arial"/>
          <w:sz w:val="20"/>
          <w:szCs w:val="20"/>
        </w:rPr>
        <w:t>Užsakovo pateiktą (-as) sąskaitą (-as) SEPA (bendrosios mokėjimų eurais erdvės) kredito pervedimu pagal specialią mokėjimo nurodymo formą (toliau – įmoka)</w:t>
      </w:r>
      <w:r w:rsidR="00726A9C" w:rsidRPr="00726A9C">
        <w:rPr>
          <w:rFonts w:eastAsia="Arial" w:cs="Arial"/>
          <w:sz w:val="20"/>
          <w:szCs w:val="20"/>
        </w:rPr>
        <w:t>.</w:t>
      </w:r>
    </w:p>
    <w:p w14:paraId="398D3AF1" w14:textId="58A6AD5B"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Duomenys</w:t>
      </w:r>
      <w:r w:rsidRPr="00726A9C">
        <w:rPr>
          <w:rFonts w:eastAsia="Arial" w:cs="Arial"/>
          <w:sz w:val="20"/>
          <w:szCs w:val="20"/>
        </w:rPr>
        <w:t xml:space="preserve"> – Mokėtojo Užsakovui SEPA kredito pervedimo metu perduoti duomenys</w:t>
      </w:r>
      <w:r w:rsidR="00726A9C" w:rsidRPr="00726A9C">
        <w:rPr>
          <w:rFonts w:eastAsia="Arial" w:cs="Arial"/>
          <w:sz w:val="20"/>
          <w:szCs w:val="20"/>
        </w:rPr>
        <w:t>.</w:t>
      </w:r>
    </w:p>
    <w:p w14:paraId="7A1B087D" w14:textId="1FAD34A2"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Duomenų administravimas</w:t>
      </w:r>
      <w:r w:rsidRPr="00726A9C">
        <w:rPr>
          <w:rFonts w:eastAsia="Arial" w:cs="Arial"/>
          <w:sz w:val="20"/>
          <w:szCs w:val="20"/>
        </w:rPr>
        <w:t xml:space="preserve"> – informacijos apie surinktas įmokas perdavimas Užsakovui Šalių sutartu standartiniu Duomenų pateikimo formatu</w:t>
      </w:r>
      <w:r w:rsidR="00726A9C" w:rsidRPr="00726A9C">
        <w:rPr>
          <w:rFonts w:eastAsia="Arial" w:cs="Arial"/>
          <w:sz w:val="20"/>
          <w:szCs w:val="20"/>
        </w:rPr>
        <w:t>.</w:t>
      </w:r>
    </w:p>
    <w:p w14:paraId="7A21948C" w14:textId="7F4DEAF3"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Paslauga</w:t>
      </w:r>
      <w:r w:rsidRPr="00726A9C">
        <w:rPr>
          <w:rFonts w:eastAsia="Arial" w:cs="Arial"/>
          <w:sz w:val="20"/>
          <w:szCs w:val="20"/>
        </w:rPr>
        <w:t xml:space="preserve"> – informacijos surinkimas per mokėjimo paslaugų teikimo elektroninėje bankininkystėje suformuotą specialią mokėjimo nurodymo formą, pritaikytą Užsakovo poreikiams (įmokų surinkimui), ir jos Duomenų perdavimas Užsakovui SEPA kredito pervedimu</w:t>
      </w:r>
      <w:r w:rsidR="00726A9C" w:rsidRPr="00726A9C">
        <w:rPr>
          <w:rFonts w:eastAsia="Arial" w:cs="Arial"/>
          <w:sz w:val="20"/>
          <w:szCs w:val="20"/>
        </w:rPr>
        <w:t>.</w:t>
      </w:r>
    </w:p>
    <w:p w14:paraId="754CC9D9" w14:textId="637B0875"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Paslaugos įkainis</w:t>
      </w:r>
      <w:r w:rsidRPr="00726A9C">
        <w:rPr>
          <w:rFonts w:eastAsia="Arial" w:cs="Arial"/>
          <w:sz w:val="20"/>
          <w:szCs w:val="20"/>
        </w:rPr>
        <w:t xml:space="preserve"> – mokestis už 1 (vienos) Paslaugos įvykdymą, t. y. už 1 (vieno) SEPA kredito pervedimo pagal specialią mokėjimo nurodymo formą Duomenų perdavimą Užsakovui</w:t>
      </w:r>
      <w:r w:rsidR="00726A9C" w:rsidRPr="00726A9C">
        <w:rPr>
          <w:rFonts w:eastAsia="Arial" w:cs="Arial"/>
          <w:sz w:val="20"/>
          <w:szCs w:val="20"/>
        </w:rPr>
        <w:t>.</w:t>
      </w:r>
    </w:p>
    <w:p w14:paraId="09871EE3" w14:textId="7617FBC1" w:rsidR="00805F3F" w:rsidRPr="00726A9C" w:rsidRDefault="00805F3F" w:rsidP="00726A9C">
      <w:pPr>
        <w:pStyle w:val="ListParagraph"/>
        <w:numPr>
          <w:ilvl w:val="1"/>
          <w:numId w:val="3"/>
        </w:numPr>
        <w:tabs>
          <w:tab w:val="left" w:pos="540"/>
          <w:tab w:val="left" w:pos="720"/>
        </w:tabs>
        <w:spacing w:before="60" w:after="60"/>
        <w:ind w:left="0" w:firstLine="0"/>
        <w:jc w:val="both"/>
        <w:rPr>
          <w:rFonts w:eastAsia="Arial" w:cs="Arial"/>
          <w:sz w:val="20"/>
          <w:szCs w:val="20"/>
        </w:rPr>
      </w:pPr>
      <w:r w:rsidRPr="00726A9C">
        <w:rPr>
          <w:rFonts w:eastAsia="Arial" w:cs="Arial"/>
          <w:b/>
          <w:bCs/>
          <w:sz w:val="20"/>
          <w:szCs w:val="20"/>
        </w:rPr>
        <w:t>Sutartis</w:t>
      </w:r>
      <w:r w:rsidRPr="00726A9C">
        <w:rPr>
          <w:rFonts w:eastAsia="Arial" w:cs="Arial"/>
          <w:sz w:val="20"/>
          <w:szCs w:val="20"/>
        </w:rPr>
        <w:t xml:space="preserve"> – </w:t>
      </w:r>
      <w:r w:rsidR="00923872" w:rsidRPr="00625F0D">
        <w:rPr>
          <w:rFonts w:eastAsia="Arial" w:cs="Arial"/>
          <w:color w:val="000000" w:themeColor="text1"/>
          <w:sz w:val="20"/>
          <w:szCs w:val="20"/>
        </w:rPr>
        <w:t xml:space="preserve">Sutartis, sudaroma tarp </w:t>
      </w:r>
      <w:r w:rsidR="00923872">
        <w:rPr>
          <w:rFonts w:eastAsia="Arial" w:cs="Arial"/>
          <w:color w:val="000000" w:themeColor="text1"/>
          <w:sz w:val="20"/>
          <w:szCs w:val="20"/>
        </w:rPr>
        <w:t>Užsakovo</w:t>
      </w:r>
      <w:r w:rsidR="00923872" w:rsidRPr="00625F0D">
        <w:rPr>
          <w:rFonts w:eastAsia="Arial" w:cs="Arial"/>
          <w:color w:val="000000" w:themeColor="text1"/>
          <w:sz w:val="20"/>
          <w:szCs w:val="20"/>
        </w:rPr>
        <w:t xml:space="preserve"> ir </w:t>
      </w:r>
      <w:r w:rsidR="00923872">
        <w:rPr>
          <w:rFonts w:eastAsia="Arial" w:cs="Arial"/>
          <w:color w:val="000000" w:themeColor="text1"/>
          <w:sz w:val="20"/>
          <w:szCs w:val="20"/>
        </w:rPr>
        <w:t xml:space="preserve">Paslaugų teikėjo </w:t>
      </w:r>
      <w:r w:rsidR="00923872" w:rsidRPr="00625F0D">
        <w:rPr>
          <w:rFonts w:eastAsia="Arial" w:cs="Arial"/>
          <w:color w:val="000000" w:themeColor="text1"/>
          <w:sz w:val="20"/>
          <w:szCs w:val="20"/>
        </w:rPr>
        <w:t>dėl Pirkimo objekto.</w:t>
      </w:r>
    </w:p>
    <w:p w14:paraId="18AC97A2" w14:textId="77777777" w:rsidR="00805F3F" w:rsidRPr="00176063" w:rsidRDefault="00805F3F" w:rsidP="00805F3F">
      <w:pPr>
        <w:pStyle w:val="ListParagraph"/>
        <w:tabs>
          <w:tab w:val="left" w:pos="993"/>
        </w:tabs>
        <w:spacing w:after="200"/>
        <w:ind w:firstLine="0"/>
        <w:jc w:val="both"/>
        <w:rPr>
          <w:rFonts w:cs="Arial"/>
          <w:sz w:val="20"/>
          <w:szCs w:val="20"/>
        </w:rPr>
      </w:pPr>
    </w:p>
    <w:p w14:paraId="0CCC0AEE" w14:textId="1B6D12E4" w:rsidR="00FC1E11" w:rsidRPr="0043712E" w:rsidRDefault="00FC1E11" w:rsidP="00726A9C">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PIRKIMO OBJEKTO APIMTYS</w:t>
      </w:r>
    </w:p>
    <w:p w14:paraId="7B4283A8" w14:textId="6742B5EB" w:rsidR="00BB6D4E" w:rsidRPr="00AF3E88" w:rsidRDefault="00AF3E88" w:rsidP="00AF3E88">
      <w:pPr>
        <w:pStyle w:val="ListParagraph"/>
        <w:numPr>
          <w:ilvl w:val="1"/>
          <w:numId w:val="3"/>
        </w:numPr>
        <w:ind w:left="567" w:hanging="567"/>
        <w:rPr>
          <w:rFonts w:cs="Arial"/>
          <w:bCs/>
          <w:color w:val="000000" w:themeColor="text1"/>
          <w:sz w:val="20"/>
          <w:szCs w:val="20"/>
        </w:rPr>
      </w:pPr>
      <w:r w:rsidRPr="00AF3E88">
        <w:rPr>
          <w:rFonts w:cs="Arial"/>
          <w:bCs/>
          <w:color w:val="000000" w:themeColor="text1"/>
          <w:sz w:val="20"/>
          <w:szCs w:val="20"/>
        </w:rPr>
        <w:t>Pirkimo objekto apimtys nurodytos Lentelėje Nr. 1:</w:t>
      </w:r>
    </w:p>
    <w:p w14:paraId="136A2ED5" w14:textId="10111AEC" w:rsidR="00C805CB" w:rsidRPr="008B0F3F" w:rsidRDefault="008B0F3F" w:rsidP="008B0F3F">
      <w:pPr>
        <w:pStyle w:val="ListParagraph"/>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TableGrid"/>
        <w:tblW w:w="9634" w:type="dxa"/>
        <w:tblLayout w:type="fixed"/>
        <w:tblLook w:val="04A0" w:firstRow="1" w:lastRow="0" w:firstColumn="1" w:lastColumn="0" w:noHBand="0" w:noVBand="1"/>
      </w:tblPr>
      <w:tblGrid>
        <w:gridCol w:w="524"/>
        <w:gridCol w:w="3724"/>
        <w:gridCol w:w="1843"/>
        <w:gridCol w:w="2693"/>
        <w:gridCol w:w="850"/>
      </w:tblGrid>
      <w:tr w:rsidR="00A95549" w14:paraId="0743676C" w14:textId="51288C2B" w:rsidTr="005E661E">
        <w:tc>
          <w:tcPr>
            <w:tcW w:w="524" w:type="dxa"/>
            <w:shd w:val="clear" w:color="auto" w:fill="D9D9D9" w:themeFill="background1" w:themeFillShade="D9"/>
            <w:vAlign w:val="center"/>
          </w:tcPr>
          <w:p w14:paraId="6B936509" w14:textId="77777777" w:rsidR="00A95549" w:rsidRPr="00D72BB0" w:rsidRDefault="00A95549" w:rsidP="00A95549">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3724" w:type="dxa"/>
            <w:shd w:val="clear" w:color="auto" w:fill="D9D9D9" w:themeFill="background1" w:themeFillShade="D9"/>
            <w:vAlign w:val="center"/>
          </w:tcPr>
          <w:p w14:paraId="10980B4D" w14:textId="30625527" w:rsidR="00A95549" w:rsidRPr="00D72BB0" w:rsidRDefault="00A95549" w:rsidP="00A95549">
            <w:pPr>
              <w:pStyle w:val="ListParagraph"/>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1843" w:type="dxa"/>
            <w:shd w:val="clear" w:color="auto" w:fill="D9D9D9" w:themeFill="background1" w:themeFillShade="D9"/>
            <w:vAlign w:val="center"/>
          </w:tcPr>
          <w:p w14:paraId="388CA7B2" w14:textId="3437A8CB" w:rsidR="00A95549" w:rsidRPr="001915B1" w:rsidRDefault="005E661E" w:rsidP="00A95549">
            <w:pPr>
              <w:pStyle w:val="ListParagraph"/>
              <w:tabs>
                <w:tab w:val="left" w:pos="567"/>
              </w:tabs>
              <w:autoSpaceDE w:val="0"/>
              <w:autoSpaceDN w:val="0"/>
              <w:adjustRightInd w:val="0"/>
              <w:ind w:left="0" w:firstLine="0"/>
              <w:jc w:val="center"/>
              <w:rPr>
                <w:rFonts w:cs="Arial"/>
                <w:b/>
                <w:bCs/>
                <w:sz w:val="20"/>
                <w:szCs w:val="20"/>
              </w:rPr>
            </w:pPr>
            <w:r w:rsidRPr="000153E5">
              <w:rPr>
                <w:rFonts w:cs="Arial"/>
                <w:b/>
                <w:bCs/>
                <w:sz w:val="20"/>
                <w:szCs w:val="20"/>
              </w:rPr>
              <w:t>Maksimalus įkainis</w:t>
            </w:r>
            <w:r>
              <w:rPr>
                <w:rFonts w:cs="Arial"/>
                <w:b/>
                <w:bCs/>
                <w:sz w:val="20"/>
                <w:szCs w:val="20"/>
              </w:rPr>
              <w:t xml:space="preserve"> EUR be PVM</w:t>
            </w:r>
          </w:p>
        </w:tc>
        <w:tc>
          <w:tcPr>
            <w:tcW w:w="2693" w:type="dxa"/>
            <w:shd w:val="clear" w:color="auto" w:fill="D9D9D9" w:themeFill="background1" w:themeFillShade="D9"/>
            <w:vAlign w:val="center"/>
          </w:tcPr>
          <w:p w14:paraId="33F6345B" w14:textId="5A7FF88C" w:rsidR="00A95549" w:rsidRPr="00D72BB0" w:rsidRDefault="00A95549" w:rsidP="00A95549">
            <w:pPr>
              <w:pStyle w:val="ListParagraph"/>
              <w:tabs>
                <w:tab w:val="left" w:pos="567"/>
              </w:tabs>
              <w:autoSpaceDE w:val="0"/>
              <w:autoSpaceDN w:val="0"/>
              <w:adjustRightInd w:val="0"/>
              <w:ind w:left="0" w:firstLine="0"/>
              <w:jc w:val="center"/>
              <w:rPr>
                <w:rFonts w:cs="Arial"/>
                <w:b/>
                <w:bCs/>
                <w:sz w:val="20"/>
                <w:szCs w:val="20"/>
              </w:rPr>
            </w:pPr>
            <w:r w:rsidRPr="001915B1">
              <w:rPr>
                <w:rFonts w:cs="Arial"/>
                <w:b/>
                <w:bCs/>
                <w:sz w:val="20"/>
                <w:szCs w:val="20"/>
              </w:rPr>
              <w:t>Preliminarus kiekis*</w:t>
            </w:r>
            <w:r w:rsidR="00F350A0">
              <w:rPr>
                <w:rFonts w:cs="Arial"/>
                <w:b/>
                <w:bCs/>
                <w:sz w:val="20"/>
                <w:szCs w:val="20"/>
              </w:rPr>
              <w:t xml:space="preserve"> </w:t>
            </w:r>
            <w:r w:rsidR="00C143A7">
              <w:rPr>
                <w:rFonts w:cs="Arial"/>
                <w:b/>
                <w:bCs/>
                <w:sz w:val="20"/>
                <w:szCs w:val="20"/>
              </w:rPr>
              <w:t>(maksimaliam Sutarties galiojimo laikotarpiui 36 mėn.)</w:t>
            </w:r>
          </w:p>
        </w:tc>
        <w:tc>
          <w:tcPr>
            <w:tcW w:w="850" w:type="dxa"/>
            <w:shd w:val="clear" w:color="auto" w:fill="D9D9D9" w:themeFill="background1" w:themeFillShade="D9"/>
            <w:vAlign w:val="center"/>
          </w:tcPr>
          <w:p w14:paraId="1B96377F" w14:textId="4D1C325F" w:rsidR="00A95549" w:rsidRPr="00D72BB0" w:rsidRDefault="00A95549" w:rsidP="00A95549">
            <w:pPr>
              <w:pStyle w:val="ListParagraph"/>
              <w:tabs>
                <w:tab w:val="left" w:pos="567"/>
              </w:tabs>
              <w:autoSpaceDE w:val="0"/>
              <w:autoSpaceDN w:val="0"/>
              <w:adjustRightInd w:val="0"/>
              <w:ind w:left="0" w:firstLine="0"/>
              <w:jc w:val="center"/>
              <w:rPr>
                <w:rFonts w:cs="Arial"/>
                <w:b/>
                <w:bCs/>
                <w:color w:val="FF0000"/>
                <w:sz w:val="20"/>
                <w:szCs w:val="20"/>
              </w:rPr>
            </w:pPr>
            <w:r w:rsidRPr="00D72BB0">
              <w:rPr>
                <w:rFonts w:cs="Arial"/>
                <w:b/>
                <w:bCs/>
                <w:sz w:val="20"/>
                <w:szCs w:val="20"/>
              </w:rPr>
              <w:t>Mato vnt.</w:t>
            </w:r>
          </w:p>
        </w:tc>
      </w:tr>
      <w:tr w:rsidR="00A95549" w14:paraId="0ABC2594" w14:textId="7EFD3C5E" w:rsidTr="005E661E">
        <w:tc>
          <w:tcPr>
            <w:tcW w:w="524" w:type="dxa"/>
            <w:vAlign w:val="center"/>
          </w:tcPr>
          <w:p w14:paraId="3FE33DFA" w14:textId="77777777" w:rsidR="00A95549" w:rsidRPr="00D72BB0" w:rsidRDefault="00A95549" w:rsidP="00A95549">
            <w:pPr>
              <w:pStyle w:val="ListParagraph"/>
              <w:tabs>
                <w:tab w:val="left" w:pos="567"/>
              </w:tabs>
              <w:autoSpaceDE w:val="0"/>
              <w:autoSpaceDN w:val="0"/>
              <w:adjustRightInd w:val="0"/>
              <w:ind w:left="171" w:hanging="159"/>
              <w:rPr>
                <w:rFonts w:cs="Arial"/>
                <w:sz w:val="20"/>
                <w:szCs w:val="20"/>
              </w:rPr>
            </w:pPr>
            <w:r w:rsidRPr="00D72BB0">
              <w:rPr>
                <w:rFonts w:cs="Arial"/>
                <w:sz w:val="20"/>
                <w:szCs w:val="20"/>
              </w:rPr>
              <w:t>1.</w:t>
            </w:r>
          </w:p>
        </w:tc>
        <w:tc>
          <w:tcPr>
            <w:tcW w:w="3724" w:type="dxa"/>
            <w:vAlign w:val="center"/>
          </w:tcPr>
          <w:p w14:paraId="493AE837" w14:textId="77777777" w:rsidR="00A95549" w:rsidRDefault="00A95549" w:rsidP="005E661E">
            <w:pPr>
              <w:ind w:firstLine="0"/>
              <w:jc w:val="center"/>
              <w:rPr>
                <w:sz w:val="20"/>
                <w:szCs w:val="20"/>
              </w:rPr>
            </w:pPr>
          </w:p>
          <w:p w14:paraId="71F761B0" w14:textId="4BD5195D" w:rsidR="00A95549" w:rsidRPr="00BB7D32" w:rsidRDefault="00A95549" w:rsidP="005E661E">
            <w:pPr>
              <w:ind w:firstLine="0"/>
              <w:jc w:val="center"/>
              <w:rPr>
                <w:sz w:val="20"/>
                <w:szCs w:val="20"/>
              </w:rPr>
            </w:pPr>
            <w:r w:rsidRPr="00BB7D32">
              <w:rPr>
                <w:sz w:val="20"/>
                <w:szCs w:val="20"/>
              </w:rPr>
              <w:t>Įmokų surinkimo ir administravimo paslauga</w:t>
            </w:r>
          </w:p>
          <w:p w14:paraId="0BCD6BF3" w14:textId="712ABA06" w:rsidR="00A95549" w:rsidRPr="00BB7D32" w:rsidRDefault="00A95549" w:rsidP="005E661E">
            <w:pPr>
              <w:ind w:firstLine="0"/>
              <w:jc w:val="center"/>
            </w:pPr>
          </w:p>
        </w:tc>
        <w:tc>
          <w:tcPr>
            <w:tcW w:w="1843" w:type="dxa"/>
            <w:vAlign w:val="center"/>
          </w:tcPr>
          <w:p w14:paraId="2AF8B3A3" w14:textId="77777777" w:rsidR="00A95549" w:rsidRDefault="00A95549" w:rsidP="005E661E">
            <w:pPr>
              <w:ind w:firstLine="0"/>
              <w:jc w:val="center"/>
              <w:rPr>
                <w:sz w:val="20"/>
                <w:szCs w:val="20"/>
              </w:rPr>
            </w:pPr>
          </w:p>
          <w:p w14:paraId="0F939F41" w14:textId="2E8B2434" w:rsidR="00A95549" w:rsidRDefault="00A95549" w:rsidP="005E661E">
            <w:pPr>
              <w:ind w:firstLine="0"/>
              <w:jc w:val="center"/>
              <w:rPr>
                <w:sz w:val="20"/>
                <w:szCs w:val="20"/>
              </w:rPr>
            </w:pPr>
            <w:r>
              <w:rPr>
                <w:sz w:val="20"/>
                <w:szCs w:val="20"/>
              </w:rPr>
              <w:t>0,18</w:t>
            </w:r>
          </w:p>
          <w:p w14:paraId="2C0BBFB1" w14:textId="7054A529" w:rsidR="00A95549" w:rsidRPr="00A95549" w:rsidRDefault="00A95549" w:rsidP="005E661E">
            <w:pPr>
              <w:ind w:firstLine="0"/>
              <w:jc w:val="center"/>
              <w:rPr>
                <w:sz w:val="20"/>
                <w:szCs w:val="20"/>
              </w:rPr>
            </w:pPr>
          </w:p>
        </w:tc>
        <w:tc>
          <w:tcPr>
            <w:tcW w:w="2693" w:type="dxa"/>
            <w:vAlign w:val="center"/>
          </w:tcPr>
          <w:p w14:paraId="62B311BB" w14:textId="070A2A77" w:rsidR="00A95549" w:rsidRPr="00A95549" w:rsidRDefault="00A95549" w:rsidP="005E661E">
            <w:pPr>
              <w:ind w:firstLine="0"/>
              <w:jc w:val="center"/>
              <w:rPr>
                <w:color w:val="FF0000"/>
                <w:sz w:val="20"/>
                <w:szCs w:val="20"/>
              </w:rPr>
            </w:pPr>
            <w:r w:rsidRPr="00A95549">
              <w:rPr>
                <w:sz w:val="20"/>
                <w:szCs w:val="20"/>
              </w:rPr>
              <w:t>1200</w:t>
            </w:r>
          </w:p>
        </w:tc>
        <w:tc>
          <w:tcPr>
            <w:tcW w:w="850" w:type="dxa"/>
            <w:vAlign w:val="center"/>
          </w:tcPr>
          <w:p w14:paraId="5401E8DE" w14:textId="1B675FF7" w:rsidR="00A95549" w:rsidRPr="00A95549" w:rsidRDefault="00A95549" w:rsidP="005E661E">
            <w:pPr>
              <w:pStyle w:val="ListParagraph"/>
              <w:tabs>
                <w:tab w:val="left" w:pos="567"/>
              </w:tabs>
              <w:autoSpaceDE w:val="0"/>
              <w:autoSpaceDN w:val="0"/>
              <w:adjustRightInd w:val="0"/>
              <w:ind w:left="0" w:firstLine="0"/>
              <w:jc w:val="center"/>
              <w:rPr>
                <w:rFonts w:cs="Arial"/>
                <w:i/>
                <w:iCs/>
                <w:color w:val="747474" w:themeColor="background2" w:themeShade="80"/>
                <w:sz w:val="20"/>
                <w:szCs w:val="20"/>
              </w:rPr>
            </w:pPr>
            <w:r w:rsidRPr="00A95549">
              <w:rPr>
                <w:rFonts w:cs="Arial"/>
                <w:color w:val="000000"/>
                <w:sz w:val="20"/>
                <w:szCs w:val="20"/>
              </w:rPr>
              <w:t>vnt.</w:t>
            </w:r>
          </w:p>
        </w:tc>
      </w:tr>
    </w:tbl>
    <w:p w14:paraId="5D81D08C" w14:textId="77777777" w:rsidR="00A122CC" w:rsidRPr="00315EC1" w:rsidRDefault="00A122CC" w:rsidP="00A122CC">
      <w:pPr>
        <w:pStyle w:val="KE-number3"/>
        <w:numPr>
          <w:ilvl w:val="0"/>
          <w:numId w:val="0"/>
        </w:numPr>
        <w:rPr>
          <w:rFonts w:ascii="Arial" w:hAnsi="Arial" w:cs="Arial"/>
          <w:i/>
          <w:iCs/>
          <w:sz w:val="20"/>
          <w:szCs w:val="20"/>
          <w:lang w:eastAsia="lt-LT"/>
        </w:rPr>
      </w:pPr>
      <w:bookmarkStart w:id="1" w:name="_Hlk34730466"/>
      <w:r w:rsidRPr="00144D87">
        <w:rPr>
          <w:rFonts w:ascii="Arial" w:hAnsi="Arial" w:cs="Arial"/>
          <w:i/>
          <w:sz w:val="20"/>
          <w:szCs w:val="20"/>
        </w:rPr>
        <w:t>*</w:t>
      </w:r>
      <w:r>
        <w:rPr>
          <w:rFonts w:ascii="Arial" w:hAnsi="Arial" w:cs="Arial"/>
          <w:i/>
          <w:sz w:val="20"/>
          <w:szCs w:val="20"/>
        </w:rPr>
        <w:t> </w:t>
      </w:r>
      <w:r w:rsidRPr="00144D87">
        <w:rPr>
          <w:rFonts w:ascii="Arial" w:hAnsi="Arial" w:cs="Arial"/>
          <w:i/>
          <w:sz w:val="20"/>
          <w:szCs w:val="20"/>
        </w:rPr>
        <w:t xml:space="preserve">Nurodytas Paslaugų kiekis yra </w:t>
      </w:r>
      <w:r w:rsidRPr="00144D87">
        <w:rPr>
          <w:rFonts w:ascii="Arial" w:hAnsi="Arial" w:cs="Arial"/>
          <w:b/>
          <w:bCs/>
          <w:i/>
          <w:sz w:val="20"/>
          <w:szCs w:val="20"/>
        </w:rPr>
        <w:t>preliminarus</w:t>
      </w:r>
      <w:r w:rsidRPr="00144D87">
        <w:rPr>
          <w:rFonts w:ascii="Arial" w:hAnsi="Arial" w:cs="Arial"/>
          <w:i/>
          <w:color w:val="FF0000"/>
          <w:sz w:val="20"/>
          <w:szCs w:val="20"/>
        </w:rPr>
        <w:t xml:space="preserve"> </w:t>
      </w:r>
      <w:r w:rsidRPr="00144D87">
        <w:rPr>
          <w:rFonts w:ascii="Arial" w:hAnsi="Arial" w:cs="Arial"/>
          <w:i/>
          <w:sz w:val="20"/>
          <w:szCs w:val="20"/>
        </w:rPr>
        <w:t xml:space="preserve">Sutarties galiojimo laikotarpiu. </w:t>
      </w:r>
      <w:r w:rsidRPr="00315EC1">
        <w:rPr>
          <w:rFonts w:ascii="Arial" w:hAnsi="Arial" w:cs="Arial"/>
          <w:i/>
          <w:iCs/>
          <w:sz w:val="20"/>
          <w:szCs w:val="20"/>
          <w:lang w:eastAsia="lt-LT"/>
        </w:rPr>
        <w:t>Bendra Paslaug</w:t>
      </w:r>
      <w:r>
        <w:rPr>
          <w:rFonts w:ascii="Arial" w:hAnsi="Arial" w:cs="Arial"/>
          <w:i/>
          <w:iCs/>
          <w:sz w:val="20"/>
          <w:szCs w:val="20"/>
          <w:lang w:eastAsia="lt-LT"/>
        </w:rPr>
        <w:t>ų</w:t>
      </w:r>
      <w:r w:rsidRPr="00315EC1">
        <w:rPr>
          <w:rFonts w:ascii="Arial" w:hAnsi="Arial" w:cs="Arial"/>
          <w:i/>
          <w:iCs/>
          <w:sz w:val="20"/>
          <w:szCs w:val="20"/>
          <w:lang w:eastAsia="lt-LT"/>
        </w:rPr>
        <w:t xml:space="preserve"> apimtis gali keistis priklausomai nuo Vartotojų ir Užsakovo poreikių.</w:t>
      </w:r>
    </w:p>
    <w:p w14:paraId="5A3D873C"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SUTARTINIŲ ĮSIPAREIGOJIMŲ VYKDYMO VIETA</w:t>
      </w:r>
      <w:bookmarkEnd w:id="1"/>
    </w:p>
    <w:p w14:paraId="142E4D24" w14:textId="75DB6D97" w:rsidR="00CD24DB" w:rsidRPr="007177DD" w:rsidRDefault="00CD24DB" w:rsidP="007177DD">
      <w:pPr>
        <w:pStyle w:val="ListParagraph"/>
        <w:numPr>
          <w:ilvl w:val="1"/>
          <w:numId w:val="3"/>
        </w:numPr>
        <w:tabs>
          <w:tab w:val="left" w:pos="540"/>
          <w:tab w:val="left" w:pos="720"/>
        </w:tabs>
        <w:spacing w:before="60" w:after="60"/>
        <w:ind w:left="0" w:firstLine="0"/>
        <w:jc w:val="both"/>
        <w:rPr>
          <w:rFonts w:eastAsia="Arial" w:cs="Arial"/>
          <w:sz w:val="20"/>
          <w:szCs w:val="20"/>
        </w:rPr>
      </w:pPr>
      <w:r w:rsidRPr="007177DD">
        <w:rPr>
          <w:rFonts w:eastAsia="Arial" w:cs="Arial"/>
          <w:sz w:val="20"/>
          <w:szCs w:val="20"/>
        </w:rPr>
        <w:t xml:space="preserve">Paslauga teikiama Mokėtojui elektroninės bankininkystės priemonėmis formuluojant </w:t>
      </w:r>
      <w:r w:rsidR="00092493">
        <w:rPr>
          <w:rFonts w:eastAsia="Arial" w:cs="Arial"/>
          <w:sz w:val="20"/>
          <w:szCs w:val="20"/>
        </w:rPr>
        <w:t>Paslaugų teikėjui</w:t>
      </w:r>
      <w:r w:rsidRPr="007177DD">
        <w:rPr>
          <w:rFonts w:eastAsia="Arial" w:cs="Arial"/>
          <w:sz w:val="20"/>
          <w:szCs w:val="20"/>
        </w:rPr>
        <w:t xml:space="preserve"> mokėjimo nurodymą pervesti lėšas </w:t>
      </w:r>
      <w:r w:rsidR="00092493">
        <w:rPr>
          <w:rFonts w:eastAsia="Arial" w:cs="Arial"/>
          <w:sz w:val="20"/>
          <w:szCs w:val="20"/>
        </w:rPr>
        <w:t>Užsakovui.</w:t>
      </w:r>
    </w:p>
    <w:p w14:paraId="4F5221BD" w14:textId="5DC473C4" w:rsidR="00CD24DB" w:rsidRPr="007177DD" w:rsidRDefault="00DF5A7D" w:rsidP="007177DD">
      <w:pPr>
        <w:pStyle w:val="ListParagraph"/>
        <w:numPr>
          <w:ilvl w:val="1"/>
          <w:numId w:val="3"/>
        </w:numPr>
        <w:tabs>
          <w:tab w:val="left" w:pos="540"/>
          <w:tab w:val="left" w:pos="720"/>
        </w:tabs>
        <w:spacing w:before="60" w:after="60"/>
        <w:ind w:left="0" w:firstLine="0"/>
        <w:jc w:val="both"/>
        <w:rPr>
          <w:rFonts w:eastAsia="Arial" w:cs="Arial"/>
          <w:sz w:val="20"/>
          <w:szCs w:val="20"/>
        </w:rPr>
      </w:pPr>
      <w:r>
        <w:rPr>
          <w:rFonts w:eastAsia="Arial" w:cs="Arial"/>
          <w:sz w:val="20"/>
          <w:szCs w:val="20"/>
        </w:rPr>
        <w:t>Paslaugų</w:t>
      </w:r>
      <w:r w:rsidR="00CD24DB" w:rsidRPr="007177DD">
        <w:rPr>
          <w:rFonts w:eastAsia="Arial" w:cs="Arial"/>
          <w:sz w:val="20"/>
          <w:szCs w:val="20"/>
        </w:rPr>
        <w:t xml:space="preserve"> </w:t>
      </w:r>
      <w:r w:rsidR="005F1905">
        <w:rPr>
          <w:rFonts w:eastAsia="Arial" w:cs="Arial"/>
          <w:sz w:val="20"/>
          <w:szCs w:val="20"/>
        </w:rPr>
        <w:t xml:space="preserve">teikėjas </w:t>
      </w:r>
      <w:r w:rsidR="00CD24DB" w:rsidRPr="007177DD">
        <w:rPr>
          <w:rFonts w:eastAsia="Arial" w:cs="Arial"/>
          <w:sz w:val="20"/>
          <w:szCs w:val="20"/>
        </w:rPr>
        <w:t xml:space="preserve">teikdamas Paslaugą užtikrina Duomenų administravimą – informacijos apie Mokėtojo suvartotą karštą vandenį (skaitiklių rodmenis ir jų skirtumą) surinkimą ir perdavimą </w:t>
      </w:r>
      <w:r w:rsidR="005F1905">
        <w:rPr>
          <w:rFonts w:eastAsia="Arial" w:cs="Arial"/>
          <w:sz w:val="20"/>
          <w:szCs w:val="20"/>
        </w:rPr>
        <w:t>Užsakovui</w:t>
      </w:r>
      <w:r w:rsidR="00CD24DB" w:rsidRPr="007177DD">
        <w:rPr>
          <w:rFonts w:eastAsia="Arial" w:cs="Arial"/>
          <w:sz w:val="20"/>
          <w:szCs w:val="20"/>
        </w:rPr>
        <w:t xml:space="preserve"> </w:t>
      </w:r>
      <w:r w:rsidR="00E5176E">
        <w:rPr>
          <w:rFonts w:eastAsia="Arial" w:cs="Arial"/>
          <w:sz w:val="20"/>
          <w:szCs w:val="20"/>
        </w:rPr>
        <w:t>T</w:t>
      </w:r>
      <w:r w:rsidR="00CD24DB" w:rsidRPr="007177DD">
        <w:rPr>
          <w:rFonts w:eastAsia="Arial" w:cs="Arial"/>
          <w:sz w:val="20"/>
          <w:szCs w:val="20"/>
        </w:rPr>
        <w:t>echninėje specifikacijoje „</w:t>
      </w:r>
      <w:r w:rsidR="00803655" w:rsidRPr="00E161E1">
        <w:rPr>
          <w:rFonts w:eastAsia="Arial" w:cs="Arial"/>
          <w:sz w:val="20"/>
          <w:szCs w:val="20"/>
        </w:rPr>
        <w:t>Įmokų surinkimo ir administravimo paslauga</w:t>
      </w:r>
      <w:r w:rsidR="00803655">
        <w:rPr>
          <w:rFonts w:eastAsia="Arial" w:cs="Arial"/>
          <w:sz w:val="20"/>
          <w:szCs w:val="20"/>
        </w:rPr>
        <w:t>“ 5-am</w:t>
      </w:r>
      <w:r w:rsidR="004D0C55">
        <w:rPr>
          <w:rFonts w:eastAsia="Arial" w:cs="Arial"/>
          <w:sz w:val="20"/>
          <w:szCs w:val="20"/>
        </w:rPr>
        <w:t>e</w:t>
      </w:r>
      <w:r w:rsidR="00803655">
        <w:rPr>
          <w:rFonts w:eastAsia="Arial" w:cs="Arial"/>
          <w:sz w:val="20"/>
          <w:szCs w:val="20"/>
        </w:rPr>
        <w:t xml:space="preserve"> punkte</w:t>
      </w:r>
      <w:r w:rsidR="00803655" w:rsidRPr="007177DD">
        <w:rPr>
          <w:rFonts w:eastAsia="Arial" w:cs="Arial"/>
          <w:sz w:val="20"/>
          <w:szCs w:val="20"/>
        </w:rPr>
        <w:t xml:space="preserve"> </w:t>
      </w:r>
      <w:r w:rsidR="00CD24DB" w:rsidRPr="007177DD">
        <w:rPr>
          <w:rFonts w:eastAsia="Arial" w:cs="Arial"/>
          <w:sz w:val="20"/>
          <w:szCs w:val="20"/>
        </w:rPr>
        <w:t>numatytu formatu.</w:t>
      </w:r>
    </w:p>
    <w:p w14:paraId="602326FB" w14:textId="789AD4A3" w:rsidR="00D758BA" w:rsidRPr="004D0C55" w:rsidRDefault="0097130F" w:rsidP="00D758BA">
      <w:pPr>
        <w:pStyle w:val="ListParagraph"/>
        <w:numPr>
          <w:ilvl w:val="1"/>
          <w:numId w:val="3"/>
        </w:numPr>
        <w:tabs>
          <w:tab w:val="left" w:pos="540"/>
          <w:tab w:val="left" w:pos="720"/>
        </w:tabs>
        <w:spacing w:before="60" w:after="60"/>
        <w:ind w:left="0" w:firstLine="0"/>
        <w:jc w:val="both"/>
        <w:rPr>
          <w:rFonts w:cs="Arial"/>
          <w:sz w:val="20"/>
          <w:szCs w:val="20"/>
        </w:rPr>
      </w:pPr>
      <w:r w:rsidRPr="004D0C55">
        <w:rPr>
          <w:rFonts w:eastAsia="Arial" w:cs="Arial"/>
          <w:sz w:val="20"/>
          <w:szCs w:val="20"/>
        </w:rPr>
        <w:t>Sutartys bus sudaromos ne daugiau kaip su 5 (penkiais) mažiausią kainą</w:t>
      </w:r>
      <w:r w:rsidRPr="004D0C55" w:rsidDel="00B72743">
        <w:rPr>
          <w:rFonts w:eastAsia="Arial" w:cs="Arial"/>
          <w:sz w:val="20"/>
          <w:szCs w:val="20"/>
        </w:rPr>
        <w:t xml:space="preserve"> </w:t>
      </w:r>
      <w:r w:rsidRPr="004D0C55">
        <w:rPr>
          <w:rFonts w:eastAsia="Arial" w:cs="Arial"/>
          <w:sz w:val="20"/>
          <w:szCs w:val="20"/>
        </w:rPr>
        <w:t>pasiūliusiais</w:t>
      </w:r>
      <w:r w:rsidRPr="004D0C55" w:rsidDel="00B72743">
        <w:rPr>
          <w:rFonts w:eastAsia="Arial" w:cs="Arial"/>
          <w:sz w:val="20"/>
          <w:szCs w:val="20"/>
        </w:rPr>
        <w:t xml:space="preserve"> </w:t>
      </w:r>
      <w:r w:rsidRPr="004D0C55">
        <w:rPr>
          <w:rFonts w:eastAsia="Arial" w:cs="Arial"/>
          <w:sz w:val="20"/>
          <w:szCs w:val="20"/>
        </w:rPr>
        <w:t>Tiekėjais,</w:t>
      </w:r>
      <w:r w:rsidRPr="004D0C55">
        <w:rPr>
          <w:rFonts w:cs="Arial"/>
          <w:sz w:val="20"/>
          <w:szCs w:val="20"/>
        </w:rPr>
        <w:t xml:space="preserve"> kurių pasiūlymai atitiks Pirkimo dokumentų reikalavimus. </w:t>
      </w:r>
    </w:p>
    <w:p w14:paraId="011CF618" w14:textId="5AC8DC0C" w:rsidR="005D0793" w:rsidRPr="003C5290" w:rsidRDefault="000D037D" w:rsidP="003C5290">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Pr>
          <w:rFonts w:eastAsia="Arial" w:cs="Arial"/>
          <w:b/>
          <w:bCs/>
          <w:sz w:val="20"/>
          <w:szCs w:val="20"/>
        </w:rPr>
        <w:t>REIKALAVIMAI PASLAUGOS VYK</w:t>
      </w:r>
      <w:r w:rsidR="002A34EB">
        <w:rPr>
          <w:rFonts w:eastAsia="Arial" w:cs="Arial"/>
          <w:b/>
          <w:bCs/>
          <w:sz w:val="20"/>
          <w:szCs w:val="20"/>
        </w:rPr>
        <w:t xml:space="preserve">DYMUI, </w:t>
      </w:r>
      <w:r w:rsidR="005D0793" w:rsidRPr="003C5290">
        <w:rPr>
          <w:rFonts w:eastAsia="Arial" w:cs="Arial"/>
          <w:b/>
          <w:bCs/>
          <w:sz w:val="20"/>
          <w:szCs w:val="20"/>
        </w:rPr>
        <w:t xml:space="preserve">PASLAUGŲ TEIKIMO TVARKA IR TERMINAI </w:t>
      </w:r>
    </w:p>
    <w:p w14:paraId="63BD8665" w14:textId="3286CCEA" w:rsidR="0097130F" w:rsidRPr="004254DD" w:rsidRDefault="0096737B"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Pr>
          <w:rFonts w:eastAsia="Arial" w:cs="Arial"/>
          <w:sz w:val="20"/>
          <w:szCs w:val="20"/>
        </w:rPr>
        <w:t>Paslaugų teikėjas</w:t>
      </w:r>
      <w:r w:rsidR="0097130F" w:rsidRPr="004254DD">
        <w:rPr>
          <w:rFonts w:eastAsia="Arial" w:cs="Arial"/>
          <w:sz w:val="20"/>
          <w:szCs w:val="20"/>
        </w:rPr>
        <w:t xml:space="preserve"> privalo užtikrinti, jog formuluojant nurodymą pervesti lėšas, Mokėtojas nurodytų šiuos būtinus Duomenis:</w:t>
      </w:r>
    </w:p>
    <w:p w14:paraId="78D9BB9C"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Mokėtojo vardą, pavardę (pavadinimą).</w:t>
      </w:r>
    </w:p>
    <w:p w14:paraId="53FF5797"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Mokėtojo kodą.</w:t>
      </w:r>
    </w:p>
    <w:p w14:paraId="05D028E1"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Sąskaitos numerį.</w:t>
      </w:r>
    </w:p>
    <w:p w14:paraId="1DBCFE3B"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Sumą (Eur).</w:t>
      </w:r>
    </w:p>
    <w:p w14:paraId="7671E3A3"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Karšto vandens skaitiklio (-ų) rodmenis „iki“.</w:t>
      </w:r>
    </w:p>
    <w:p w14:paraId="0A36EBFD"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Karšto vandens skaitiklio (-ų) rodmenis „nuo“.</w:t>
      </w:r>
    </w:p>
    <w:p w14:paraId="7808017A"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Karšto vandens skaitiklio (-ų) rodmenų „iki“ – „nuo“ skirtumą.</w:t>
      </w:r>
    </w:p>
    <w:p w14:paraId="662DAAD7"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 xml:space="preserve">Visa kartu su mokėjimu pateikiama informacija perduodama SEPA kredito pervedimo laukuose. </w:t>
      </w:r>
    </w:p>
    <w:p w14:paraId="00FFEE53" w14:textId="77777777"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Sąskaitos išrašai pateikiami XML formatu pagal SEPA reikalavimus.</w:t>
      </w:r>
    </w:p>
    <w:p w14:paraId="75668F0F" w14:textId="4BABEA86"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lastRenderedPageBreak/>
        <w:t xml:space="preserve">Duomenys perduodami </w:t>
      </w:r>
      <w:r w:rsidR="004D0C55">
        <w:rPr>
          <w:rFonts w:eastAsia="Arial" w:cs="Arial"/>
          <w:sz w:val="20"/>
          <w:szCs w:val="20"/>
        </w:rPr>
        <w:t>T</w:t>
      </w:r>
      <w:r w:rsidR="004D0C55" w:rsidRPr="007177DD">
        <w:rPr>
          <w:rFonts w:eastAsia="Arial" w:cs="Arial"/>
          <w:sz w:val="20"/>
          <w:szCs w:val="20"/>
        </w:rPr>
        <w:t>echninėje specifikacijoje „</w:t>
      </w:r>
      <w:r w:rsidR="004D0C55" w:rsidRPr="00E161E1">
        <w:rPr>
          <w:rFonts w:eastAsia="Arial" w:cs="Arial"/>
          <w:sz w:val="20"/>
          <w:szCs w:val="20"/>
        </w:rPr>
        <w:t>Įmokų surinkimo ir administravimo paslauga</w:t>
      </w:r>
      <w:r w:rsidR="004D0C55">
        <w:rPr>
          <w:rFonts w:eastAsia="Arial" w:cs="Arial"/>
          <w:sz w:val="20"/>
          <w:szCs w:val="20"/>
        </w:rPr>
        <w:t>“ 5-ame punkte</w:t>
      </w:r>
      <w:r w:rsidR="004D0C55" w:rsidRPr="007177DD">
        <w:rPr>
          <w:rFonts w:eastAsia="Arial" w:cs="Arial"/>
          <w:sz w:val="20"/>
          <w:szCs w:val="20"/>
        </w:rPr>
        <w:t xml:space="preserve"> </w:t>
      </w:r>
      <w:r w:rsidRPr="004254DD">
        <w:rPr>
          <w:rFonts w:eastAsia="Arial" w:cs="Arial"/>
          <w:sz w:val="20"/>
          <w:szCs w:val="20"/>
        </w:rPr>
        <w:t>numatyta tvarka ir formatu.</w:t>
      </w:r>
    </w:p>
    <w:p w14:paraId="7A8B3965" w14:textId="00BAAAE2" w:rsidR="0097130F" w:rsidRPr="004254DD" w:rsidRDefault="00792FE3"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Pr>
          <w:rFonts w:eastAsia="Arial" w:cs="Arial"/>
          <w:sz w:val="20"/>
          <w:szCs w:val="20"/>
        </w:rPr>
        <w:t>Paslaug</w:t>
      </w:r>
      <w:r w:rsidR="00572328">
        <w:rPr>
          <w:rFonts w:eastAsia="Arial" w:cs="Arial"/>
          <w:sz w:val="20"/>
          <w:szCs w:val="20"/>
        </w:rPr>
        <w:t>ų</w:t>
      </w:r>
      <w:r>
        <w:rPr>
          <w:rFonts w:eastAsia="Arial" w:cs="Arial"/>
          <w:sz w:val="20"/>
          <w:szCs w:val="20"/>
        </w:rPr>
        <w:t xml:space="preserve"> teikėjas</w:t>
      </w:r>
      <w:r w:rsidR="0097130F" w:rsidRPr="004254DD">
        <w:rPr>
          <w:rFonts w:eastAsia="Arial" w:cs="Arial"/>
          <w:sz w:val="20"/>
          <w:szCs w:val="20"/>
        </w:rPr>
        <w:t xml:space="preserve"> turi atlikti Mokėtojo kodo tikrinimą, t. y. taikyti Mokėtojo kodo tikrinimo algoritmą (minimalus simbolių skaičius 7, maksimalus simbolių skaičius 8, simbolių išraiška – arba visi simboliai skaitmenys, arba pirmas simbolis raidė ir likę simboliai skaitmenys)</w:t>
      </w:r>
      <w:r>
        <w:rPr>
          <w:rFonts w:eastAsia="Arial" w:cs="Arial"/>
          <w:sz w:val="20"/>
          <w:szCs w:val="20"/>
        </w:rPr>
        <w:t>.</w:t>
      </w:r>
    </w:p>
    <w:p w14:paraId="4A25C250" w14:textId="3E1A996F"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 xml:space="preserve">Teikdamas Paslaugą </w:t>
      </w:r>
      <w:r w:rsidR="00761111">
        <w:rPr>
          <w:rFonts w:eastAsia="Arial" w:cs="Arial"/>
          <w:sz w:val="20"/>
          <w:szCs w:val="20"/>
        </w:rPr>
        <w:t>Paslaug</w:t>
      </w:r>
      <w:r w:rsidR="00572328">
        <w:rPr>
          <w:rFonts w:eastAsia="Arial" w:cs="Arial"/>
          <w:sz w:val="20"/>
          <w:szCs w:val="20"/>
        </w:rPr>
        <w:t>ų</w:t>
      </w:r>
      <w:r w:rsidR="00761111">
        <w:rPr>
          <w:rFonts w:eastAsia="Arial" w:cs="Arial"/>
          <w:sz w:val="20"/>
          <w:szCs w:val="20"/>
        </w:rPr>
        <w:t xml:space="preserve"> teikėjas</w:t>
      </w:r>
      <w:r w:rsidRPr="004254DD">
        <w:rPr>
          <w:rFonts w:eastAsia="Arial" w:cs="Arial"/>
          <w:sz w:val="20"/>
          <w:szCs w:val="20"/>
        </w:rPr>
        <w:t xml:space="preserve"> privalo vadovautis Lietuvos Respublikos asmens duomenų teisinės apsaugos įstatymo nuostatomis.</w:t>
      </w:r>
    </w:p>
    <w:p w14:paraId="259C6330" w14:textId="2246F102" w:rsidR="0097130F" w:rsidRPr="004254DD"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 xml:space="preserve">Komisinio mokesčio sumą už per mėnesį suteiktas Paslaugas </w:t>
      </w:r>
      <w:r w:rsidR="00761111">
        <w:rPr>
          <w:rFonts w:eastAsia="Arial" w:cs="Arial"/>
          <w:sz w:val="20"/>
          <w:szCs w:val="20"/>
        </w:rPr>
        <w:t xml:space="preserve">Paslaugų teikėjas </w:t>
      </w:r>
      <w:r w:rsidRPr="004254DD">
        <w:rPr>
          <w:rFonts w:eastAsia="Arial" w:cs="Arial"/>
          <w:sz w:val="20"/>
          <w:szCs w:val="20"/>
        </w:rPr>
        <w:t xml:space="preserve">gali nusirašyti iš Užsakovo banko sąskaitos </w:t>
      </w:r>
      <w:r w:rsidR="00761111">
        <w:rPr>
          <w:rFonts w:eastAsia="Arial" w:cs="Arial"/>
          <w:sz w:val="20"/>
          <w:szCs w:val="20"/>
        </w:rPr>
        <w:t>1 (</w:t>
      </w:r>
      <w:r w:rsidRPr="004254DD">
        <w:rPr>
          <w:rFonts w:eastAsia="Arial" w:cs="Arial"/>
          <w:sz w:val="20"/>
          <w:szCs w:val="20"/>
        </w:rPr>
        <w:t>vieną</w:t>
      </w:r>
      <w:r w:rsidR="00761111">
        <w:rPr>
          <w:rFonts w:eastAsia="Arial" w:cs="Arial"/>
          <w:sz w:val="20"/>
          <w:szCs w:val="20"/>
        </w:rPr>
        <w:t>)</w:t>
      </w:r>
      <w:r w:rsidRPr="004254DD">
        <w:rPr>
          <w:rFonts w:eastAsia="Arial" w:cs="Arial"/>
          <w:sz w:val="20"/>
          <w:szCs w:val="20"/>
        </w:rPr>
        <w:t xml:space="preserve"> kartą per mėnesį, kaip tai numatyta banko sąskaitos sutartyje, nurodydamas Paslaugos pavadinimą ir Sutarties numerį. Informacija apie nurašytas sumas pateikiama Užsakovo banko sąskaitos išraše. Jei </w:t>
      </w:r>
      <w:r w:rsidR="00761111">
        <w:rPr>
          <w:rFonts w:eastAsia="Arial" w:cs="Arial"/>
          <w:sz w:val="20"/>
          <w:szCs w:val="20"/>
        </w:rPr>
        <w:t>Paslaugų</w:t>
      </w:r>
      <w:r w:rsidR="009F772D">
        <w:rPr>
          <w:rFonts w:eastAsia="Arial" w:cs="Arial"/>
          <w:sz w:val="20"/>
          <w:szCs w:val="20"/>
        </w:rPr>
        <w:t xml:space="preserve"> teikėjas </w:t>
      </w:r>
      <w:r w:rsidRPr="004254DD">
        <w:rPr>
          <w:rFonts w:eastAsia="Arial" w:cs="Arial"/>
          <w:sz w:val="20"/>
          <w:szCs w:val="20"/>
        </w:rPr>
        <w:t>nenusirašo komisinio mokesčio sumos, Užsakovas apmoka už faktiškai suteiktas Paslaugas per 30 (trisdešimt) dienų nuo PVM sąskaitos faktūros / sąskaitos faktūros pateikimo dienos.</w:t>
      </w:r>
    </w:p>
    <w:p w14:paraId="7B95E008" w14:textId="7C79A0AD" w:rsidR="0097130F" w:rsidRDefault="0097130F" w:rsidP="004254DD">
      <w:pPr>
        <w:pStyle w:val="ListParagraph"/>
        <w:numPr>
          <w:ilvl w:val="1"/>
          <w:numId w:val="3"/>
        </w:numPr>
        <w:tabs>
          <w:tab w:val="left" w:pos="540"/>
          <w:tab w:val="left" w:pos="720"/>
        </w:tabs>
        <w:spacing w:before="60" w:after="60"/>
        <w:ind w:left="0" w:firstLine="0"/>
        <w:jc w:val="both"/>
        <w:rPr>
          <w:rFonts w:eastAsia="Arial" w:cs="Arial"/>
          <w:sz w:val="20"/>
          <w:szCs w:val="20"/>
        </w:rPr>
      </w:pPr>
      <w:r w:rsidRPr="004254DD">
        <w:rPr>
          <w:rFonts w:eastAsia="Arial" w:cs="Arial"/>
          <w:sz w:val="20"/>
          <w:szCs w:val="20"/>
        </w:rPr>
        <w:t xml:space="preserve">Už per mėnesį suteiktas Paslaugas </w:t>
      </w:r>
      <w:r w:rsidR="00572328">
        <w:rPr>
          <w:rFonts w:eastAsia="Arial" w:cs="Arial"/>
          <w:sz w:val="20"/>
          <w:szCs w:val="20"/>
        </w:rPr>
        <w:t xml:space="preserve">Paslaugų teikėjas </w:t>
      </w:r>
      <w:r w:rsidRPr="004254DD">
        <w:rPr>
          <w:rFonts w:eastAsia="Arial" w:cs="Arial"/>
          <w:sz w:val="20"/>
          <w:szCs w:val="20"/>
        </w:rPr>
        <w:t xml:space="preserve">išrašo Užsakovui PVM sąskaitą faktūrą / sąskaitą faktūrą, kuri pateikiama ne vėliau kaip iki kito mėnesio 7 (septintos) dienos, naudojantis Valstybės įmonės Registrų centras informacinės sistemos E. sąskaita priemonėmis. Šioje sąskaitoje būtinai nurodoma Sutarties data ir numeris, Paslaugos pavadinimas, nurodoma surinktų įmokų suma (Eur) ir kiekis (vnt.), Paslaugos įkainis (Eur). Jei </w:t>
      </w:r>
      <w:r w:rsidR="00572328">
        <w:rPr>
          <w:rFonts w:eastAsia="Arial" w:cs="Arial"/>
          <w:sz w:val="20"/>
          <w:szCs w:val="20"/>
        </w:rPr>
        <w:t>Paslaugų teikėjas</w:t>
      </w:r>
      <w:r w:rsidRPr="004254DD">
        <w:rPr>
          <w:rFonts w:eastAsia="Arial" w:cs="Arial"/>
          <w:sz w:val="20"/>
          <w:szCs w:val="20"/>
        </w:rPr>
        <w:t xml:space="preserve"> yra pridėtinės vertės mokesčio (toliau – PVM) mokėtojas, įrašoma, kokiu pagrindu neskaičiuojamas PVM. Paslaugos įkainiui PVM neskaičiuojamas vadovaujantis Lietuvos Respublikos pridėtinės vertės mokesčio įstatymo 28 straipsniu ir Europos Sąjungos Tarybos direktyvos 2006/112/EB 135 straipsniu.</w:t>
      </w:r>
    </w:p>
    <w:p w14:paraId="2650C07B" w14:textId="77777777" w:rsidR="00CF60A7" w:rsidRPr="00736DB3" w:rsidRDefault="00CF60A7" w:rsidP="00CF60A7">
      <w:pPr>
        <w:pStyle w:val="ListParagraph"/>
        <w:numPr>
          <w:ilvl w:val="1"/>
          <w:numId w:val="3"/>
        </w:numPr>
        <w:tabs>
          <w:tab w:val="left" w:pos="567"/>
        </w:tabs>
        <w:ind w:left="0" w:firstLine="0"/>
        <w:jc w:val="both"/>
        <w:rPr>
          <w:rFonts w:eastAsia="Arial" w:cs="Arial"/>
          <w:sz w:val="20"/>
          <w:szCs w:val="20"/>
        </w:rPr>
      </w:pPr>
      <w:r w:rsidRPr="00736DB3">
        <w:rPr>
          <w:rFonts w:eastAsia="Arial" w:cs="Arial"/>
          <w:sz w:val="20"/>
          <w:szCs w:val="20"/>
        </w:rPr>
        <w:t xml:space="preserve">Į Paslaugų kainą turi būti įskaičiuotos visos </w:t>
      </w:r>
      <w:r>
        <w:rPr>
          <w:rFonts w:eastAsia="Arial" w:cs="Arial"/>
          <w:sz w:val="20"/>
          <w:szCs w:val="20"/>
        </w:rPr>
        <w:t>Paslaugų teikėjo</w:t>
      </w:r>
      <w:r w:rsidRPr="00736DB3">
        <w:rPr>
          <w:rFonts w:eastAsia="Arial" w:cs="Arial"/>
          <w:sz w:val="20"/>
          <w:szCs w:val="20"/>
        </w:rPr>
        <w:t xml:space="preserve"> patiriamos išlaidos.</w:t>
      </w:r>
    </w:p>
    <w:p w14:paraId="3E60E57D" w14:textId="5D27CEDE" w:rsidR="00CF60A7" w:rsidRPr="00CF60A7" w:rsidRDefault="00CF60A7" w:rsidP="00CF60A7">
      <w:pPr>
        <w:pStyle w:val="ListParagraph"/>
        <w:numPr>
          <w:ilvl w:val="1"/>
          <w:numId w:val="3"/>
        </w:numPr>
        <w:tabs>
          <w:tab w:val="left" w:pos="567"/>
        </w:tabs>
        <w:ind w:left="0" w:firstLine="0"/>
        <w:jc w:val="both"/>
        <w:rPr>
          <w:rFonts w:eastAsia="Arial" w:cs="Arial"/>
          <w:sz w:val="20"/>
          <w:szCs w:val="20"/>
        </w:rPr>
      </w:pPr>
      <w:r w:rsidRPr="00FB16A1">
        <w:rPr>
          <w:rFonts w:eastAsia="Arial" w:cs="Arial"/>
          <w:sz w:val="20"/>
          <w:szCs w:val="20"/>
        </w:rPr>
        <w:t>Paslauga turi būti suteikiama kokybiškai, turi atitikti šios Techninės specifikacijos</w:t>
      </w:r>
      <w:r>
        <w:rPr>
          <w:rFonts w:eastAsia="Arial" w:cs="Arial"/>
          <w:sz w:val="20"/>
          <w:szCs w:val="20"/>
        </w:rPr>
        <w:t xml:space="preserve"> keliamus reikalavimus</w:t>
      </w:r>
      <w:r w:rsidRPr="00FB16A1">
        <w:rPr>
          <w:rFonts w:eastAsia="Arial" w:cs="Arial"/>
          <w:sz w:val="20"/>
          <w:szCs w:val="20"/>
        </w:rPr>
        <w:t>, Lietuvos Respublikoje galiojančių standartų, teisės aktų, reglamentuojančių Paslaugų kokybę, reikalavimus.</w:t>
      </w:r>
    </w:p>
    <w:p w14:paraId="569CAF19" w14:textId="77777777" w:rsidR="00761690" w:rsidRPr="0043712E" w:rsidRDefault="00761690" w:rsidP="00761690">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27E5988D" w14:textId="5B5E738D" w:rsidR="00761690" w:rsidRPr="0092073E" w:rsidRDefault="00761690" w:rsidP="00761690">
      <w:pPr>
        <w:pStyle w:val="ListParagraph"/>
        <w:numPr>
          <w:ilvl w:val="1"/>
          <w:numId w:val="6"/>
        </w:numPr>
        <w:tabs>
          <w:tab w:val="left" w:pos="540"/>
        </w:tabs>
        <w:spacing w:before="60" w:after="60"/>
        <w:ind w:left="0" w:firstLine="0"/>
        <w:jc w:val="both"/>
        <w:rPr>
          <w:rStyle w:val="Laukeliai"/>
          <w:rFonts w:cs="Arial"/>
          <w:i/>
          <w:iCs/>
          <w:color w:val="747474" w:themeColor="background2" w:themeShade="80"/>
          <w:szCs w:val="20"/>
        </w:rPr>
      </w:pPr>
      <w:bookmarkStart w:id="2" w:name="_Hlk129609943"/>
      <w:r w:rsidRPr="0092073E">
        <w:rPr>
          <w:rFonts w:eastAsia="Arial"/>
          <w:sz w:val="20"/>
          <w:szCs w:val="20"/>
        </w:rPr>
        <w:t>Paslaugų ir</w:t>
      </w:r>
      <w:r w:rsidR="005579CE">
        <w:rPr>
          <w:rFonts w:eastAsia="Arial"/>
          <w:sz w:val="20"/>
          <w:szCs w:val="20"/>
        </w:rPr>
        <w:t> </w:t>
      </w:r>
      <w:r w:rsidR="002164ED">
        <w:rPr>
          <w:rFonts w:eastAsia="Arial"/>
          <w:sz w:val="20"/>
          <w:szCs w:val="20"/>
        </w:rPr>
        <w:t>/</w:t>
      </w:r>
      <w:r w:rsidR="005579CE">
        <w:rPr>
          <w:rFonts w:eastAsia="Arial"/>
          <w:sz w:val="20"/>
          <w:szCs w:val="20"/>
        </w:rPr>
        <w:t> </w:t>
      </w:r>
      <w:r w:rsidRPr="0092073E">
        <w:rPr>
          <w:rFonts w:eastAsia="Arial"/>
          <w:sz w:val="20"/>
          <w:szCs w:val="20"/>
        </w:rPr>
        <w:t>ar Paslaugų rezultato trūkumais laikomi neatitikimai Techninės specifikacijos reikalavimams ir teisės aktams, reglamentuojantiems Paslaugų kokybę</w:t>
      </w:r>
      <w:r w:rsidRPr="0092073E">
        <w:rPr>
          <w:rStyle w:val="Laukeliai"/>
          <w:rFonts w:cs="Arial"/>
          <w:i/>
          <w:iCs/>
          <w:color w:val="747474" w:themeColor="background2" w:themeShade="80"/>
          <w:szCs w:val="20"/>
        </w:rPr>
        <w:t>.</w:t>
      </w:r>
    </w:p>
    <w:p w14:paraId="2E1A2CB2" w14:textId="7AB67DF2" w:rsidR="00761690" w:rsidRPr="003A18AD" w:rsidRDefault="005579CE" w:rsidP="00761690">
      <w:pPr>
        <w:pStyle w:val="ListParagraph"/>
        <w:numPr>
          <w:ilvl w:val="1"/>
          <w:numId w:val="6"/>
        </w:numPr>
        <w:tabs>
          <w:tab w:val="left" w:pos="540"/>
        </w:tabs>
        <w:spacing w:before="60" w:after="60"/>
        <w:ind w:left="0" w:firstLine="0"/>
        <w:jc w:val="both"/>
        <w:rPr>
          <w:rFonts w:eastAsia="Arial"/>
          <w:sz w:val="20"/>
          <w:szCs w:val="20"/>
        </w:rPr>
      </w:pPr>
      <w:r>
        <w:rPr>
          <w:rFonts w:eastAsia="Arial"/>
          <w:sz w:val="20"/>
          <w:szCs w:val="20"/>
        </w:rPr>
        <w:t>Užsakovas</w:t>
      </w:r>
      <w:r w:rsidR="00761690" w:rsidRPr="003A18AD">
        <w:rPr>
          <w:rFonts w:eastAsia="Arial"/>
          <w:sz w:val="20"/>
          <w:szCs w:val="20"/>
        </w:rPr>
        <w:t xml:space="preserve"> turi teisę kreiptis į </w:t>
      </w:r>
      <w:r>
        <w:rPr>
          <w:rFonts w:eastAsia="Arial"/>
          <w:sz w:val="20"/>
          <w:szCs w:val="20"/>
        </w:rPr>
        <w:t>Paslaugų teikėją</w:t>
      </w:r>
      <w:r w:rsidR="00761690" w:rsidRPr="003A18AD">
        <w:rPr>
          <w:rFonts w:eastAsia="Arial"/>
          <w:sz w:val="20"/>
          <w:szCs w:val="20"/>
        </w:rPr>
        <w:t xml:space="preserve"> dėl Paslaugų ir</w:t>
      </w:r>
      <w:r>
        <w:rPr>
          <w:rFonts w:eastAsia="Arial"/>
          <w:sz w:val="20"/>
          <w:szCs w:val="20"/>
        </w:rPr>
        <w:t> / </w:t>
      </w:r>
      <w:r w:rsidR="00761690" w:rsidRPr="003A18AD">
        <w:rPr>
          <w:rFonts w:eastAsia="Arial"/>
          <w:sz w:val="20"/>
          <w:szCs w:val="20"/>
        </w:rPr>
        <w:t>ar Paslaugų rezultato trūkumų pašalinimo ne vėliau kaip per 5 (penkias) darbo dienas nuo trūkumų užfiksavimo dienos.</w:t>
      </w:r>
    </w:p>
    <w:p w14:paraId="3D31697A" w14:textId="46EB416A" w:rsidR="00761690" w:rsidRPr="002F20DC" w:rsidRDefault="00034BDE" w:rsidP="00761690">
      <w:pPr>
        <w:pStyle w:val="ListParagraph"/>
        <w:numPr>
          <w:ilvl w:val="1"/>
          <w:numId w:val="6"/>
        </w:numPr>
        <w:tabs>
          <w:tab w:val="left" w:pos="540"/>
        </w:tabs>
        <w:spacing w:before="60" w:after="60"/>
        <w:ind w:left="0" w:firstLine="0"/>
        <w:jc w:val="both"/>
        <w:rPr>
          <w:rStyle w:val="Laukeliai"/>
          <w:rFonts w:cs="Arial"/>
          <w:szCs w:val="20"/>
        </w:rPr>
      </w:pPr>
      <w:r>
        <w:rPr>
          <w:rFonts w:cs="Arial"/>
          <w:sz w:val="20"/>
          <w:szCs w:val="20"/>
        </w:rPr>
        <w:t>Užsakovo</w:t>
      </w:r>
      <w:r w:rsidR="00761690" w:rsidRPr="002F20DC">
        <w:rPr>
          <w:rFonts w:cs="Arial"/>
          <w:sz w:val="20"/>
          <w:szCs w:val="20"/>
        </w:rPr>
        <w:t xml:space="preserve"> nustatytiems Paslaugų rezultato trūkumams šalinti nustatomas 10 (dienų) darbo dienų terminas.</w:t>
      </w:r>
    </w:p>
    <w:p w14:paraId="726E19AD" w14:textId="40176508" w:rsidR="00761690" w:rsidRPr="0086177F" w:rsidRDefault="00436136" w:rsidP="00761690">
      <w:pPr>
        <w:pStyle w:val="ListParagraph"/>
        <w:numPr>
          <w:ilvl w:val="1"/>
          <w:numId w:val="6"/>
        </w:numPr>
        <w:tabs>
          <w:tab w:val="left" w:pos="540"/>
        </w:tabs>
        <w:spacing w:before="60" w:after="60"/>
        <w:ind w:left="0" w:firstLine="0"/>
        <w:jc w:val="both"/>
        <w:rPr>
          <w:rFonts w:cs="Arial"/>
          <w:b/>
          <w:bCs/>
          <w:i/>
          <w:iCs/>
          <w:sz w:val="20"/>
          <w:szCs w:val="20"/>
        </w:rPr>
      </w:pPr>
      <w:r w:rsidRPr="00436136">
        <w:rPr>
          <w:rFonts w:cs="Arial"/>
          <w:sz w:val="20"/>
          <w:szCs w:val="20"/>
        </w:rPr>
        <w:t xml:space="preserve">Užsakovas </w:t>
      </w:r>
      <w:r w:rsidR="006F4D84" w:rsidRPr="00436136">
        <w:rPr>
          <w:rFonts w:cs="Arial"/>
          <w:sz w:val="20"/>
          <w:szCs w:val="20"/>
        </w:rPr>
        <w:t xml:space="preserve">prieš 30 (trisdešimt) </w:t>
      </w:r>
      <w:r w:rsidR="006F4D84">
        <w:rPr>
          <w:rFonts w:cs="Arial"/>
          <w:sz w:val="20"/>
          <w:szCs w:val="20"/>
        </w:rPr>
        <w:t xml:space="preserve">kalendorinių </w:t>
      </w:r>
      <w:r w:rsidR="006F4D84" w:rsidRPr="00436136">
        <w:rPr>
          <w:rFonts w:cs="Arial"/>
          <w:sz w:val="20"/>
          <w:szCs w:val="20"/>
        </w:rPr>
        <w:t xml:space="preserve">dienų </w:t>
      </w:r>
      <w:r w:rsidRPr="00436136">
        <w:rPr>
          <w:rFonts w:cs="Arial"/>
          <w:sz w:val="20"/>
          <w:szCs w:val="20"/>
        </w:rPr>
        <w:t xml:space="preserve">raštu pranešęs </w:t>
      </w:r>
      <w:r w:rsidR="00034BDE">
        <w:rPr>
          <w:rFonts w:cs="Arial"/>
          <w:sz w:val="20"/>
          <w:szCs w:val="20"/>
        </w:rPr>
        <w:t>Paslaugų teikėjui</w:t>
      </w:r>
      <w:r w:rsidRPr="00436136">
        <w:rPr>
          <w:rFonts w:cs="Arial"/>
          <w:sz w:val="20"/>
          <w:szCs w:val="20"/>
        </w:rPr>
        <w:t xml:space="preserve"> turi teisę vienašališkai nutraukti Sutartį be jokių baudų ar kitokių finansinių sankcijų, įsipareigojant sumokėti </w:t>
      </w:r>
      <w:r w:rsidR="006F4D84">
        <w:rPr>
          <w:rFonts w:cs="Arial"/>
          <w:sz w:val="20"/>
          <w:szCs w:val="20"/>
        </w:rPr>
        <w:t>Paslaugų teikėjui</w:t>
      </w:r>
      <w:r w:rsidRPr="00436136">
        <w:rPr>
          <w:rFonts w:cs="Arial"/>
          <w:sz w:val="20"/>
          <w:szCs w:val="20"/>
        </w:rPr>
        <w:t xml:space="preserve"> už per einamąjį mėnesį suteiktas Paslauga</w:t>
      </w:r>
      <w:bookmarkEnd w:id="2"/>
      <w:r w:rsidRPr="00436136">
        <w:rPr>
          <w:rFonts w:cs="Arial"/>
          <w:sz w:val="20"/>
          <w:szCs w:val="20"/>
        </w:rPr>
        <w:t>s</w:t>
      </w:r>
      <w:r>
        <w:rPr>
          <w:rFonts w:cs="Arial"/>
          <w:sz w:val="20"/>
          <w:szCs w:val="20"/>
        </w:rPr>
        <w:t>.</w:t>
      </w:r>
    </w:p>
    <w:p w14:paraId="7E4AE06B" w14:textId="72CD2E98" w:rsidR="0086177F" w:rsidRPr="00436136" w:rsidRDefault="0086177F" w:rsidP="00761690">
      <w:pPr>
        <w:pStyle w:val="ListParagraph"/>
        <w:numPr>
          <w:ilvl w:val="1"/>
          <w:numId w:val="6"/>
        </w:numPr>
        <w:tabs>
          <w:tab w:val="left" w:pos="540"/>
        </w:tabs>
        <w:spacing w:before="60" w:after="60"/>
        <w:ind w:left="0" w:firstLine="0"/>
        <w:jc w:val="both"/>
        <w:rPr>
          <w:rStyle w:val="Laukeliai"/>
          <w:rFonts w:cs="Arial"/>
          <w:b/>
          <w:bCs/>
          <w:i/>
          <w:iCs/>
          <w:szCs w:val="20"/>
        </w:rPr>
      </w:pPr>
      <w:r w:rsidRPr="00436136">
        <w:rPr>
          <w:rFonts w:cs="Arial"/>
          <w:sz w:val="20"/>
          <w:szCs w:val="20"/>
        </w:rPr>
        <w:t xml:space="preserve">Užsakovas </w:t>
      </w:r>
      <w:r w:rsidRPr="0086177F">
        <w:rPr>
          <w:rFonts w:cs="Arial"/>
          <w:sz w:val="20"/>
          <w:szCs w:val="20"/>
        </w:rPr>
        <w:t>nesutinka mokėti Tiekėjui jokių kitų papildomų mokesčių už Paslaugą.</w:t>
      </w:r>
    </w:p>
    <w:bookmarkEnd w:id="0"/>
    <w:p w14:paraId="2DCA4F18" w14:textId="77777777" w:rsidR="00761690" w:rsidRPr="00761690" w:rsidRDefault="00761690" w:rsidP="00761690">
      <w:pPr>
        <w:tabs>
          <w:tab w:val="left" w:pos="540"/>
          <w:tab w:val="left" w:pos="720"/>
        </w:tabs>
        <w:spacing w:before="60" w:after="60"/>
        <w:ind w:firstLine="0"/>
        <w:jc w:val="both"/>
        <w:rPr>
          <w:rFonts w:eastAsia="Arial" w:cs="Arial"/>
          <w:sz w:val="20"/>
          <w:szCs w:val="20"/>
        </w:rPr>
      </w:pPr>
    </w:p>
    <w:sectPr w:rsidR="00761690" w:rsidRPr="00761690"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3457" w14:textId="77777777" w:rsidR="00CC0115" w:rsidRDefault="00CC0115" w:rsidP="002D3D62">
      <w:r>
        <w:separator/>
      </w:r>
    </w:p>
  </w:endnote>
  <w:endnote w:type="continuationSeparator" w:id="0">
    <w:p w14:paraId="003FCB70" w14:textId="77777777" w:rsidR="00CC0115" w:rsidRDefault="00CC011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4401" w14:textId="77777777" w:rsidR="00CC0115" w:rsidRDefault="00CC0115" w:rsidP="002D3D62">
      <w:r>
        <w:separator/>
      </w:r>
    </w:p>
  </w:footnote>
  <w:footnote w:type="continuationSeparator" w:id="0">
    <w:p w14:paraId="1BE01863" w14:textId="77777777" w:rsidR="00CC0115" w:rsidRDefault="00CC011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C3111"/>
    <w:multiLevelType w:val="multilevel"/>
    <w:tmpl w:val="369C8A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F91F68"/>
    <w:multiLevelType w:val="multilevel"/>
    <w:tmpl w:val="FCDC50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496"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F213C"/>
    <w:multiLevelType w:val="multilevel"/>
    <w:tmpl w:val="FD60D0D4"/>
    <w:styleLink w:val="KE-number"/>
    <w:lvl w:ilvl="0">
      <w:start w:val="1"/>
      <w:numFmt w:val="upperRoman"/>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0"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907C8F"/>
    <w:multiLevelType w:val="multilevel"/>
    <w:tmpl w:val="0350909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2"/>
  </w:num>
  <w:num w:numId="4" w16cid:durableId="1975020092">
    <w:abstractNumId w:val="10"/>
  </w:num>
  <w:num w:numId="5" w16cid:durableId="541359198">
    <w:abstractNumId w:val="9"/>
  </w:num>
  <w:num w:numId="6" w16cid:durableId="1317764691">
    <w:abstractNumId w:val="8"/>
  </w:num>
  <w:num w:numId="7" w16cid:durableId="610669460">
    <w:abstractNumId w:val="0"/>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7"/>
  </w:num>
  <w:num w:numId="11" w16cid:durableId="614287733">
    <w:abstractNumId w:val="3"/>
  </w:num>
  <w:num w:numId="12" w16cid:durableId="388502449">
    <w:abstractNumId w:val="1"/>
  </w:num>
  <w:num w:numId="13" w16cid:durableId="412581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19E8"/>
    <w:rsid w:val="00015FD9"/>
    <w:rsid w:val="00021E89"/>
    <w:rsid w:val="00026CE7"/>
    <w:rsid w:val="0003080C"/>
    <w:rsid w:val="00031D79"/>
    <w:rsid w:val="00034BDE"/>
    <w:rsid w:val="00041E1A"/>
    <w:rsid w:val="00061697"/>
    <w:rsid w:val="00092493"/>
    <w:rsid w:val="000B23EE"/>
    <w:rsid w:val="000B2810"/>
    <w:rsid w:val="000C0DE4"/>
    <w:rsid w:val="000C3717"/>
    <w:rsid w:val="000D037D"/>
    <w:rsid w:val="000E31DC"/>
    <w:rsid w:val="000E6F54"/>
    <w:rsid w:val="000F536D"/>
    <w:rsid w:val="00142B95"/>
    <w:rsid w:val="00154F48"/>
    <w:rsid w:val="001552A2"/>
    <w:rsid w:val="00164D00"/>
    <w:rsid w:val="00166164"/>
    <w:rsid w:val="001671F3"/>
    <w:rsid w:val="001679E3"/>
    <w:rsid w:val="00170316"/>
    <w:rsid w:val="001915B1"/>
    <w:rsid w:val="001A3061"/>
    <w:rsid w:val="001A5F9F"/>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164ED"/>
    <w:rsid w:val="002224D7"/>
    <w:rsid w:val="00244D2B"/>
    <w:rsid w:val="002473B0"/>
    <w:rsid w:val="002509BE"/>
    <w:rsid w:val="00251719"/>
    <w:rsid w:val="00254842"/>
    <w:rsid w:val="00264BB4"/>
    <w:rsid w:val="0027086F"/>
    <w:rsid w:val="002775AA"/>
    <w:rsid w:val="00282F93"/>
    <w:rsid w:val="002871B9"/>
    <w:rsid w:val="002875A2"/>
    <w:rsid w:val="00290FF8"/>
    <w:rsid w:val="002A34EB"/>
    <w:rsid w:val="002B1A96"/>
    <w:rsid w:val="002B424D"/>
    <w:rsid w:val="002C5C47"/>
    <w:rsid w:val="002D3D62"/>
    <w:rsid w:val="002E3735"/>
    <w:rsid w:val="002F0833"/>
    <w:rsid w:val="002F20DC"/>
    <w:rsid w:val="002F5B41"/>
    <w:rsid w:val="00330B94"/>
    <w:rsid w:val="00331D62"/>
    <w:rsid w:val="00333E3C"/>
    <w:rsid w:val="00341DCE"/>
    <w:rsid w:val="0035008F"/>
    <w:rsid w:val="00356874"/>
    <w:rsid w:val="00364EB4"/>
    <w:rsid w:val="0038091B"/>
    <w:rsid w:val="00383CEA"/>
    <w:rsid w:val="003944C1"/>
    <w:rsid w:val="00395633"/>
    <w:rsid w:val="003A017B"/>
    <w:rsid w:val="003A18AD"/>
    <w:rsid w:val="003A3BC9"/>
    <w:rsid w:val="003A605F"/>
    <w:rsid w:val="003B09D1"/>
    <w:rsid w:val="003C4BED"/>
    <w:rsid w:val="003C5276"/>
    <w:rsid w:val="003C5290"/>
    <w:rsid w:val="003C731B"/>
    <w:rsid w:val="003D3BD3"/>
    <w:rsid w:val="003E14F6"/>
    <w:rsid w:val="004014B8"/>
    <w:rsid w:val="00402AE3"/>
    <w:rsid w:val="004254DD"/>
    <w:rsid w:val="0042723C"/>
    <w:rsid w:val="00431C7E"/>
    <w:rsid w:val="004351F5"/>
    <w:rsid w:val="00436136"/>
    <w:rsid w:val="00437B26"/>
    <w:rsid w:val="00447B4E"/>
    <w:rsid w:val="00450FEB"/>
    <w:rsid w:val="00456ACE"/>
    <w:rsid w:val="0047704D"/>
    <w:rsid w:val="00487660"/>
    <w:rsid w:val="00492FF2"/>
    <w:rsid w:val="00496A65"/>
    <w:rsid w:val="004A1F56"/>
    <w:rsid w:val="004B0F74"/>
    <w:rsid w:val="004B7029"/>
    <w:rsid w:val="004C0E80"/>
    <w:rsid w:val="004D0C55"/>
    <w:rsid w:val="004D7D92"/>
    <w:rsid w:val="004E1E8C"/>
    <w:rsid w:val="004E3BAE"/>
    <w:rsid w:val="004E6E5E"/>
    <w:rsid w:val="004E707C"/>
    <w:rsid w:val="00502D2C"/>
    <w:rsid w:val="00505F28"/>
    <w:rsid w:val="005062ED"/>
    <w:rsid w:val="00510C8F"/>
    <w:rsid w:val="00510D4C"/>
    <w:rsid w:val="00530411"/>
    <w:rsid w:val="00545C45"/>
    <w:rsid w:val="00545DCE"/>
    <w:rsid w:val="005465CD"/>
    <w:rsid w:val="00547F2B"/>
    <w:rsid w:val="005505EE"/>
    <w:rsid w:val="005517EC"/>
    <w:rsid w:val="00552DEC"/>
    <w:rsid w:val="00552F98"/>
    <w:rsid w:val="0055637F"/>
    <w:rsid w:val="005579CE"/>
    <w:rsid w:val="0057152C"/>
    <w:rsid w:val="00572328"/>
    <w:rsid w:val="005752F0"/>
    <w:rsid w:val="00575CA6"/>
    <w:rsid w:val="00581AA9"/>
    <w:rsid w:val="00582E0B"/>
    <w:rsid w:val="00590263"/>
    <w:rsid w:val="005B6317"/>
    <w:rsid w:val="005C0C61"/>
    <w:rsid w:val="005C7D5B"/>
    <w:rsid w:val="005D0793"/>
    <w:rsid w:val="005D736F"/>
    <w:rsid w:val="005E661E"/>
    <w:rsid w:val="005F0ECF"/>
    <w:rsid w:val="005F1905"/>
    <w:rsid w:val="005F5B43"/>
    <w:rsid w:val="005F6FCC"/>
    <w:rsid w:val="006154F1"/>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3EF8"/>
    <w:rsid w:val="006D48ED"/>
    <w:rsid w:val="006F4495"/>
    <w:rsid w:val="006F4D84"/>
    <w:rsid w:val="00706479"/>
    <w:rsid w:val="007177DD"/>
    <w:rsid w:val="0072512B"/>
    <w:rsid w:val="00726A9C"/>
    <w:rsid w:val="0073349B"/>
    <w:rsid w:val="00736DB3"/>
    <w:rsid w:val="00742E85"/>
    <w:rsid w:val="00744A12"/>
    <w:rsid w:val="007571DA"/>
    <w:rsid w:val="00757E88"/>
    <w:rsid w:val="00760784"/>
    <w:rsid w:val="00761111"/>
    <w:rsid w:val="00761690"/>
    <w:rsid w:val="007713F1"/>
    <w:rsid w:val="00777BB7"/>
    <w:rsid w:val="00782074"/>
    <w:rsid w:val="00792FE3"/>
    <w:rsid w:val="00794E24"/>
    <w:rsid w:val="00796907"/>
    <w:rsid w:val="007A4EB7"/>
    <w:rsid w:val="007A78EC"/>
    <w:rsid w:val="007B2AA5"/>
    <w:rsid w:val="007C01FD"/>
    <w:rsid w:val="007C71D9"/>
    <w:rsid w:val="007D2195"/>
    <w:rsid w:val="007D5E3B"/>
    <w:rsid w:val="007E22FD"/>
    <w:rsid w:val="007E394A"/>
    <w:rsid w:val="007F3202"/>
    <w:rsid w:val="008025B0"/>
    <w:rsid w:val="00803655"/>
    <w:rsid w:val="00805F3F"/>
    <w:rsid w:val="0080613A"/>
    <w:rsid w:val="00832210"/>
    <w:rsid w:val="0084556B"/>
    <w:rsid w:val="008465E7"/>
    <w:rsid w:val="00850AD8"/>
    <w:rsid w:val="0086177F"/>
    <w:rsid w:val="00873C8B"/>
    <w:rsid w:val="00892C2F"/>
    <w:rsid w:val="008A0BCC"/>
    <w:rsid w:val="008A6D4A"/>
    <w:rsid w:val="008A71CE"/>
    <w:rsid w:val="008B0F3F"/>
    <w:rsid w:val="008B3997"/>
    <w:rsid w:val="008B3E12"/>
    <w:rsid w:val="008B47D1"/>
    <w:rsid w:val="008B4ED0"/>
    <w:rsid w:val="008B7415"/>
    <w:rsid w:val="008C1DE3"/>
    <w:rsid w:val="008C7705"/>
    <w:rsid w:val="008D5442"/>
    <w:rsid w:val="008E2D12"/>
    <w:rsid w:val="008E5B36"/>
    <w:rsid w:val="008F440B"/>
    <w:rsid w:val="008F7517"/>
    <w:rsid w:val="009148F5"/>
    <w:rsid w:val="009167AA"/>
    <w:rsid w:val="0092073E"/>
    <w:rsid w:val="00923872"/>
    <w:rsid w:val="00927FB1"/>
    <w:rsid w:val="00931C4D"/>
    <w:rsid w:val="00940146"/>
    <w:rsid w:val="00944584"/>
    <w:rsid w:val="00945CFA"/>
    <w:rsid w:val="009650CD"/>
    <w:rsid w:val="0096737B"/>
    <w:rsid w:val="0097130F"/>
    <w:rsid w:val="00971961"/>
    <w:rsid w:val="00976CCE"/>
    <w:rsid w:val="00980A28"/>
    <w:rsid w:val="00985A94"/>
    <w:rsid w:val="00987223"/>
    <w:rsid w:val="009C0D37"/>
    <w:rsid w:val="009C1812"/>
    <w:rsid w:val="009D2411"/>
    <w:rsid w:val="009D253E"/>
    <w:rsid w:val="009D5C2A"/>
    <w:rsid w:val="009D75D2"/>
    <w:rsid w:val="009E1C59"/>
    <w:rsid w:val="009E263B"/>
    <w:rsid w:val="009E643A"/>
    <w:rsid w:val="009E78C5"/>
    <w:rsid w:val="009F214F"/>
    <w:rsid w:val="009F772D"/>
    <w:rsid w:val="00A036A4"/>
    <w:rsid w:val="00A04434"/>
    <w:rsid w:val="00A122CC"/>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8774A"/>
    <w:rsid w:val="00A90F89"/>
    <w:rsid w:val="00A92C3F"/>
    <w:rsid w:val="00A9367E"/>
    <w:rsid w:val="00A95549"/>
    <w:rsid w:val="00AA3960"/>
    <w:rsid w:val="00AB0D72"/>
    <w:rsid w:val="00AC0134"/>
    <w:rsid w:val="00AC393B"/>
    <w:rsid w:val="00AE368B"/>
    <w:rsid w:val="00AF04E7"/>
    <w:rsid w:val="00AF391C"/>
    <w:rsid w:val="00AF399E"/>
    <w:rsid w:val="00AF3E88"/>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1EAD"/>
    <w:rsid w:val="00BA6BD8"/>
    <w:rsid w:val="00BB4C78"/>
    <w:rsid w:val="00BB6D4E"/>
    <w:rsid w:val="00BB7D32"/>
    <w:rsid w:val="00BC2049"/>
    <w:rsid w:val="00BD1B6F"/>
    <w:rsid w:val="00BE1E04"/>
    <w:rsid w:val="00BE3300"/>
    <w:rsid w:val="00BF03B7"/>
    <w:rsid w:val="00BF31A8"/>
    <w:rsid w:val="00BF31B5"/>
    <w:rsid w:val="00BF76B0"/>
    <w:rsid w:val="00C00057"/>
    <w:rsid w:val="00C03B19"/>
    <w:rsid w:val="00C051D5"/>
    <w:rsid w:val="00C143A7"/>
    <w:rsid w:val="00C274E2"/>
    <w:rsid w:val="00C27C78"/>
    <w:rsid w:val="00C3397E"/>
    <w:rsid w:val="00C360D0"/>
    <w:rsid w:val="00C365EC"/>
    <w:rsid w:val="00C40507"/>
    <w:rsid w:val="00C653C2"/>
    <w:rsid w:val="00C67042"/>
    <w:rsid w:val="00C7457F"/>
    <w:rsid w:val="00C805CB"/>
    <w:rsid w:val="00C81803"/>
    <w:rsid w:val="00CA325A"/>
    <w:rsid w:val="00CB4FAA"/>
    <w:rsid w:val="00CC0115"/>
    <w:rsid w:val="00CC6A75"/>
    <w:rsid w:val="00CD24DB"/>
    <w:rsid w:val="00CD79FC"/>
    <w:rsid w:val="00CE0EA1"/>
    <w:rsid w:val="00CF47C0"/>
    <w:rsid w:val="00CF60A7"/>
    <w:rsid w:val="00D05DA9"/>
    <w:rsid w:val="00D109E5"/>
    <w:rsid w:val="00D11130"/>
    <w:rsid w:val="00D3754B"/>
    <w:rsid w:val="00D41F49"/>
    <w:rsid w:val="00D628F6"/>
    <w:rsid w:val="00D66579"/>
    <w:rsid w:val="00D72BB0"/>
    <w:rsid w:val="00D758BA"/>
    <w:rsid w:val="00D820CE"/>
    <w:rsid w:val="00D843D5"/>
    <w:rsid w:val="00D95DF8"/>
    <w:rsid w:val="00DC1C55"/>
    <w:rsid w:val="00DC6C6D"/>
    <w:rsid w:val="00DF31AA"/>
    <w:rsid w:val="00DF5A7D"/>
    <w:rsid w:val="00DF7236"/>
    <w:rsid w:val="00E161E1"/>
    <w:rsid w:val="00E2345B"/>
    <w:rsid w:val="00E23B1E"/>
    <w:rsid w:val="00E2760B"/>
    <w:rsid w:val="00E42025"/>
    <w:rsid w:val="00E45265"/>
    <w:rsid w:val="00E5176E"/>
    <w:rsid w:val="00E55A4A"/>
    <w:rsid w:val="00E6030C"/>
    <w:rsid w:val="00E6481D"/>
    <w:rsid w:val="00E66F60"/>
    <w:rsid w:val="00E70821"/>
    <w:rsid w:val="00E71CF5"/>
    <w:rsid w:val="00E83809"/>
    <w:rsid w:val="00E8465A"/>
    <w:rsid w:val="00E86D12"/>
    <w:rsid w:val="00E871F6"/>
    <w:rsid w:val="00E87B79"/>
    <w:rsid w:val="00E917FA"/>
    <w:rsid w:val="00EA26D5"/>
    <w:rsid w:val="00EB0D32"/>
    <w:rsid w:val="00EC4C4F"/>
    <w:rsid w:val="00ED3BFD"/>
    <w:rsid w:val="00ED71CD"/>
    <w:rsid w:val="00ED7DA9"/>
    <w:rsid w:val="00EE4F78"/>
    <w:rsid w:val="00F0709C"/>
    <w:rsid w:val="00F177F3"/>
    <w:rsid w:val="00F21548"/>
    <w:rsid w:val="00F350A0"/>
    <w:rsid w:val="00F42C51"/>
    <w:rsid w:val="00F45757"/>
    <w:rsid w:val="00F5543A"/>
    <w:rsid w:val="00F55BCB"/>
    <w:rsid w:val="00F55F91"/>
    <w:rsid w:val="00F62940"/>
    <w:rsid w:val="00F64FDB"/>
    <w:rsid w:val="00F766B5"/>
    <w:rsid w:val="00F82EBC"/>
    <w:rsid w:val="00F93ADD"/>
    <w:rsid w:val="00FA6F95"/>
    <w:rsid w:val="00FB16A1"/>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numbering" w:customStyle="1" w:styleId="KE-number">
    <w:name w:val="KE - number"/>
    <w:uiPriority w:val="99"/>
    <w:rsid w:val="00CD24DB"/>
    <w:pPr>
      <w:numPr>
        <w:numId w:val="13"/>
      </w:numPr>
    </w:pPr>
  </w:style>
  <w:style w:type="paragraph" w:customStyle="1" w:styleId="KE-number1">
    <w:name w:val="KE - number1"/>
    <w:basedOn w:val="Normal"/>
    <w:qFormat/>
    <w:rsid w:val="00CD24DB"/>
    <w:pPr>
      <w:keepNext/>
      <w:numPr>
        <w:numId w:val="13"/>
      </w:numPr>
      <w:spacing w:before="200" w:after="200" w:line="276" w:lineRule="auto"/>
      <w:jc w:val="center"/>
    </w:pPr>
    <w:rPr>
      <w:rFonts w:ascii="Times New Roman" w:hAnsi="Times New Roman" w:cs="Times New Roman"/>
      <w:b/>
      <w:caps/>
      <w:sz w:val="24"/>
      <w:szCs w:val="24"/>
    </w:rPr>
  </w:style>
  <w:style w:type="paragraph" w:customStyle="1" w:styleId="KE-number2">
    <w:name w:val="KE - number2"/>
    <w:basedOn w:val="Normal"/>
    <w:qFormat/>
    <w:rsid w:val="00CD24DB"/>
    <w:pPr>
      <w:numPr>
        <w:ilvl w:val="1"/>
        <w:numId w:val="13"/>
      </w:numPr>
      <w:spacing w:line="276" w:lineRule="auto"/>
      <w:jc w:val="both"/>
    </w:pPr>
    <w:rPr>
      <w:rFonts w:ascii="Times New Roman" w:eastAsia="Calibri" w:hAnsi="Times New Roman" w:cs="Times New Roman"/>
      <w:sz w:val="24"/>
    </w:rPr>
  </w:style>
  <w:style w:type="paragraph" w:customStyle="1" w:styleId="KE-number3">
    <w:name w:val="KE - number3"/>
    <w:basedOn w:val="Normal"/>
    <w:qFormat/>
    <w:rsid w:val="00CD24DB"/>
    <w:pPr>
      <w:numPr>
        <w:ilvl w:val="2"/>
        <w:numId w:val="13"/>
      </w:numPr>
      <w:spacing w:line="276" w:lineRule="auto"/>
      <w:jc w:val="both"/>
    </w:pPr>
    <w:rPr>
      <w:rFonts w:ascii="Times New Roman" w:eastAsia="Calibri" w:hAnsi="Times New Roman" w:cs="Times New Roman"/>
      <w:sz w:val="24"/>
    </w:rPr>
  </w:style>
  <w:style w:type="paragraph" w:customStyle="1" w:styleId="KE-number4">
    <w:name w:val="KE - number4"/>
    <w:basedOn w:val="Normal"/>
    <w:qFormat/>
    <w:rsid w:val="00CD24DB"/>
    <w:pPr>
      <w:numPr>
        <w:ilvl w:val="3"/>
        <w:numId w:val="13"/>
      </w:numPr>
      <w:spacing w:line="276" w:lineRule="auto"/>
      <w:jc w:val="both"/>
    </w:pPr>
    <w:rPr>
      <w:rFonts w:ascii="Times New Roman" w:eastAsia="Calibri" w:hAnsi="Times New Roman" w:cs="Times New Roman"/>
      <w:sz w:val="24"/>
    </w:rPr>
  </w:style>
  <w:style w:type="character" w:customStyle="1" w:styleId="st1">
    <w:name w:val="st1"/>
    <w:basedOn w:val="DefaultParagraphFont"/>
    <w:rsid w:val="0097130F"/>
  </w:style>
  <w:style w:type="character" w:styleId="Emphasis">
    <w:name w:val="Emphasis"/>
    <w:basedOn w:val="DefaultParagraphFont"/>
    <w:uiPriority w:val="20"/>
    <w:qFormat/>
    <w:rsid w:val="0097130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3780</Words>
  <Characters>2155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Dovilė Mieldažė</cp:lastModifiedBy>
  <cp:revision>75</cp:revision>
  <dcterms:created xsi:type="dcterms:W3CDTF">2026-01-19T11:55:00Z</dcterms:created>
  <dcterms:modified xsi:type="dcterms:W3CDTF">2026-03-17T13:27:00Z</dcterms:modified>
</cp:coreProperties>
</file>