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C44B" w14:textId="77777777" w:rsidR="00EA34AA" w:rsidRPr="00EA34AA" w:rsidRDefault="00EA34AA" w:rsidP="00EA34AA">
      <w:pPr>
        <w:jc w:val="center"/>
        <w:rPr>
          <w:b/>
          <w:bCs/>
          <w:lang w:val="lt-LT"/>
        </w:rPr>
      </w:pPr>
      <w:r w:rsidRPr="00EA34AA">
        <w:rPr>
          <w:b/>
          <w:bCs/>
          <w:lang w:val="lt-LT"/>
        </w:rPr>
        <w:t>TECHNINĖ SPACIFIKACIJA</w:t>
      </w:r>
    </w:p>
    <w:p w14:paraId="68246682" w14:textId="77777777" w:rsidR="00EA34AA" w:rsidRPr="00EA34AA" w:rsidRDefault="00EA34AA" w:rsidP="00EA34AA">
      <w:pPr>
        <w:jc w:val="center"/>
        <w:rPr>
          <w:b/>
          <w:bCs/>
          <w:lang w:val="lt-LT"/>
        </w:rPr>
      </w:pPr>
      <w:r w:rsidRPr="00EA34AA">
        <w:rPr>
          <w:b/>
          <w:bCs/>
          <w:lang w:val="lt-LT"/>
        </w:rPr>
        <w:t>ARKINIAI METALO DETEKTORIAI</w:t>
      </w:r>
    </w:p>
    <w:p w14:paraId="577D6D68" w14:textId="77777777" w:rsidR="00EA34AA" w:rsidRPr="00EA34AA" w:rsidRDefault="00EA34AA" w:rsidP="00EA34AA">
      <w:pPr>
        <w:jc w:val="center"/>
        <w:rPr>
          <w:bCs/>
          <w:sz w:val="22"/>
          <w:szCs w:val="22"/>
          <w:lang w:val="lt-LT"/>
        </w:rPr>
      </w:pPr>
    </w:p>
    <w:p w14:paraId="01DB0301" w14:textId="77777777" w:rsidR="00EA34AA" w:rsidRPr="00EA34AA" w:rsidRDefault="00EA34AA" w:rsidP="00EA34AA">
      <w:pPr>
        <w:ind w:firstLine="1276"/>
        <w:rPr>
          <w:lang w:val="lt-LT"/>
        </w:rPr>
      </w:pPr>
      <w:r w:rsidRPr="00EA34AA">
        <w:rPr>
          <w:lang w:val="lt-LT"/>
        </w:rPr>
        <w:t>Bendrieji reikalavimai:</w:t>
      </w:r>
    </w:p>
    <w:p w14:paraId="4A0EF722" w14:textId="77777777" w:rsidR="00EA34AA" w:rsidRPr="00EA34AA" w:rsidRDefault="00EA34AA" w:rsidP="00EA34AA">
      <w:pPr>
        <w:pStyle w:val="ListParagraph"/>
        <w:ind w:left="0" w:firstLine="1276"/>
        <w:jc w:val="both"/>
        <w:rPr>
          <w:lang w:val="lt-LT"/>
        </w:rPr>
      </w:pPr>
      <w:r w:rsidRPr="00EA34AA">
        <w:rPr>
          <w:lang w:val="lt-LT"/>
        </w:rPr>
        <w:t>Perkama įranga privalo būti nauja (negali būti atnaujinta, restauruota (angl. refurbished), nenaudota, pateikta nepažeistoje gamyklinėje pakuotėje ir jos gamyba dar nenutraukta (negali būti EOL „End of Life“ arba EOS „End of Sale“).</w:t>
      </w:r>
    </w:p>
    <w:p w14:paraId="3B2BAEEB" w14:textId="77777777" w:rsidR="00EA34AA" w:rsidRPr="00EA34AA" w:rsidRDefault="00EA34AA" w:rsidP="00EA34AA">
      <w:pPr>
        <w:ind w:firstLine="1276"/>
        <w:jc w:val="both"/>
        <w:rPr>
          <w:lang w:val="lt-LT"/>
        </w:rPr>
      </w:pPr>
      <w:r w:rsidRPr="00EA34AA">
        <w:rPr>
          <w:lang w:val="lt-LT"/>
        </w:rPr>
        <w:t xml:space="preserve">Paslaugos tiekėjas privalės pristatyti pilnai funkcionuojančią įrangą. Jeigu užsakovas nenumatė ar neaprašė įrangos mazgų dėl ko ji galėtų nefunkcionuoti, tiekėjas privalo numatyti ir įtraukti trūkstamus mazgus (pvz.: įtraukti vibracijas gesinančias platformas ir pan.). </w:t>
      </w:r>
    </w:p>
    <w:p w14:paraId="15E23681" w14:textId="77777777" w:rsidR="00EA34AA" w:rsidRPr="00EA34AA" w:rsidRDefault="00EA34AA" w:rsidP="00EA34AA">
      <w:pPr>
        <w:ind w:firstLine="1276"/>
        <w:jc w:val="both"/>
        <w:rPr>
          <w:lang w:val="lt-LT"/>
        </w:rPr>
      </w:pPr>
      <w:r w:rsidRPr="00EA34AA">
        <w:rPr>
          <w:lang w:val="lt-LT"/>
        </w:rPr>
        <w:t>Tiekėjas turi turėti techninio aptarnavimo centrą ir pasirašius sutartį pateikti jo adresą bei kontaktinį telefono numeri.</w:t>
      </w:r>
    </w:p>
    <w:p w14:paraId="2251B121" w14:textId="77777777" w:rsidR="00EA34AA" w:rsidRPr="00EA34AA" w:rsidRDefault="00EA34AA" w:rsidP="00EA34AA">
      <w:pPr>
        <w:ind w:firstLine="1276"/>
        <w:jc w:val="both"/>
        <w:rPr>
          <w:lang w:val="lt-LT"/>
        </w:rPr>
      </w:pPr>
      <w:r w:rsidRPr="00EA34AA">
        <w:rPr>
          <w:lang w:val="lt-LT"/>
        </w:rPr>
        <w:t>Pasiūlymo duomenyse įrangai, apklausos dalyvis privalo pateikti konkrečius parametrus. Pasiūlymo duomenis, kuriuose vietoj parametrų parašomi žodžiai „Taip“ arba „Atitinka“ bus prašoma patikslinti.</w:t>
      </w:r>
    </w:p>
    <w:p w14:paraId="330516A8" w14:textId="77777777" w:rsidR="00EA34AA" w:rsidRPr="00EA34AA" w:rsidRDefault="00EA34AA" w:rsidP="00EA34AA">
      <w:pPr>
        <w:ind w:firstLine="1276"/>
        <w:jc w:val="both"/>
        <w:rPr>
          <w:lang w:val="lt-LT"/>
        </w:rPr>
      </w:pPr>
      <w:r w:rsidRPr="00EA34AA">
        <w:rPr>
          <w:lang w:val="lt-LT"/>
        </w:rPr>
        <w:t>Pasiūlymo duomenyse įrangai tiekėjas turi nurodyti įrangos gamintoją, modelį ir versiją (jeigu tokia yra).</w:t>
      </w:r>
    </w:p>
    <w:p w14:paraId="6542F270" w14:textId="77777777" w:rsidR="00EA34AA" w:rsidRPr="00EA34AA" w:rsidRDefault="00EA34AA" w:rsidP="00EA34AA">
      <w:pPr>
        <w:ind w:firstLine="1276"/>
        <w:jc w:val="both"/>
        <w:rPr>
          <w:lang w:val="lt-LT"/>
        </w:rPr>
      </w:pPr>
      <w:r w:rsidRPr="00EA34AA">
        <w:rPr>
          <w:lang w:val="lt-LT"/>
        </w:rPr>
        <w:t>Vadovaujantis 2022 m. kovo 30 d. Lietuvos Respublikos Vyriausybės nutarimu Nr.280 tiekėjų pasiūlymai su įranga iš nepatikimų tiekėjų bus atmetami.</w:t>
      </w:r>
    </w:p>
    <w:p w14:paraId="545B907F" w14:textId="77777777" w:rsidR="00EA34AA" w:rsidRPr="00EA34AA" w:rsidRDefault="00EA34AA" w:rsidP="00EA34AA">
      <w:pPr>
        <w:rPr>
          <w:lang w:val="lt-LT"/>
        </w:rPr>
      </w:pPr>
    </w:p>
    <w:p w14:paraId="57C341DC" w14:textId="77777777" w:rsidR="00EA34AA" w:rsidRPr="00EA34AA" w:rsidRDefault="00EA34AA" w:rsidP="00EA34AA">
      <w:pPr>
        <w:pStyle w:val="ListParagraph"/>
        <w:numPr>
          <w:ilvl w:val="1"/>
          <w:numId w:val="2"/>
        </w:numPr>
        <w:suppressAutoHyphens/>
        <w:rPr>
          <w:lang w:val="lt-LT"/>
        </w:rPr>
      </w:pPr>
      <w:r w:rsidRPr="00EA34AA">
        <w:rPr>
          <w:lang w:val="lt-LT"/>
        </w:rPr>
        <w:t>Arkinis metalo detektorius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230"/>
        <w:gridCol w:w="5387"/>
      </w:tblGrid>
      <w:tr w:rsidR="00EA34AA" w:rsidRPr="00EA34AA" w14:paraId="7940EBE5" w14:textId="77777777" w:rsidTr="009B7876">
        <w:tc>
          <w:tcPr>
            <w:tcW w:w="478" w:type="pct"/>
            <w:vAlign w:val="center"/>
          </w:tcPr>
          <w:p w14:paraId="78C27A12" w14:textId="77777777" w:rsidR="00EA34AA" w:rsidRPr="00EA34AA" w:rsidRDefault="00EA34AA" w:rsidP="009B7876">
            <w:pPr>
              <w:jc w:val="center"/>
              <w:rPr>
                <w:b/>
                <w:lang w:val="lt-LT"/>
              </w:rPr>
            </w:pPr>
            <w:r w:rsidRPr="00EA34AA">
              <w:rPr>
                <w:b/>
                <w:lang w:val="lt-LT"/>
              </w:rPr>
              <w:t>Eil. Nr.</w:t>
            </w:r>
          </w:p>
        </w:tc>
        <w:tc>
          <w:tcPr>
            <w:tcW w:w="1695" w:type="pct"/>
            <w:vAlign w:val="center"/>
          </w:tcPr>
          <w:p w14:paraId="57D20CFB" w14:textId="77777777" w:rsidR="00EA34AA" w:rsidRPr="00EA34AA" w:rsidRDefault="00EA34AA" w:rsidP="009B7876">
            <w:pPr>
              <w:pStyle w:val="Heading7"/>
              <w:rPr>
                <w:b/>
                <w:i/>
                <w:lang w:val="lt-LT"/>
              </w:rPr>
            </w:pPr>
            <w:r w:rsidRPr="00EA34AA">
              <w:rPr>
                <w:lang w:val="lt-LT"/>
              </w:rPr>
              <w:t>Parametras</w:t>
            </w:r>
          </w:p>
        </w:tc>
        <w:tc>
          <w:tcPr>
            <w:tcW w:w="2827" w:type="pct"/>
            <w:vAlign w:val="center"/>
          </w:tcPr>
          <w:p w14:paraId="3048F08C" w14:textId="77777777" w:rsidR="00EA34AA" w:rsidRPr="00EA34AA" w:rsidRDefault="00EA34AA" w:rsidP="009B7876">
            <w:pPr>
              <w:pStyle w:val="Heading7"/>
              <w:rPr>
                <w:b/>
                <w:i/>
                <w:lang w:val="lt-LT"/>
              </w:rPr>
            </w:pPr>
            <w:r w:rsidRPr="00EA34AA">
              <w:rPr>
                <w:lang w:val="lt-LT"/>
              </w:rPr>
              <w:t>Reikalavimai</w:t>
            </w:r>
          </w:p>
        </w:tc>
      </w:tr>
      <w:tr w:rsidR="00EA34AA" w:rsidRPr="00EA34AA" w14:paraId="5B7D1CBC" w14:textId="77777777" w:rsidTr="009B7876">
        <w:tc>
          <w:tcPr>
            <w:tcW w:w="478" w:type="pct"/>
            <w:vAlign w:val="center"/>
          </w:tcPr>
          <w:p w14:paraId="4AA6A381" w14:textId="77777777" w:rsidR="00EA34AA" w:rsidRPr="00EA34AA" w:rsidRDefault="00EA34AA" w:rsidP="00EA34AA">
            <w:pPr>
              <w:pStyle w:val="ListParagraph"/>
              <w:numPr>
                <w:ilvl w:val="0"/>
                <w:numId w:val="3"/>
              </w:numPr>
              <w:rPr>
                <w:b/>
                <w:lang w:val="lt-LT"/>
              </w:rPr>
            </w:pPr>
          </w:p>
        </w:tc>
        <w:tc>
          <w:tcPr>
            <w:tcW w:w="1695" w:type="pct"/>
          </w:tcPr>
          <w:p w14:paraId="75DB7AAE" w14:textId="77777777" w:rsidR="00EA34AA" w:rsidRPr="00EA34AA" w:rsidRDefault="00EA34AA" w:rsidP="009B7876">
            <w:pPr>
              <w:tabs>
                <w:tab w:val="left" w:pos="1422"/>
              </w:tabs>
              <w:ind w:right="-18"/>
              <w:rPr>
                <w:lang w:val="lt-LT"/>
              </w:rPr>
            </w:pPr>
            <w:r w:rsidRPr="00EA34AA">
              <w:rPr>
                <w:lang w:val="lt-LT"/>
              </w:rPr>
              <w:t>Įrenginio gamintojas, modelis ir versija.</w:t>
            </w:r>
          </w:p>
        </w:tc>
        <w:tc>
          <w:tcPr>
            <w:tcW w:w="2827" w:type="pct"/>
          </w:tcPr>
          <w:p w14:paraId="7FFE57D9" w14:textId="77777777" w:rsidR="00EA34AA" w:rsidRPr="00EA34AA" w:rsidRDefault="00EA34AA" w:rsidP="009B7876">
            <w:pPr>
              <w:rPr>
                <w:lang w:val="lt-LT"/>
              </w:rPr>
            </w:pPr>
            <w:r w:rsidRPr="00EA34AA">
              <w:rPr>
                <w:lang w:val="lt-LT"/>
              </w:rPr>
              <w:t>Tiekėjas turi nurodyti įrangos gamintoją, modelį ir versiją (jeigu tokia yra)</w:t>
            </w:r>
          </w:p>
        </w:tc>
      </w:tr>
      <w:tr w:rsidR="00EA34AA" w:rsidRPr="00EA34AA" w14:paraId="66A66103" w14:textId="77777777" w:rsidTr="009B7876">
        <w:tc>
          <w:tcPr>
            <w:tcW w:w="478" w:type="pct"/>
            <w:vAlign w:val="center"/>
          </w:tcPr>
          <w:p w14:paraId="69C450B4" w14:textId="77777777" w:rsidR="00EA34AA" w:rsidRPr="00EA34AA" w:rsidRDefault="00EA34AA" w:rsidP="00EA34AA">
            <w:pPr>
              <w:pStyle w:val="ListParagraph"/>
              <w:numPr>
                <w:ilvl w:val="0"/>
                <w:numId w:val="3"/>
              </w:numPr>
              <w:rPr>
                <w:b/>
                <w:lang w:val="lt-LT"/>
              </w:rPr>
            </w:pPr>
          </w:p>
        </w:tc>
        <w:tc>
          <w:tcPr>
            <w:tcW w:w="1695" w:type="pct"/>
          </w:tcPr>
          <w:p w14:paraId="2B5905A0" w14:textId="77777777" w:rsidR="00EA34AA" w:rsidRPr="00EA34AA" w:rsidRDefault="00EA34AA" w:rsidP="009B7876">
            <w:pPr>
              <w:tabs>
                <w:tab w:val="left" w:pos="1422"/>
              </w:tabs>
              <w:ind w:right="-18"/>
              <w:rPr>
                <w:lang w:val="lt-LT"/>
              </w:rPr>
            </w:pPr>
            <w:r w:rsidRPr="00EA34AA">
              <w:rPr>
                <w:lang w:val="lt-LT"/>
              </w:rPr>
              <w:t>Aptinkamų medžiagų tipas.</w:t>
            </w:r>
          </w:p>
        </w:tc>
        <w:tc>
          <w:tcPr>
            <w:tcW w:w="2827" w:type="pct"/>
          </w:tcPr>
          <w:p w14:paraId="113984BF" w14:textId="77777777" w:rsidR="00EA34AA" w:rsidRPr="00EA34AA" w:rsidRDefault="00EA34AA" w:rsidP="009B7876">
            <w:pPr>
              <w:rPr>
                <w:lang w:val="lt-LT"/>
              </w:rPr>
            </w:pPr>
            <w:r w:rsidRPr="00EA34AA">
              <w:rPr>
                <w:lang w:val="lt-LT"/>
              </w:rPr>
              <w:t>Visų rūšių metalai ir jų lydiniai</w:t>
            </w:r>
          </w:p>
        </w:tc>
      </w:tr>
      <w:tr w:rsidR="00EA34AA" w:rsidRPr="00EA34AA" w14:paraId="5FFCAFE7" w14:textId="77777777" w:rsidTr="009B7876">
        <w:tc>
          <w:tcPr>
            <w:tcW w:w="478" w:type="pct"/>
            <w:vAlign w:val="center"/>
          </w:tcPr>
          <w:p w14:paraId="17E490D3" w14:textId="77777777" w:rsidR="00EA34AA" w:rsidRPr="00EA34AA" w:rsidRDefault="00EA34AA" w:rsidP="00EA34AA">
            <w:pPr>
              <w:pStyle w:val="ListParagraph"/>
              <w:numPr>
                <w:ilvl w:val="0"/>
                <w:numId w:val="3"/>
              </w:numPr>
              <w:rPr>
                <w:b/>
                <w:lang w:val="lt-LT"/>
              </w:rPr>
            </w:pPr>
          </w:p>
        </w:tc>
        <w:tc>
          <w:tcPr>
            <w:tcW w:w="1695" w:type="pct"/>
          </w:tcPr>
          <w:p w14:paraId="3694B53C" w14:textId="77777777" w:rsidR="00EA34AA" w:rsidRPr="00EA34AA" w:rsidRDefault="00EA34AA" w:rsidP="009B7876">
            <w:pPr>
              <w:tabs>
                <w:tab w:val="left" w:pos="1422"/>
              </w:tabs>
              <w:ind w:right="-18"/>
              <w:rPr>
                <w:lang w:val="lt-LT"/>
              </w:rPr>
            </w:pPr>
            <w:r w:rsidRPr="00EA34AA">
              <w:rPr>
                <w:lang w:val="lt-LT"/>
              </w:rPr>
              <w:t xml:space="preserve">Naudojama technologija </w:t>
            </w:r>
          </w:p>
        </w:tc>
        <w:tc>
          <w:tcPr>
            <w:tcW w:w="2827" w:type="pct"/>
          </w:tcPr>
          <w:p w14:paraId="01F99CB0" w14:textId="77777777" w:rsidR="00EA34AA" w:rsidRPr="00EA34AA" w:rsidRDefault="00EA34AA" w:rsidP="009B7876">
            <w:pPr>
              <w:rPr>
                <w:lang w:val="lt-LT"/>
              </w:rPr>
            </w:pPr>
            <w:r w:rsidRPr="00EA34AA">
              <w:rPr>
                <w:lang w:val="lt-LT"/>
              </w:rPr>
              <w:t>Aktyvi detekcija, sukuriant dirbtinį elektromagnetinį lauką</w:t>
            </w:r>
          </w:p>
        </w:tc>
      </w:tr>
      <w:tr w:rsidR="00EA34AA" w:rsidRPr="00EA34AA" w14:paraId="2355F129" w14:textId="77777777" w:rsidTr="009B7876">
        <w:tc>
          <w:tcPr>
            <w:tcW w:w="478" w:type="pct"/>
            <w:vAlign w:val="center"/>
          </w:tcPr>
          <w:p w14:paraId="7BF511F3" w14:textId="77777777" w:rsidR="00EA34AA" w:rsidRPr="00EA34AA" w:rsidRDefault="00EA34AA" w:rsidP="00EA34AA">
            <w:pPr>
              <w:pStyle w:val="ListParagraph"/>
              <w:numPr>
                <w:ilvl w:val="0"/>
                <w:numId w:val="3"/>
              </w:numPr>
              <w:rPr>
                <w:b/>
                <w:lang w:val="lt-LT"/>
              </w:rPr>
            </w:pPr>
          </w:p>
        </w:tc>
        <w:tc>
          <w:tcPr>
            <w:tcW w:w="1695" w:type="pct"/>
          </w:tcPr>
          <w:p w14:paraId="03BE90BD" w14:textId="77777777" w:rsidR="00EA34AA" w:rsidRPr="00EA34AA" w:rsidRDefault="00EA34AA" w:rsidP="009B7876">
            <w:pPr>
              <w:rPr>
                <w:lang w:val="lt-LT"/>
              </w:rPr>
            </w:pPr>
            <w:r w:rsidRPr="00EA34AA">
              <w:rPr>
                <w:lang w:val="lt-LT"/>
              </w:rPr>
              <w:t>Valdymas, parametrų nustatymas (jautrumo lygio reguliavimas)</w:t>
            </w:r>
          </w:p>
        </w:tc>
        <w:tc>
          <w:tcPr>
            <w:tcW w:w="2827" w:type="pct"/>
          </w:tcPr>
          <w:p w14:paraId="40C36712" w14:textId="77777777" w:rsidR="00EA34AA" w:rsidRPr="00EA34AA" w:rsidRDefault="00EA34AA" w:rsidP="009B7876">
            <w:pPr>
              <w:rPr>
                <w:lang w:val="lt-LT"/>
              </w:rPr>
            </w:pPr>
            <w:r w:rsidRPr="00EA34AA">
              <w:rPr>
                <w:lang w:val="lt-LT"/>
              </w:rPr>
              <w:t>Automatiniai standartiniai darbo režimai ir vartotojo nustatomi režimai rankiniu būdu</w:t>
            </w:r>
          </w:p>
        </w:tc>
      </w:tr>
      <w:tr w:rsidR="00EA34AA" w:rsidRPr="00EA34AA" w14:paraId="01638493" w14:textId="77777777" w:rsidTr="009B7876">
        <w:tc>
          <w:tcPr>
            <w:tcW w:w="478" w:type="pct"/>
            <w:vAlign w:val="center"/>
          </w:tcPr>
          <w:p w14:paraId="331180A5" w14:textId="77777777" w:rsidR="00EA34AA" w:rsidRPr="00EA34AA" w:rsidRDefault="00EA34AA" w:rsidP="00EA34AA">
            <w:pPr>
              <w:pStyle w:val="ListParagraph"/>
              <w:numPr>
                <w:ilvl w:val="0"/>
                <w:numId w:val="3"/>
              </w:numPr>
              <w:rPr>
                <w:b/>
                <w:lang w:val="lt-LT"/>
              </w:rPr>
            </w:pPr>
          </w:p>
        </w:tc>
        <w:tc>
          <w:tcPr>
            <w:tcW w:w="1695" w:type="pct"/>
          </w:tcPr>
          <w:p w14:paraId="4181101C" w14:textId="77777777" w:rsidR="00EA34AA" w:rsidRPr="00EA34AA" w:rsidRDefault="00EA34AA" w:rsidP="009B7876">
            <w:pPr>
              <w:ind w:right="-18"/>
              <w:rPr>
                <w:lang w:val="lt-LT"/>
              </w:rPr>
            </w:pPr>
            <w:r w:rsidRPr="00EA34AA">
              <w:rPr>
                <w:lang w:val="lt-LT"/>
              </w:rPr>
              <w:t>Garsinis aliarmo signalas</w:t>
            </w:r>
          </w:p>
          <w:p w14:paraId="0F53D7AB" w14:textId="77777777" w:rsidR="00EA34AA" w:rsidRPr="00EA34AA" w:rsidRDefault="00EA34AA" w:rsidP="009B7876">
            <w:pPr>
              <w:ind w:right="-18"/>
              <w:rPr>
                <w:lang w:val="lt-LT"/>
              </w:rPr>
            </w:pPr>
          </w:p>
        </w:tc>
        <w:tc>
          <w:tcPr>
            <w:tcW w:w="2827" w:type="pct"/>
          </w:tcPr>
          <w:p w14:paraId="1E857844" w14:textId="77777777" w:rsidR="00EA34AA" w:rsidRPr="00EA34AA" w:rsidRDefault="00EA34AA" w:rsidP="009B7876">
            <w:pPr>
              <w:rPr>
                <w:color w:val="4472C4"/>
                <w:lang w:val="lt-LT"/>
              </w:rPr>
            </w:pPr>
            <w:r w:rsidRPr="00EA34AA">
              <w:rPr>
                <w:color w:val="000000" w:themeColor="text1"/>
                <w:lang w:val="lt-LT"/>
              </w:rPr>
              <w:t>Ne mažiau 4 skirtingų garsinio signalo tonų</w:t>
            </w:r>
          </w:p>
        </w:tc>
      </w:tr>
      <w:tr w:rsidR="00EA34AA" w:rsidRPr="00EA34AA" w14:paraId="1E5937CC" w14:textId="77777777" w:rsidTr="009B7876">
        <w:tc>
          <w:tcPr>
            <w:tcW w:w="478" w:type="pct"/>
            <w:vAlign w:val="center"/>
          </w:tcPr>
          <w:p w14:paraId="61E1B3E6" w14:textId="77777777" w:rsidR="00EA34AA" w:rsidRPr="00EA34AA" w:rsidRDefault="00EA34AA" w:rsidP="00EA34AA">
            <w:pPr>
              <w:pStyle w:val="ListParagraph"/>
              <w:numPr>
                <w:ilvl w:val="0"/>
                <w:numId w:val="3"/>
              </w:numPr>
              <w:rPr>
                <w:b/>
                <w:lang w:val="lt-LT"/>
              </w:rPr>
            </w:pPr>
          </w:p>
        </w:tc>
        <w:tc>
          <w:tcPr>
            <w:tcW w:w="1695" w:type="pct"/>
          </w:tcPr>
          <w:p w14:paraId="2ABF56C0" w14:textId="77777777" w:rsidR="00EA34AA" w:rsidRPr="00EA34AA" w:rsidRDefault="00EA34AA" w:rsidP="009B7876">
            <w:pPr>
              <w:ind w:right="-18"/>
              <w:rPr>
                <w:lang w:val="lt-LT"/>
              </w:rPr>
            </w:pPr>
            <w:r w:rsidRPr="00EA34AA">
              <w:rPr>
                <w:lang w:val="lt-LT"/>
              </w:rPr>
              <w:t>Įrenginys turi turėti ne mažiau kaip 20 vertikalių aptikimo zonų</w:t>
            </w:r>
          </w:p>
        </w:tc>
        <w:tc>
          <w:tcPr>
            <w:tcW w:w="2827" w:type="pct"/>
          </w:tcPr>
          <w:p w14:paraId="096FBAAD" w14:textId="77777777" w:rsidR="00EA34AA" w:rsidRPr="00EA34AA" w:rsidRDefault="00EA34AA" w:rsidP="009B7876">
            <w:pPr>
              <w:rPr>
                <w:lang w:val="lt-LT"/>
              </w:rPr>
            </w:pPr>
            <w:r w:rsidRPr="00EA34AA">
              <w:rPr>
                <w:lang w:val="lt-LT"/>
              </w:rPr>
              <w:t>Būtina</w:t>
            </w:r>
          </w:p>
        </w:tc>
      </w:tr>
      <w:tr w:rsidR="00EA34AA" w:rsidRPr="00EA34AA" w14:paraId="6A233365" w14:textId="77777777" w:rsidTr="009B7876">
        <w:tc>
          <w:tcPr>
            <w:tcW w:w="478" w:type="pct"/>
            <w:vAlign w:val="center"/>
          </w:tcPr>
          <w:p w14:paraId="5FBE4262" w14:textId="77777777" w:rsidR="00EA34AA" w:rsidRPr="00EA34AA" w:rsidRDefault="00EA34AA" w:rsidP="00EA34AA">
            <w:pPr>
              <w:pStyle w:val="ListParagraph"/>
              <w:numPr>
                <w:ilvl w:val="0"/>
                <w:numId w:val="3"/>
              </w:numPr>
              <w:rPr>
                <w:b/>
                <w:lang w:val="lt-LT"/>
              </w:rPr>
            </w:pPr>
          </w:p>
        </w:tc>
        <w:tc>
          <w:tcPr>
            <w:tcW w:w="1695" w:type="pct"/>
          </w:tcPr>
          <w:p w14:paraId="21058910" w14:textId="77777777" w:rsidR="00EA34AA" w:rsidRPr="00EA34AA" w:rsidRDefault="00EA34AA" w:rsidP="009B7876">
            <w:pPr>
              <w:ind w:right="-18"/>
              <w:rPr>
                <w:lang w:val="lt-LT"/>
              </w:rPr>
            </w:pPr>
            <w:r w:rsidRPr="00EA34AA">
              <w:rPr>
                <w:lang w:val="lt-LT"/>
              </w:rPr>
              <w:t xml:space="preserve">Vertikalus šviesinis aliarmo zonos indikatorius </w:t>
            </w:r>
          </w:p>
        </w:tc>
        <w:tc>
          <w:tcPr>
            <w:tcW w:w="2827" w:type="pct"/>
          </w:tcPr>
          <w:p w14:paraId="6C67EE05" w14:textId="77777777" w:rsidR="00EA34AA" w:rsidRPr="00EA34AA" w:rsidRDefault="00EA34AA" w:rsidP="009B7876">
            <w:pPr>
              <w:rPr>
                <w:lang w:val="lt-LT"/>
              </w:rPr>
            </w:pPr>
            <w:r w:rsidRPr="00EA34AA">
              <w:rPr>
                <w:lang w:val="lt-LT"/>
              </w:rPr>
              <w:t>Būtinas bent ant vienos atramos</w:t>
            </w:r>
          </w:p>
        </w:tc>
      </w:tr>
      <w:tr w:rsidR="00EA34AA" w:rsidRPr="00EA34AA" w14:paraId="44F1F9F1" w14:textId="77777777" w:rsidTr="009B7876">
        <w:tc>
          <w:tcPr>
            <w:tcW w:w="478" w:type="pct"/>
            <w:vAlign w:val="center"/>
          </w:tcPr>
          <w:p w14:paraId="63779403" w14:textId="77777777" w:rsidR="00EA34AA" w:rsidRPr="00EA34AA" w:rsidRDefault="00EA34AA" w:rsidP="00EA34AA">
            <w:pPr>
              <w:pStyle w:val="ListParagraph"/>
              <w:numPr>
                <w:ilvl w:val="0"/>
                <w:numId w:val="3"/>
              </w:numPr>
              <w:rPr>
                <w:b/>
                <w:lang w:val="lt-LT"/>
              </w:rPr>
            </w:pPr>
          </w:p>
        </w:tc>
        <w:tc>
          <w:tcPr>
            <w:tcW w:w="1695" w:type="pct"/>
          </w:tcPr>
          <w:p w14:paraId="7D762D9F" w14:textId="77777777" w:rsidR="00EA34AA" w:rsidRPr="00EA34AA" w:rsidRDefault="00EA34AA" w:rsidP="009B7876">
            <w:pPr>
              <w:ind w:right="-18"/>
              <w:rPr>
                <w:lang w:val="lt-LT"/>
              </w:rPr>
            </w:pPr>
            <w:r w:rsidRPr="00EA34AA">
              <w:rPr>
                <w:lang w:val="lt-LT"/>
              </w:rPr>
              <w:t>Vertikalus šviesinis aliarmo signalas</w:t>
            </w:r>
          </w:p>
        </w:tc>
        <w:tc>
          <w:tcPr>
            <w:tcW w:w="2827" w:type="pct"/>
          </w:tcPr>
          <w:p w14:paraId="39C13A9A" w14:textId="77777777" w:rsidR="00EA34AA" w:rsidRPr="00EA34AA" w:rsidRDefault="00EA34AA" w:rsidP="009B7876">
            <w:pPr>
              <w:rPr>
                <w:lang w:val="lt-LT"/>
              </w:rPr>
            </w:pPr>
            <w:r w:rsidRPr="00EA34AA">
              <w:rPr>
                <w:lang w:val="lt-LT"/>
              </w:rPr>
              <w:t>Ne mažiau 20 vertikalių indikacinių aptikimo zonų</w:t>
            </w:r>
          </w:p>
        </w:tc>
      </w:tr>
      <w:tr w:rsidR="00EA34AA" w:rsidRPr="00EA34AA" w14:paraId="786E6203" w14:textId="77777777" w:rsidTr="009B7876">
        <w:tc>
          <w:tcPr>
            <w:tcW w:w="478" w:type="pct"/>
            <w:vAlign w:val="center"/>
          </w:tcPr>
          <w:p w14:paraId="120E5DC8" w14:textId="77777777" w:rsidR="00EA34AA" w:rsidRPr="00EA34AA" w:rsidRDefault="00EA34AA" w:rsidP="00EA34AA">
            <w:pPr>
              <w:pStyle w:val="ListParagraph"/>
              <w:numPr>
                <w:ilvl w:val="0"/>
                <w:numId w:val="3"/>
              </w:numPr>
              <w:rPr>
                <w:b/>
                <w:lang w:val="lt-LT"/>
              </w:rPr>
            </w:pPr>
          </w:p>
        </w:tc>
        <w:tc>
          <w:tcPr>
            <w:tcW w:w="1695" w:type="pct"/>
          </w:tcPr>
          <w:p w14:paraId="4C308338" w14:textId="77777777" w:rsidR="00EA34AA" w:rsidRPr="00EA34AA" w:rsidRDefault="00EA34AA" w:rsidP="009B7876">
            <w:pPr>
              <w:ind w:right="-18"/>
              <w:rPr>
                <w:lang w:val="lt-LT"/>
              </w:rPr>
            </w:pPr>
            <w:r w:rsidRPr="00EA34AA">
              <w:rPr>
                <w:lang w:val="lt-LT"/>
              </w:rPr>
              <w:t>Šviesoforas "žalia / raudona", nurodantis - galima eiti pro detektorių, ar ne</w:t>
            </w:r>
          </w:p>
        </w:tc>
        <w:tc>
          <w:tcPr>
            <w:tcW w:w="2827" w:type="pct"/>
          </w:tcPr>
          <w:p w14:paraId="7C26D2B5" w14:textId="77777777" w:rsidR="00EA34AA" w:rsidRPr="00EA34AA" w:rsidRDefault="00EA34AA" w:rsidP="009B7876">
            <w:pPr>
              <w:rPr>
                <w:lang w:val="lt-LT"/>
              </w:rPr>
            </w:pPr>
            <w:r w:rsidRPr="00EA34AA">
              <w:rPr>
                <w:lang w:val="lt-LT"/>
              </w:rPr>
              <w:t>Būtinas</w:t>
            </w:r>
          </w:p>
        </w:tc>
      </w:tr>
      <w:tr w:rsidR="00EA34AA" w:rsidRPr="00EA34AA" w14:paraId="4333EFB3" w14:textId="77777777" w:rsidTr="009B7876">
        <w:tc>
          <w:tcPr>
            <w:tcW w:w="478" w:type="pct"/>
            <w:vAlign w:val="center"/>
          </w:tcPr>
          <w:p w14:paraId="3DB2FB76" w14:textId="77777777" w:rsidR="00EA34AA" w:rsidRPr="00EA34AA" w:rsidRDefault="00EA34AA" w:rsidP="00EA34AA">
            <w:pPr>
              <w:pStyle w:val="ListParagraph"/>
              <w:numPr>
                <w:ilvl w:val="0"/>
                <w:numId w:val="3"/>
              </w:numPr>
              <w:rPr>
                <w:b/>
                <w:lang w:val="lt-LT"/>
              </w:rPr>
            </w:pPr>
          </w:p>
        </w:tc>
        <w:tc>
          <w:tcPr>
            <w:tcW w:w="1695" w:type="pct"/>
          </w:tcPr>
          <w:p w14:paraId="1665A6C6" w14:textId="77777777" w:rsidR="00EA34AA" w:rsidRPr="00EA34AA" w:rsidRDefault="00EA34AA" w:rsidP="009B7876">
            <w:pPr>
              <w:ind w:right="-18"/>
              <w:rPr>
                <w:lang w:val="lt-LT"/>
              </w:rPr>
            </w:pPr>
            <w:r w:rsidRPr="00EA34AA">
              <w:rPr>
                <w:lang w:val="lt-LT"/>
              </w:rPr>
              <w:t>Valdymo, programavimo bei indikacijos displėjus (ekranas),  dubliuojantis vertikalių indikacinių metalo aptikimo zonų funkciją bei rodantis aptikto metalo kiekio lygį</w:t>
            </w:r>
          </w:p>
        </w:tc>
        <w:tc>
          <w:tcPr>
            <w:tcW w:w="2827" w:type="pct"/>
          </w:tcPr>
          <w:p w14:paraId="54BBC9A7" w14:textId="77777777" w:rsidR="00EA34AA" w:rsidRPr="00EA34AA" w:rsidRDefault="00EA34AA" w:rsidP="009B7876">
            <w:pPr>
              <w:rPr>
                <w:lang w:val="lt-LT"/>
              </w:rPr>
            </w:pPr>
            <w:r w:rsidRPr="00EA34AA">
              <w:rPr>
                <w:lang w:val="lt-LT"/>
              </w:rPr>
              <w:t>Būtinas</w:t>
            </w:r>
          </w:p>
        </w:tc>
      </w:tr>
      <w:tr w:rsidR="00EA34AA" w:rsidRPr="00EA34AA" w14:paraId="27A271A2" w14:textId="77777777" w:rsidTr="009B7876">
        <w:tc>
          <w:tcPr>
            <w:tcW w:w="478" w:type="pct"/>
            <w:vAlign w:val="center"/>
          </w:tcPr>
          <w:p w14:paraId="3A7F6C50" w14:textId="77777777" w:rsidR="00EA34AA" w:rsidRPr="00EA34AA" w:rsidRDefault="00EA34AA" w:rsidP="00EA34AA">
            <w:pPr>
              <w:pStyle w:val="ListParagraph"/>
              <w:numPr>
                <w:ilvl w:val="0"/>
                <w:numId w:val="3"/>
              </w:numPr>
              <w:rPr>
                <w:b/>
                <w:lang w:val="lt-LT"/>
              </w:rPr>
            </w:pPr>
          </w:p>
        </w:tc>
        <w:tc>
          <w:tcPr>
            <w:tcW w:w="1695" w:type="pct"/>
          </w:tcPr>
          <w:p w14:paraId="456AFB13" w14:textId="77777777" w:rsidR="00EA34AA" w:rsidRPr="00EA34AA" w:rsidRDefault="00EA34AA" w:rsidP="009B7876">
            <w:pPr>
              <w:ind w:right="-18"/>
              <w:rPr>
                <w:lang w:val="lt-LT"/>
              </w:rPr>
            </w:pPr>
            <w:r w:rsidRPr="00EA34AA">
              <w:rPr>
                <w:lang w:val="lt-LT"/>
              </w:rPr>
              <w:t xml:space="preserve">Darbo temperatūra, </w:t>
            </w:r>
          </w:p>
          <w:p w14:paraId="342EE2B7" w14:textId="77777777" w:rsidR="00EA34AA" w:rsidRPr="00EA34AA" w:rsidRDefault="00EA34AA" w:rsidP="009B7876">
            <w:pPr>
              <w:ind w:right="-18"/>
              <w:rPr>
                <w:lang w:val="lt-LT"/>
              </w:rPr>
            </w:pPr>
          </w:p>
        </w:tc>
        <w:tc>
          <w:tcPr>
            <w:tcW w:w="2827" w:type="pct"/>
          </w:tcPr>
          <w:p w14:paraId="05BC6605" w14:textId="77777777" w:rsidR="00EA34AA" w:rsidRPr="00EA34AA" w:rsidRDefault="00EA34AA" w:rsidP="009B7876">
            <w:pPr>
              <w:rPr>
                <w:lang w:val="lt-LT"/>
              </w:rPr>
            </w:pPr>
            <w:r w:rsidRPr="00EA34AA">
              <w:rPr>
                <w:lang w:val="lt-LT"/>
              </w:rPr>
              <w:lastRenderedPageBreak/>
              <w:t xml:space="preserve">Nuo -20 iki +55 </w:t>
            </w:r>
            <w:r w:rsidRPr="00EA34AA">
              <w:rPr>
                <w:vertAlign w:val="superscript"/>
                <w:lang w:val="lt-LT"/>
              </w:rPr>
              <w:t>o</w:t>
            </w:r>
            <w:r w:rsidRPr="00EA34AA">
              <w:rPr>
                <w:lang w:val="lt-LT"/>
              </w:rPr>
              <w:t>C</w:t>
            </w:r>
          </w:p>
        </w:tc>
      </w:tr>
      <w:tr w:rsidR="00EA34AA" w:rsidRPr="00EA34AA" w14:paraId="363E1C25" w14:textId="77777777" w:rsidTr="009B7876">
        <w:tc>
          <w:tcPr>
            <w:tcW w:w="478" w:type="pct"/>
            <w:vAlign w:val="center"/>
          </w:tcPr>
          <w:p w14:paraId="1DEE26F3" w14:textId="77777777" w:rsidR="00EA34AA" w:rsidRPr="00EA34AA" w:rsidRDefault="00EA34AA" w:rsidP="00EA34AA">
            <w:pPr>
              <w:pStyle w:val="ListParagraph"/>
              <w:numPr>
                <w:ilvl w:val="0"/>
                <w:numId w:val="3"/>
              </w:numPr>
              <w:rPr>
                <w:b/>
                <w:lang w:val="lt-LT"/>
              </w:rPr>
            </w:pPr>
          </w:p>
        </w:tc>
        <w:tc>
          <w:tcPr>
            <w:tcW w:w="1695" w:type="pct"/>
          </w:tcPr>
          <w:p w14:paraId="5458FC9C" w14:textId="77777777" w:rsidR="00EA34AA" w:rsidRPr="00EA34AA" w:rsidRDefault="00EA34AA" w:rsidP="009B7876">
            <w:pPr>
              <w:ind w:right="-18"/>
              <w:rPr>
                <w:lang w:val="lt-LT"/>
              </w:rPr>
            </w:pPr>
            <w:r w:rsidRPr="00EA34AA">
              <w:rPr>
                <w:lang w:val="lt-LT"/>
              </w:rPr>
              <w:t>Maitinimo įtampa</w:t>
            </w:r>
          </w:p>
          <w:p w14:paraId="74DFDFAF" w14:textId="77777777" w:rsidR="00EA34AA" w:rsidRPr="00EA34AA" w:rsidRDefault="00EA34AA" w:rsidP="009B7876">
            <w:pPr>
              <w:ind w:right="-18"/>
              <w:rPr>
                <w:lang w:val="lt-LT"/>
              </w:rPr>
            </w:pPr>
          </w:p>
        </w:tc>
        <w:tc>
          <w:tcPr>
            <w:tcW w:w="2827" w:type="pct"/>
          </w:tcPr>
          <w:p w14:paraId="4B9535CF" w14:textId="77777777" w:rsidR="00EA34AA" w:rsidRPr="00EA34AA" w:rsidRDefault="00EA34AA" w:rsidP="009B7876">
            <w:pPr>
              <w:rPr>
                <w:lang w:val="lt-LT"/>
              </w:rPr>
            </w:pPr>
            <w:r w:rsidRPr="00EA34AA">
              <w:rPr>
                <w:lang w:val="lt-LT"/>
              </w:rPr>
              <w:t>230VAC 50Hz</w:t>
            </w:r>
          </w:p>
        </w:tc>
      </w:tr>
      <w:tr w:rsidR="00EA34AA" w:rsidRPr="00EA34AA" w14:paraId="0584BDAE" w14:textId="77777777" w:rsidTr="009B7876">
        <w:tc>
          <w:tcPr>
            <w:tcW w:w="478" w:type="pct"/>
            <w:vAlign w:val="center"/>
          </w:tcPr>
          <w:p w14:paraId="07CA7809" w14:textId="77777777" w:rsidR="00EA34AA" w:rsidRPr="00EA34AA" w:rsidRDefault="00EA34AA" w:rsidP="00EA34AA">
            <w:pPr>
              <w:pStyle w:val="ListParagraph"/>
              <w:numPr>
                <w:ilvl w:val="0"/>
                <w:numId w:val="3"/>
              </w:numPr>
              <w:rPr>
                <w:b/>
                <w:lang w:val="lt-LT"/>
              </w:rPr>
            </w:pPr>
          </w:p>
        </w:tc>
        <w:tc>
          <w:tcPr>
            <w:tcW w:w="1695" w:type="pct"/>
          </w:tcPr>
          <w:p w14:paraId="7D6B9468" w14:textId="77777777" w:rsidR="00EA34AA" w:rsidRPr="00EA34AA" w:rsidRDefault="00EA34AA" w:rsidP="009B7876">
            <w:pPr>
              <w:rPr>
                <w:lang w:val="lt-LT"/>
              </w:rPr>
            </w:pPr>
            <w:r w:rsidRPr="00EA34AA">
              <w:rPr>
                <w:lang w:val="lt-LT"/>
              </w:rPr>
              <w:t>Bevielis distancinis valdymo pultas (turintis priėjimo kodą) ir visų funkcijų programavimo galimybę</w:t>
            </w:r>
          </w:p>
        </w:tc>
        <w:tc>
          <w:tcPr>
            <w:tcW w:w="2827" w:type="pct"/>
          </w:tcPr>
          <w:p w14:paraId="23296141" w14:textId="77777777" w:rsidR="00EA34AA" w:rsidRPr="00EA34AA" w:rsidRDefault="00EA34AA" w:rsidP="009B7876">
            <w:pPr>
              <w:rPr>
                <w:lang w:val="lt-LT"/>
              </w:rPr>
            </w:pPr>
            <w:r w:rsidRPr="00EA34AA">
              <w:rPr>
                <w:lang w:val="lt-LT"/>
              </w:rPr>
              <w:t>Būtinas</w:t>
            </w:r>
          </w:p>
        </w:tc>
      </w:tr>
      <w:tr w:rsidR="00EA34AA" w:rsidRPr="00EA34AA" w14:paraId="751820DD" w14:textId="77777777" w:rsidTr="009B7876">
        <w:tc>
          <w:tcPr>
            <w:tcW w:w="478" w:type="pct"/>
            <w:vAlign w:val="center"/>
          </w:tcPr>
          <w:p w14:paraId="506D5F20" w14:textId="77777777" w:rsidR="00EA34AA" w:rsidRPr="00EA34AA" w:rsidRDefault="00EA34AA" w:rsidP="00EA34AA">
            <w:pPr>
              <w:pStyle w:val="ListParagraph"/>
              <w:numPr>
                <w:ilvl w:val="0"/>
                <w:numId w:val="3"/>
              </w:numPr>
              <w:rPr>
                <w:b/>
                <w:lang w:val="lt-LT"/>
              </w:rPr>
            </w:pPr>
          </w:p>
        </w:tc>
        <w:tc>
          <w:tcPr>
            <w:tcW w:w="1695" w:type="pct"/>
          </w:tcPr>
          <w:p w14:paraId="0EE74132" w14:textId="77777777" w:rsidR="00EA34AA" w:rsidRPr="00EA34AA" w:rsidRDefault="00EA34AA" w:rsidP="009B7876">
            <w:pPr>
              <w:rPr>
                <w:lang w:val="lt-LT"/>
              </w:rPr>
            </w:pPr>
            <w:r w:rsidRPr="00EA34AA">
              <w:rPr>
                <w:lang w:val="lt-LT"/>
              </w:rPr>
              <w:t>Turi atitikti standartų reikalavimus</w:t>
            </w:r>
          </w:p>
        </w:tc>
        <w:tc>
          <w:tcPr>
            <w:tcW w:w="2827" w:type="pct"/>
          </w:tcPr>
          <w:p w14:paraId="58BCC439" w14:textId="77777777" w:rsidR="00EA34AA" w:rsidRPr="00EA34AA" w:rsidRDefault="00EA34AA" w:rsidP="009B7876">
            <w:pPr>
              <w:rPr>
                <w:color w:val="141437"/>
                <w:lang w:val="lt-LT"/>
              </w:rPr>
            </w:pPr>
            <w:hyperlink r:id="rId5" w:history="1">
              <w:r w:rsidRPr="00EA34AA">
                <w:rPr>
                  <w:rStyle w:val="Hyperlink"/>
                  <w:lang w:val="lt-LT"/>
                </w:rPr>
                <w:t>EN 61000-6-1:20</w:t>
              </w:r>
            </w:hyperlink>
            <w:r w:rsidRPr="00EA34AA">
              <w:rPr>
                <w:color w:val="141437"/>
                <w:lang w:val="lt-LT"/>
              </w:rPr>
              <w:t>19</w:t>
            </w:r>
          </w:p>
          <w:p w14:paraId="5CC0AD3A" w14:textId="77777777" w:rsidR="00EA34AA" w:rsidRPr="00EA34AA" w:rsidRDefault="00EA34AA" w:rsidP="009B7876">
            <w:pPr>
              <w:rPr>
                <w:rStyle w:val="Hyperlink"/>
                <w:lang w:val="lt-LT"/>
              </w:rPr>
            </w:pPr>
            <w:hyperlink r:id="rId6" w:history="1">
              <w:r w:rsidRPr="00EA34AA">
                <w:rPr>
                  <w:rStyle w:val="Hyperlink"/>
                  <w:lang w:val="lt-LT"/>
                </w:rPr>
                <w:t>EN 61000-6-3:20</w:t>
              </w:r>
            </w:hyperlink>
            <w:r w:rsidRPr="00EA34AA">
              <w:rPr>
                <w:rStyle w:val="Hyperlink"/>
                <w:lang w:val="lt-LT"/>
              </w:rPr>
              <w:t>21</w:t>
            </w:r>
          </w:p>
          <w:p w14:paraId="66C260D6" w14:textId="2D9E4D4D" w:rsidR="00EA34AA" w:rsidRPr="00EA34AA" w:rsidRDefault="00EA34AA" w:rsidP="009B7876">
            <w:pPr>
              <w:rPr>
                <w:color w:val="141437"/>
                <w:lang w:val="lt-LT"/>
              </w:rPr>
            </w:pPr>
            <w:r w:rsidRPr="00EA34AA">
              <w:rPr>
                <w:color w:val="141437"/>
                <w:lang w:val="lt-LT"/>
              </w:rPr>
              <w:t>EN 61010-1:2010/A1:201</w:t>
            </w:r>
            <w:r>
              <w:rPr>
                <w:color w:val="141437"/>
                <w:lang w:val="lt-LT"/>
              </w:rPr>
              <w:t xml:space="preserve">9 </w:t>
            </w:r>
          </w:p>
          <w:p w14:paraId="4A09D89E" w14:textId="77777777" w:rsidR="00EA34AA" w:rsidRPr="00EA34AA" w:rsidRDefault="00EA34AA" w:rsidP="009B7876">
            <w:pPr>
              <w:rPr>
                <w:rStyle w:val="Hyperlink"/>
                <w:lang w:val="lt-LT"/>
              </w:rPr>
            </w:pPr>
            <w:r w:rsidRPr="00EA34AA">
              <w:rPr>
                <w:rStyle w:val="Hyperlink"/>
                <w:lang w:val="lt-LT"/>
              </w:rPr>
              <w:t>IEEE C95.1-2019</w:t>
            </w:r>
          </w:p>
          <w:p w14:paraId="76C80E4C" w14:textId="77777777" w:rsidR="00EA34AA" w:rsidRPr="00EA34AA" w:rsidRDefault="00EA34AA" w:rsidP="009B7876">
            <w:pPr>
              <w:rPr>
                <w:rStyle w:val="Hyperlink"/>
                <w:lang w:val="lt-LT"/>
              </w:rPr>
            </w:pPr>
          </w:p>
          <w:p w14:paraId="73D95ED6" w14:textId="77777777" w:rsidR="00EA34AA" w:rsidRPr="00EA34AA" w:rsidRDefault="00EA34AA" w:rsidP="009B7876">
            <w:pPr>
              <w:rPr>
                <w:b/>
                <w:lang w:val="lt-LT"/>
              </w:rPr>
            </w:pPr>
          </w:p>
        </w:tc>
      </w:tr>
      <w:tr w:rsidR="00EA34AA" w:rsidRPr="00EA34AA" w14:paraId="16EBF5DD" w14:textId="77777777" w:rsidTr="009B7876">
        <w:tc>
          <w:tcPr>
            <w:tcW w:w="478" w:type="pct"/>
            <w:vAlign w:val="center"/>
          </w:tcPr>
          <w:p w14:paraId="39B1B87E" w14:textId="77777777" w:rsidR="00EA34AA" w:rsidRPr="00EA34AA" w:rsidRDefault="00EA34AA" w:rsidP="00EA34AA">
            <w:pPr>
              <w:pStyle w:val="ListParagraph"/>
              <w:numPr>
                <w:ilvl w:val="0"/>
                <w:numId w:val="3"/>
              </w:numPr>
              <w:rPr>
                <w:b/>
                <w:lang w:val="lt-LT"/>
              </w:rPr>
            </w:pPr>
          </w:p>
        </w:tc>
        <w:tc>
          <w:tcPr>
            <w:tcW w:w="1695" w:type="pct"/>
          </w:tcPr>
          <w:p w14:paraId="71FF9D80" w14:textId="77777777" w:rsidR="00EA34AA" w:rsidRPr="00EA34AA" w:rsidRDefault="00EA34AA" w:rsidP="009B7876">
            <w:pPr>
              <w:rPr>
                <w:lang w:val="lt-LT"/>
              </w:rPr>
            </w:pPr>
            <w:r w:rsidRPr="00EA34AA">
              <w:rPr>
                <w:lang w:val="lt-LT"/>
              </w:rPr>
              <w:t>Apsauga aplinkos poveikiui</w:t>
            </w:r>
          </w:p>
        </w:tc>
        <w:tc>
          <w:tcPr>
            <w:tcW w:w="2827" w:type="pct"/>
          </w:tcPr>
          <w:p w14:paraId="764A2EA2" w14:textId="77777777" w:rsidR="00EA34AA" w:rsidRPr="00EA34AA" w:rsidRDefault="00EA34AA" w:rsidP="009B7876">
            <w:pPr>
              <w:rPr>
                <w:color w:val="000000"/>
                <w:lang w:val="lt-LT"/>
              </w:rPr>
            </w:pPr>
            <w:r w:rsidRPr="00EA34AA">
              <w:rPr>
                <w:color w:val="000000"/>
                <w:lang w:val="lt-LT"/>
              </w:rPr>
              <w:t>IP 65</w:t>
            </w:r>
          </w:p>
        </w:tc>
      </w:tr>
      <w:tr w:rsidR="00EA34AA" w:rsidRPr="00EA34AA" w14:paraId="498FD5A6" w14:textId="77777777" w:rsidTr="009B7876">
        <w:tc>
          <w:tcPr>
            <w:tcW w:w="478" w:type="pct"/>
            <w:vAlign w:val="center"/>
          </w:tcPr>
          <w:p w14:paraId="7543E03F" w14:textId="77777777" w:rsidR="00EA34AA" w:rsidRPr="00EA34AA" w:rsidRDefault="00EA34AA" w:rsidP="00EA34AA">
            <w:pPr>
              <w:pStyle w:val="ListParagraph"/>
              <w:numPr>
                <w:ilvl w:val="0"/>
                <w:numId w:val="3"/>
              </w:numPr>
              <w:rPr>
                <w:b/>
                <w:lang w:val="lt-LT"/>
              </w:rPr>
            </w:pPr>
          </w:p>
        </w:tc>
        <w:tc>
          <w:tcPr>
            <w:tcW w:w="1695" w:type="pct"/>
          </w:tcPr>
          <w:p w14:paraId="47FEBD3C" w14:textId="77777777" w:rsidR="00EA34AA" w:rsidRPr="00EA34AA" w:rsidRDefault="00EA34AA" w:rsidP="009B7876">
            <w:pPr>
              <w:rPr>
                <w:lang w:val="lt-LT"/>
              </w:rPr>
            </w:pPr>
            <w:r w:rsidRPr="00EA34AA">
              <w:rPr>
                <w:lang w:val="lt-LT"/>
              </w:rPr>
              <w:t>Atskiras zonų jautrumo reguliavimas</w:t>
            </w:r>
          </w:p>
        </w:tc>
        <w:tc>
          <w:tcPr>
            <w:tcW w:w="2827" w:type="pct"/>
          </w:tcPr>
          <w:p w14:paraId="12AE7374" w14:textId="77777777" w:rsidR="00EA34AA" w:rsidRPr="00EA34AA" w:rsidRDefault="00EA34AA" w:rsidP="009B7876">
            <w:pPr>
              <w:rPr>
                <w:lang w:val="lt-LT"/>
              </w:rPr>
            </w:pPr>
            <w:r w:rsidRPr="00EA34AA">
              <w:rPr>
                <w:lang w:val="lt-LT"/>
              </w:rPr>
              <w:t>Būtina galimybė reguliuoti ne mažiau kaip 8 zonas</w:t>
            </w:r>
          </w:p>
        </w:tc>
      </w:tr>
      <w:tr w:rsidR="00EA34AA" w:rsidRPr="00EA34AA" w14:paraId="5ADCC072" w14:textId="77777777" w:rsidTr="009B7876">
        <w:tc>
          <w:tcPr>
            <w:tcW w:w="478" w:type="pct"/>
            <w:vAlign w:val="center"/>
          </w:tcPr>
          <w:p w14:paraId="2E041719" w14:textId="77777777" w:rsidR="00EA34AA" w:rsidRPr="00EA34AA" w:rsidRDefault="00EA34AA" w:rsidP="00EA34AA">
            <w:pPr>
              <w:pStyle w:val="ListParagraph"/>
              <w:numPr>
                <w:ilvl w:val="0"/>
                <w:numId w:val="3"/>
              </w:numPr>
              <w:rPr>
                <w:b/>
                <w:lang w:val="lt-LT"/>
              </w:rPr>
            </w:pPr>
          </w:p>
        </w:tc>
        <w:tc>
          <w:tcPr>
            <w:tcW w:w="1695" w:type="pct"/>
          </w:tcPr>
          <w:p w14:paraId="6DF6F318" w14:textId="77777777" w:rsidR="00EA34AA" w:rsidRPr="00EA34AA" w:rsidRDefault="00EA34AA" w:rsidP="009B7876">
            <w:pPr>
              <w:rPr>
                <w:lang w:val="lt-LT"/>
              </w:rPr>
            </w:pPr>
            <w:r w:rsidRPr="00EA34AA">
              <w:rPr>
                <w:lang w:val="lt-LT"/>
              </w:rPr>
              <w:t>Praeinančių žmonių skaitiklis</w:t>
            </w:r>
          </w:p>
        </w:tc>
        <w:tc>
          <w:tcPr>
            <w:tcW w:w="2827" w:type="pct"/>
          </w:tcPr>
          <w:p w14:paraId="35D8D7D4" w14:textId="77777777" w:rsidR="00EA34AA" w:rsidRPr="00EA34AA" w:rsidRDefault="00EA34AA" w:rsidP="009B7876">
            <w:pPr>
              <w:rPr>
                <w:lang w:val="lt-LT"/>
              </w:rPr>
            </w:pPr>
            <w:r w:rsidRPr="00EA34AA">
              <w:rPr>
                <w:lang w:val="lt-LT"/>
              </w:rPr>
              <w:t>Būtinas</w:t>
            </w:r>
          </w:p>
        </w:tc>
      </w:tr>
      <w:tr w:rsidR="00EA34AA" w:rsidRPr="00EA34AA" w14:paraId="15792FF7" w14:textId="77777777" w:rsidTr="009B7876">
        <w:tc>
          <w:tcPr>
            <w:tcW w:w="478" w:type="pct"/>
            <w:vAlign w:val="center"/>
          </w:tcPr>
          <w:p w14:paraId="61CFCCD9" w14:textId="77777777" w:rsidR="00EA34AA" w:rsidRPr="00EA34AA" w:rsidRDefault="00EA34AA" w:rsidP="00EA34AA">
            <w:pPr>
              <w:pStyle w:val="ListParagraph"/>
              <w:numPr>
                <w:ilvl w:val="0"/>
                <w:numId w:val="3"/>
              </w:numPr>
              <w:rPr>
                <w:b/>
                <w:lang w:val="lt-LT"/>
              </w:rPr>
            </w:pPr>
          </w:p>
        </w:tc>
        <w:tc>
          <w:tcPr>
            <w:tcW w:w="1695" w:type="pct"/>
          </w:tcPr>
          <w:p w14:paraId="7BF28F33" w14:textId="77777777" w:rsidR="00EA34AA" w:rsidRPr="00EA34AA" w:rsidRDefault="00EA34AA" w:rsidP="009B7876">
            <w:pPr>
              <w:rPr>
                <w:lang w:val="lt-LT"/>
              </w:rPr>
            </w:pPr>
            <w:r w:rsidRPr="00EA34AA">
              <w:rPr>
                <w:lang w:val="lt-LT"/>
              </w:rPr>
              <w:t>Keičiamas metalo detektoriaus darbo dažnis</w:t>
            </w:r>
          </w:p>
        </w:tc>
        <w:tc>
          <w:tcPr>
            <w:tcW w:w="2827" w:type="pct"/>
          </w:tcPr>
          <w:p w14:paraId="236C86B9" w14:textId="77777777" w:rsidR="00EA34AA" w:rsidRPr="00EA34AA" w:rsidRDefault="00EA34AA" w:rsidP="009B7876">
            <w:pPr>
              <w:rPr>
                <w:lang w:val="lt-LT"/>
              </w:rPr>
            </w:pPr>
            <w:r w:rsidRPr="00EA34AA">
              <w:rPr>
                <w:lang w:val="lt-LT"/>
              </w:rPr>
              <w:t>Ne mažiau, kaip trys dažnių kanalai</w:t>
            </w:r>
          </w:p>
        </w:tc>
      </w:tr>
      <w:tr w:rsidR="00EA34AA" w:rsidRPr="00EA34AA" w14:paraId="51BE6D5D" w14:textId="77777777" w:rsidTr="009B7876">
        <w:tc>
          <w:tcPr>
            <w:tcW w:w="478" w:type="pct"/>
            <w:vAlign w:val="center"/>
          </w:tcPr>
          <w:p w14:paraId="6531D884" w14:textId="77777777" w:rsidR="00EA34AA" w:rsidRPr="00EA34AA" w:rsidRDefault="00EA34AA" w:rsidP="00EA34AA">
            <w:pPr>
              <w:pStyle w:val="ListParagraph"/>
              <w:numPr>
                <w:ilvl w:val="0"/>
                <w:numId w:val="3"/>
              </w:numPr>
              <w:rPr>
                <w:b/>
                <w:lang w:val="lt-LT"/>
              </w:rPr>
            </w:pPr>
          </w:p>
        </w:tc>
        <w:tc>
          <w:tcPr>
            <w:tcW w:w="1695" w:type="pct"/>
          </w:tcPr>
          <w:p w14:paraId="444C2C39" w14:textId="77777777" w:rsidR="00EA34AA" w:rsidRPr="00EA34AA" w:rsidRDefault="00EA34AA" w:rsidP="009B7876">
            <w:pPr>
              <w:rPr>
                <w:lang w:val="lt-LT"/>
              </w:rPr>
            </w:pPr>
            <w:r w:rsidRPr="00EA34AA">
              <w:rPr>
                <w:lang w:val="lt-LT"/>
              </w:rPr>
              <w:t>Aptikimo programos su skirtingu jautrumu atitinkamiems metalams</w:t>
            </w:r>
          </w:p>
        </w:tc>
        <w:tc>
          <w:tcPr>
            <w:tcW w:w="2827" w:type="pct"/>
          </w:tcPr>
          <w:p w14:paraId="3949729B" w14:textId="77777777" w:rsidR="00EA34AA" w:rsidRPr="00EA34AA" w:rsidRDefault="00EA34AA" w:rsidP="009B7876">
            <w:pPr>
              <w:rPr>
                <w:lang w:val="lt-LT"/>
              </w:rPr>
            </w:pPr>
            <w:r w:rsidRPr="00EA34AA">
              <w:rPr>
                <w:lang w:val="lt-LT"/>
              </w:rPr>
              <w:t>Būtinos</w:t>
            </w:r>
          </w:p>
        </w:tc>
      </w:tr>
      <w:tr w:rsidR="00EA34AA" w:rsidRPr="00EA34AA" w14:paraId="1C9E2312" w14:textId="77777777" w:rsidTr="009B7876">
        <w:tc>
          <w:tcPr>
            <w:tcW w:w="478" w:type="pct"/>
            <w:vAlign w:val="center"/>
          </w:tcPr>
          <w:p w14:paraId="11766673" w14:textId="77777777" w:rsidR="00EA34AA" w:rsidRPr="00EA34AA" w:rsidRDefault="00EA34AA" w:rsidP="00EA34AA">
            <w:pPr>
              <w:pStyle w:val="ListParagraph"/>
              <w:numPr>
                <w:ilvl w:val="0"/>
                <w:numId w:val="3"/>
              </w:numPr>
              <w:rPr>
                <w:b/>
                <w:lang w:val="lt-LT"/>
              </w:rPr>
            </w:pPr>
          </w:p>
        </w:tc>
        <w:tc>
          <w:tcPr>
            <w:tcW w:w="1695" w:type="pct"/>
          </w:tcPr>
          <w:p w14:paraId="0644FF34" w14:textId="77777777" w:rsidR="00EA34AA" w:rsidRPr="00EA34AA" w:rsidRDefault="00EA34AA" w:rsidP="009B7876">
            <w:pPr>
              <w:rPr>
                <w:lang w:val="lt-LT"/>
              </w:rPr>
            </w:pPr>
            <w:r w:rsidRPr="00EA34AA">
              <w:rPr>
                <w:lang w:val="lt-LT"/>
              </w:rPr>
              <w:t>Pastovi automatinė prietaiso savi diagnostika</w:t>
            </w:r>
          </w:p>
        </w:tc>
        <w:tc>
          <w:tcPr>
            <w:tcW w:w="2827" w:type="pct"/>
          </w:tcPr>
          <w:p w14:paraId="1FFF34ED" w14:textId="77777777" w:rsidR="00EA34AA" w:rsidRPr="00EA34AA" w:rsidRDefault="00EA34AA" w:rsidP="009B7876">
            <w:pPr>
              <w:rPr>
                <w:lang w:val="lt-LT"/>
              </w:rPr>
            </w:pPr>
            <w:r w:rsidRPr="00EA34AA">
              <w:rPr>
                <w:lang w:val="lt-LT"/>
              </w:rPr>
              <w:t>Būtina</w:t>
            </w:r>
          </w:p>
        </w:tc>
      </w:tr>
      <w:tr w:rsidR="00EA34AA" w:rsidRPr="00EA34AA" w14:paraId="3537F77B" w14:textId="77777777" w:rsidTr="009B7876">
        <w:tc>
          <w:tcPr>
            <w:tcW w:w="478" w:type="pct"/>
            <w:vAlign w:val="center"/>
          </w:tcPr>
          <w:p w14:paraId="79B41B23" w14:textId="77777777" w:rsidR="00EA34AA" w:rsidRPr="00EA34AA" w:rsidRDefault="00EA34AA" w:rsidP="00EA34AA">
            <w:pPr>
              <w:pStyle w:val="ListParagraph"/>
              <w:numPr>
                <w:ilvl w:val="0"/>
                <w:numId w:val="3"/>
              </w:numPr>
              <w:rPr>
                <w:b/>
                <w:lang w:val="lt-LT"/>
              </w:rPr>
            </w:pPr>
          </w:p>
        </w:tc>
        <w:tc>
          <w:tcPr>
            <w:tcW w:w="1695" w:type="pct"/>
          </w:tcPr>
          <w:p w14:paraId="0D82175D" w14:textId="77777777" w:rsidR="00EA34AA" w:rsidRPr="00EA34AA" w:rsidRDefault="00EA34AA" w:rsidP="009B7876">
            <w:pPr>
              <w:rPr>
                <w:lang w:val="lt-LT"/>
              </w:rPr>
            </w:pPr>
            <w:r w:rsidRPr="00EA34AA">
              <w:rPr>
                <w:lang w:val="lt-LT"/>
              </w:rPr>
              <w:t>Darbo trukmė autonominiame režime, dingus elektros tiekimui tinkle (iš vidinių akumuliatorių)</w:t>
            </w:r>
          </w:p>
        </w:tc>
        <w:tc>
          <w:tcPr>
            <w:tcW w:w="2827" w:type="pct"/>
          </w:tcPr>
          <w:p w14:paraId="52C6F1D2" w14:textId="77777777" w:rsidR="00EA34AA" w:rsidRPr="00EA34AA" w:rsidRDefault="00EA34AA" w:rsidP="009B7876">
            <w:pPr>
              <w:rPr>
                <w:lang w:val="lt-LT"/>
              </w:rPr>
            </w:pPr>
            <w:r w:rsidRPr="00EA34AA">
              <w:rPr>
                <w:lang w:val="lt-LT"/>
              </w:rPr>
              <w:t>Ne mažiau 6 val. Akumuliatoriai privalo būti integruoti į įrenginio korpusą</w:t>
            </w:r>
          </w:p>
        </w:tc>
      </w:tr>
      <w:tr w:rsidR="00EA34AA" w:rsidRPr="00EA34AA" w14:paraId="04892AA4" w14:textId="77777777" w:rsidTr="009B7876">
        <w:tc>
          <w:tcPr>
            <w:tcW w:w="478" w:type="pct"/>
            <w:vAlign w:val="center"/>
          </w:tcPr>
          <w:p w14:paraId="3F1DFCA1" w14:textId="77777777" w:rsidR="00EA34AA" w:rsidRPr="00EA34AA" w:rsidRDefault="00EA34AA" w:rsidP="00EA34AA">
            <w:pPr>
              <w:pStyle w:val="ListParagraph"/>
              <w:numPr>
                <w:ilvl w:val="0"/>
                <w:numId w:val="3"/>
              </w:numPr>
              <w:rPr>
                <w:b/>
                <w:lang w:val="lt-LT"/>
              </w:rPr>
            </w:pPr>
          </w:p>
        </w:tc>
        <w:tc>
          <w:tcPr>
            <w:tcW w:w="1695" w:type="pct"/>
          </w:tcPr>
          <w:p w14:paraId="7C71893F" w14:textId="77777777" w:rsidR="00EA34AA" w:rsidRPr="00EA34AA" w:rsidRDefault="00EA34AA" w:rsidP="009B7876">
            <w:pPr>
              <w:rPr>
                <w:lang w:val="lt-LT"/>
              </w:rPr>
            </w:pPr>
            <w:r w:rsidRPr="00EA34AA">
              <w:rPr>
                <w:lang w:val="lt-LT"/>
              </w:rPr>
              <w:t>Prietaisų statymas vienas šalia kito (šonas prie šono) neturi įtakoti greta esančių metalo detektorių veikimo</w:t>
            </w:r>
          </w:p>
        </w:tc>
        <w:tc>
          <w:tcPr>
            <w:tcW w:w="2827" w:type="pct"/>
          </w:tcPr>
          <w:p w14:paraId="2AAB3125" w14:textId="77777777" w:rsidR="00EA34AA" w:rsidRPr="00EA34AA" w:rsidRDefault="00EA34AA" w:rsidP="009B7876">
            <w:pPr>
              <w:rPr>
                <w:lang w:val="lt-LT"/>
              </w:rPr>
            </w:pPr>
            <w:r w:rsidRPr="00EA34AA">
              <w:rPr>
                <w:lang w:val="lt-LT"/>
              </w:rPr>
              <w:t>Atstumas tarp prietaisų ne didesnis kaip 20 cm. Privalo veikti tinkamai be sinchronizacijos kabelio</w:t>
            </w:r>
          </w:p>
        </w:tc>
      </w:tr>
      <w:tr w:rsidR="00EA34AA" w:rsidRPr="00EA34AA" w14:paraId="107B83D8" w14:textId="77777777" w:rsidTr="009B7876">
        <w:tc>
          <w:tcPr>
            <w:tcW w:w="478" w:type="pct"/>
            <w:vAlign w:val="center"/>
          </w:tcPr>
          <w:p w14:paraId="1D359306" w14:textId="77777777" w:rsidR="00EA34AA" w:rsidRPr="00EA34AA" w:rsidRDefault="00EA34AA" w:rsidP="00EA34AA">
            <w:pPr>
              <w:pStyle w:val="ListParagraph"/>
              <w:numPr>
                <w:ilvl w:val="0"/>
                <w:numId w:val="3"/>
              </w:numPr>
              <w:rPr>
                <w:b/>
                <w:lang w:val="lt-LT"/>
              </w:rPr>
            </w:pPr>
          </w:p>
        </w:tc>
        <w:tc>
          <w:tcPr>
            <w:tcW w:w="1695" w:type="pct"/>
          </w:tcPr>
          <w:p w14:paraId="2B55FE8F" w14:textId="77777777" w:rsidR="00EA34AA" w:rsidRPr="00EA34AA" w:rsidRDefault="00EA34AA" w:rsidP="009B7876">
            <w:pPr>
              <w:rPr>
                <w:lang w:val="lt-LT"/>
              </w:rPr>
            </w:pPr>
            <w:r w:rsidRPr="00EA34AA">
              <w:rPr>
                <w:lang w:val="lt-LT"/>
              </w:rPr>
              <w:t>Galimybė imituoti aliarmą (klaidingų aliarmų pateikimo funkcija)</w:t>
            </w:r>
          </w:p>
        </w:tc>
        <w:tc>
          <w:tcPr>
            <w:tcW w:w="2827" w:type="pct"/>
          </w:tcPr>
          <w:p w14:paraId="1D138254" w14:textId="77777777" w:rsidR="00EA34AA" w:rsidRPr="00EA34AA" w:rsidRDefault="00EA34AA" w:rsidP="009B7876">
            <w:pPr>
              <w:rPr>
                <w:lang w:val="lt-LT"/>
              </w:rPr>
            </w:pPr>
            <w:r w:rsidRPr="00EA34AA">
              <w:rPr>
                <w:lang w:val="lt-LT"/>
              </w:rPr>
              <w:t>Būtina</w:t>
            </w:r>
          </w:p>
        </w:tc>
      </w:tr>
      <w:tr w:rsidR="00EA34AA" w:rsidRPr="00EA34AA" w14:paraId="6F4EE0C3" w14:textId="77777777" w:rsidTr="009B7876">
        <w:tc>
          <w:tcPr>
            <w:tcW w:w="478" w:type="pct"/>
            <w:vAlign w:val="center"/>
          </w:tcPr>
          <w:p w14:paraId="6D7DB934" w14:textId="77777777" w:rsidR="00EA34AA" w:rsidRPr="00EA34AA" w:rsidRDefault="00EA34AA" w:rsidP="00EA34AA">
            <w:pPr>
              <w:pStyle w:val="ListParagraph"/>
              <w:numPr>
                <w:ilvl w:val="0"/>
                <w:numId w:val="3"/>
              </w:numPr>
              <w:rPr>
                <w:b/>
                <w:lang w:val="lt-LT"/>
              </w:rPr>
            </w:pPr>
          </w:p>
        </w:tc>
        <w:tc>
          <w:tcPr>
            <w:tcW w:w="1695" w:type="pct"/>
          </w:tcPr>
          <w:p w14:paraId="31A74E39" w14:textId="77777777" w:rsidR="00EA34AA" w:rsidRDefault="00EA34AA" w:rsidP="009B7876">
            <w:pPr>
              <w:rPr>
                <w:lang w:val="lt-LT"/>
              </w:rPr>
            </w:pPr>
            <w:r w:rsidRPr="00EA34AA">
              <w:rPr>
                <w:lang w:val="lt-LT"/>
              </w:rPr>
              <w:t>Prietaiso tinkamumas dirbti modulinės konstrukcijos metaliniame pastate</w:t>
            </w:r>
          </w:p>
          <w:p w14:paraId="5007F1AC" w14:textId="77777777" w:rsidR="00EA34AA" w:rsidRDefault="00EA34AA" w:rsidP="009B7876">
            <w:pPr>
              <w:rPr>
                <w:lang w:val="lt-LT"/>
              </w:rPr>
            </w:pPr>
          </w:p>
          <w:p w14:paraId="0B36E187" w14:textId="720F4A50" w:rsidR="00EA34AA" w:rsidRPr="00EA34AA" w:rsidRDefault="00EA34AA" w:rsidP="009B7876">
            <w:pPr>
              <w:rPr>
                <w:i/>
                <w:iCs/>
                <w:lang w:val="lt-LT"/>
              </w:rPr>
            </w:pPr>
            <w:r w:rsidRPr="00EA34AA">
              <w:rPr>
                <w:i/>
                <w:iCs/>
                <w:color w:val="4472C4" w:themeColor="accent1"/>
                <w:lang w:val="lt-LT"/>
              </w:rPr>
              <w:t>(Šis techninės specifikacijos punktas būtinas ir nėra keičiamas)</w:t>
            </w:r>
          </w:p>
        </w:tc>
        <w:tc>
          <w:tcPr>
            <w:tcW w:w="2827" w:type="pct"/>
          </w:tcPr>
          <w:p w14:paraId="53769F3B" w14:textId="77777777" w:rsidR="00EA34AA" w:rsidRPr="00EA34AA" w:rsidRDefault="00EA34AA" w:rsidP="009B7876">
            <w:pPr>
              <w:rPr>
                <w:lang w:val="lt-LT"/>
              </w:rPr>
            </w:pPr>
            <w:r w:rsidRPr="00EA34AA">
              <w:rPr>
                <w:lang w:val="lt-LT"/>
              </w:rPr>
              <w:t>Būtina. Gamintojo techninėse charakteristikose ši savybė nebus aprašyta, todėl Tiekėjas privalės atlikti preliminarius bandymus su siūlyme pateikta įranga ir įsitikinti, kad siūlomą įrangą galima tokiomis sąlygomis suderinti darbui ir siūloma įranga neduoda klaidingų suveikimų į juoduosius metalus dėl pastato metalinių konstrukcijų, dėl grindų vibracijos, asmeniui einant pro metalo detektoriaus vartelius. Bandymų metu arkinis metalo detektorius turi reaguoti tik į etaloninį juodo metalo bandinį (pagal ECAC 2 standartą) ir nereaguoti į aplinkos išorinius trikdžius. Bandymų rezultatus dokumentuoti ir pateikti Užsakovui kartu su komerciniu pasiūlymu, bandymų rezultatuose nurodant:</w:t>
            </w:r>
          </w:p>
          <w:p w14:paraId="08C77434" w14:textId="77777777" w:rsidR="00EA34AA" w:rsidRPr="00EA34AA" w:rsidRDefault="00EA34AA" w:rsidP="00EA34AA">
            <w:pPr>
              <w:pStyle w:val="ListParagraph"/>
              <w:numPr>
                <w:ilvl w:val="0"/>
                <w:numId w:val="1"/>
              </w:numPr>
              <w:suppressAutoHyphens/>
              <w:rPr>
                <w:lang w:val="lt-LT"/>
              </w:rPr>
            </w:pPr>
            <w:r w:rsidRPr="00EA34AA">
              <w:rPr>
                <w:lang w:val="lt-LT"/>
              </w:rPr>
              <w:t>nustatytą metalų aptikimo programą;</w:t>
            </w:r>
          </w:p>
          <w:p w14:paraId="66C1933B" w14:textId="77777777" w:rsidR="00EA34AA" w:rsidRPr="00EA34AA" w:rsidRDefault="00EA34AA" w:rsidP="00EA34AA">
            <w:pPr>
              <w:pStyle w:val="ListParagraph"/>
              <w:numPr>
                <w:ilvl w:val="0"/>
                <w:numId w:val="1"/>
              </w:numPr>
              <w:suppressAutoHyphens/>
              <w:rPr>
                <w:lang w:val="lt-LT"/>
              </w:rPr>
            </w:pPr>
            <w:r w:rsidRPr="00EA34AA">
              <w:rPr>
                <w:lang w:val="lt-LT"/>
              </w:rPr>
              <w:lastRenderedPageBreak/>
              <w:t>nustatytą aptikimo ribinį jautrumą;</w:t>
            </w:r>
          </w:p>
          <w:p w14:paraId="2B3A1BF2" w14:textId="77777777" w:rsidR="00EA34AA" w:rsidRPr="00EA34AA" w:rsidRDefault="00EA34AA" w:rsidP="00EA34AA">
            <w:pPr>
              <w:pStyle w:val="ListParagraph"/>
              <w:numPr>
                <w:ilvl w:val="0"/>
                <w:numId w:val="1"/>
              </w:numPr>
              <w:suppressAutoHyphens/>
              <w:rPr>
                <w:lang w:val="lt-LT"/>
              </w:rPr>
            </w:pPr>
            <w:r w:rsidRPr="00EA34AA">
              <w:rPr>
                <w:lang w:val="lt-LT"/>
              </w:rPr>
              <w:t xml:space="preserve">nustatytos jautrumo korekcijos kiekvienai aptikimo zonai procentine išraiška). </w:t>
            </w:r>
          </w:p>
        </w:tc>
      </w:tr>
      <w:tr w:rsidR="00EA34AA" w:rsidRPr="00EA34AA" w14:paraId="09AB7829" w14:textId="77777777" w:rsidTr="009B7876">
        <w:tc>
          <w:tcPr>
            <w:tcW w:w="478" w:type="pct"/>
            <w:vAlign w:val="center"/>
          </w:tcPr>
          <w:p w14:paraId="40118E7A" w14:textId="77777777" w:rsidR="00EA34AA" w:rsidRPr="00EA34AA" w:rsidRDefault="00EA34AA" w:rsidP="00EA34AA">
            <w:pPr>
              <w:pStyle w:val="ListParagraph"/>
              <w:numPr>
                <w:ilvl w:val="0"/>
                <w:numId w:val="3"/>
              </w:numPr>
              <w:rPr>
                <w:b/>
                <w:lang w:val="lt-LT"/>
              </w:rPr>
            </w:pPr>
          </w:p>
        </w:tc>
        <w:tc>
          <w:tcPr>
            <w:tcW w:w="1695" w:type="pct"/>
          </w:tcPr>
          <w:p w14:paraId="7C93BF0D" w14:textId="77777777" w:rsidR="00EA34AA" w:rsidRPr="00EA34AA" w:rsidRDefault="00EA34AA" w:rsidP="009B7876">
            <w:pPr>
              <w:rPr>
                <w:lang w:val="lt-LT"/>
              </w:rPr>
            </w:pPr>
            <w:r w:rsidRPr="00EA34AA">
              <w:rPr>
                <w:lang w:val="lt-LT"/>
              </w:rPr>
              <w:t>Praėjimo vartelių gabaritai</w:t>
            </w:r>
          </w:p>
        </w:tc>
        <w:tc>
          <w:tcPr>
            <w:tcW w:w="2827" w:type="pct"/>
          </w:tcPr>
          <w:p w14:paraId="4B1542AB" w14:textId="77777777" w:rsidR="00EA34AA" w:rsidRPr="00EA34AA" w:rsidRDefault="00EA34AA" w:rsidP="009B7876">
            <w:pPr>
              <w:rPr>
                <w:lang w:val="lt-LT"/>
              </w:rPr>
            </w:pPr>
            <w:r w:rsidRPr="00EA34AA">
              <w:rPr>
                <w:lang w:val="lt-LT"/>
              </w:rPr>
              <w:t xml:space="preserve">Vidinis aukštis – ne mažiau </w:t>
            </w:r>
            <w:smartTag w:uri="urn:schemas-microsoft-com:office:smarttags" w:element="metricconverter">
              <w:smartTagPr>
                <w:attr w:name="ProductID" w:val="200 cm"/>
              </w:smartTagPr>
              <w:smartTag w:uri="schemas-tilde-lv/tildestengine" w:element="metric2">
                <w:smartTagPr>
                  <w:attr w:name="metric_value" w:val="200"/>
                  <w:attr w:name="metric_text" w:val="cm"/>
                </w:smartTagPr>
                <w:r w:rsidRPr="00EA34AA">
                  <w:rPr>
                    <w:lang w:val="lt-LT"/>
                  </w:rPr>
                  <w:t>200 cm</w:t>
                </w:r>
              </w:smartTag>
            </w:smartTag>
            <w:r w:rsidRPr="00EA34AA">
              <w:rPr>
                <w:lang w:val="lt-LT"/>
              </w:rPr>
              <w:t xml:space="preserve">, ne daugiau 220 cm, vidinis plotis – ne mažiau 68 cm, ne daugiau 82 cm </w:t>
            </w:r>
          </w:p>
        </w:tc>
      </w:tr>
      <w:tr w:rsidR="00EA34AA" w:rsidRPr="00EA34AA" w14:paraId="7DE51132" w14:textId="77777777" w:rsidTr="009B7876">
        <w:tc>
          <w:tcPr>
            <w:tcW w:w="478" w:type="pct"/>
            <w:vAlign w:val="center"/>
          </w:tcPr>
          <w:p w14:paraId="122D6ECD" w14:textId="77777777" w:rsidR="00EA34AA" w:rsidRPr="00EA34AA" w:rsidRDefault="00EA34AA" w:rsidP="00EA34AA">
            <w:pPr>
              <w:pStyle w:val="ListParagraph"/>
              <w:numPr>
                <w:ilvl w:val="0"/>
                <w:numId w:val="3"/>
              </w:numPr>
              <w:rPr>
                <w:b/>
                <w:lang w:val="lt-LT"/>
              </w:rPr>
            </w:pPr>
          </w:p>
        </w:tc>
        <w:tc>
          <w:tcPr>
            <w:tcW w:w="1695" w:type="pct"/>
          </w:tcPr>
          <w:p w14:paraId="740060E6" w14:textId="77777777" w:rsidR="00EA34AA" w:rsidRPr="00EA34AA" w:rsidRDefault="00EA34AA" w:rsidP="009B7876">
            <w:pPr>
              <w:rPr>
                <w:lang w:val="lt-LT"/>
              </w:rPr>
            </w:pPr>
            <w:r w:rsidRPr="00EA34AA">
              <w:rPr>
                <w:lang w:val="lt-LT"/>
              </w:rPr>
              <w:t>Svoris, pilno komplekto su rezervinio maitinimo bloku ir akumuliatoriaus baterija</w:t>
            </w:r>
          </w:p>
        </w:tc>
        <w:tc>
          <w:tcPr>
            <w:tcW w:w="2827" w:type="pct"/>
          </w:tcPr>
          <w:p w14:paraId="4D923AC2" w14:textId="77777777" w:rsidR="00EA34AA" w:rsidRPr="00EA34AA" w:rsidRDefault="00EA34AA" w:rsidP="009B7876">
            <w:pPr>
              <w:rPr>
                <w:lang w:val="lt-LT"/>
              </w:rPr>
            </w:pPr>
            <w:r w:rsidRPr="00EA34AA">
              <w:rPr>
                <w:lang w:val="lt-LT"/>
              </w:rPr>
              <w:t>Ne daugiau 70 kg</w:t>
            </w:r>
          </w:p>
        </w:tc>
      </w:tr>
    </w:tbl>
    <w:p w14:paraId="57D19A82" w14:textId="77777777" w:rsidR="00EA34AA" w:rsidRPr="00EA34AA" w:rsidRDefault="00EA34AA" w:rsidP="00EA34AA">
      <w:pPr>
        <w:rPr>
          <w:lang w:val="lt-LT"/>
        </w:rPr>
      </w:pPr>
    </w:p>
    <w:p w14:paraId="1F214412" w14:textId="77777777" w:rsidR="00EA34AA" w:rsidRPr="00EA34AA" w:rsidRDefault="00EA34AA" w:rsidP="00EA34AA">
      <w:pPr>
        <w:pStyle w:val="ListParagraph"/>
        <w:suppressAutoHyphens/>
        <w:ind w:left="0"/>
        <w:rPr>
          <w:lang w:val="lt-LT"/>
        </w:rPr>
      </w:pPr>
      <w:r w:rsidRPr="00EA34AA">
        <w:rPr>
          <w:lang w:val="lt-LT"/>
        </w:rPr>
        <w:t>1.2 Paslaugos susijusios su įrangos įsigijimu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97"/>
        <w:gridCol w:w="5366"/>
      </w:tblGrid>
      <w:tr w:rsidR="00EA34AA" w:rsidRPr="00EA34AA" w14:paraId="679583D1" w14:textId="77777777" w:rsidTr="009B7876">
        <w:trPr>
          <w:trHeight w:val="854"/>
        </w:trPr>
        <w:tc>
          <w:tcPr>
            <w:tcW w:w="570" w:type="dxa"/>
            <w:vAlign w:val="center"/>
          </w:tcPr>
          <w:p w14:paraId="5A3D2E05" w14:textId="77777777" w:rsidR="00EA34AA" w:rsidRPr="00EA34AA" w:rsidRDefault="00EA34AA" w:rsidP="009B7876">
            <w:pPr>
              <w:rPr>
                <w:b/>
                <w:lang w:val="lt-LT"/>
              </w:rPr>
            </w:pPr>
            <w:r w:rsidRPr="00EA34AA">
              <w:rPr>
                <w:b/>
                <w:lang w:val="lt-LT"/>
              </w:rPr>
              <w:t>Eil. Nr.</w:t>
            </w:r>
          </w:p>
        </w:tc>
        <w:tc>
          <w:tcPr>
            <w:tcW w:w="3796" w:type="dxa"/>
            <w:vAlign w:val="center"/>
          </w:tcPr>
          <w:p w14:paraId="781B5A98" w14:textId="77777777" w:rsidR="00EA34AA" w:rsidRPr="00EA34AA" w:rsidRDefault="00EA34AA" w:rsidP="009B7876">
            <w:pPr>
              <w:rPr>
                <w:b/>
                <w:lang w:val="lt-LT"/>
              </w:rPr>
            </w:pPr>
            <w:r w:rsidRPr="00EA34AA">
              <w:rPr>
                <w:b/>
                <w:lang w:val="lt-LT"/>
              </w:rPr>
              <w:t>Parametras</w:t>
            </w:r>
          </w:p>
        </w:tc>
        <w:tc>
          <w:tcPr>
            <w:tcW w:w="5528" w:type="dxa"/>
            <w:vAlign w:val="center"/>
          </w:tcPr>
          <w:p w14:paraId="4C6F5ED2" w14:textId="77777777" w:rsidR="00EA34AA" w:rsidRPr="00EA34AA" w:rsidRDefault="00EA34AA" w:rsidP="009B7876">
            <w:pPr>
              <w:rPr>
                <w:b/>
                <w:lang w:val="lt-LT"/>
              </w:rPr>
            </w:pPr>
            <w:r w:rsidRPr="00EA34AA">
              <w:rPr>
                <w:b/>
                <w:lang w:val="lt-LT"/>
              </w:rPr>
              <w:t>Reikalavimai</w:t>
            </w:r>
          </w:p>
        </w:tc>
      </w:tr>
      <w:tr w:rsidR="00EA34AA" w:rsidRPr="00EA34AA" w14:paraId="0B56C627" w14:textId="77777777" w:rsidTr="009B7876">
        <w:tc>
          <w:tcPr>
            <w:tcW w:w="570" w:type="dxa"/>
            <w:vAlign w:val="center"/>
          </w:tcPr>
          <w:p w14:paraId="6DEEC77C" w14:textId="77777777" w:rsidR="00EA34AA" w:rsidRPr="00EA34AA" w:rsidRDefault="00EA34AA" w:rsidP="00EA34AA">
            <w:pPr>
              <w:pStyle w:val="ListParagraph"/>
              <w:numPr>
                <w:ilvl w:val="0"/>
                <w:numId w:val="4"/>
              </w:numPr>
              <w:suppressAutoHyphens/>
              <w:rPr>
                <w:b/>
                <w:lang w:val="lt-LT"/>
              </w:rPr>
            </w:pPr>
          </w:p>
        </w:tc>
        <w:tc>
          <w:tcPr>
            <w:tcW w:w="3796" w:type="dxa"/>
          </w:tcPr>
          <w:p w14:paraId="7C67C2B9" w14:textId="77777777" w:rsidR="00EA34AA" w:rsidRPr="00EA34AA" w:rsidRDefault="00EA34AA" w:rsidP="009B7876">
            <w:pPr>
              <w:rPr>
                <w:lang w:val="lt-LT"/>
              </w:rPr>
            </w:pPr>
            <w:r w:rsidRPr="00EA34AA">
              <w:rPr>
                <w:lang w:val="lt-LT"/>
              </w:rPr>
              <w:t xml:space="preserve">Garantinis aptarnavimo laikotarpis </w:t>
            </w:r>
          </w:p>
        </w:tc>
        <w:tc>
          <w:tcPr>
            <w:tcW w:w="5528" w:type="dxa"/>
          </w:tcPr>
          <w:p w14:paraId="33A63BF4" w14:textId="77777777" w:rsidR="00EA34AA" w:rsidRPr="00EA34AA" w:rsidRDefault="00EA34AA" w:rsidP="009B7876">
            <w:pPr>
              <w:rPr>
                <w:lang w:val="lt-LT"/>
              </w:rPr>
            </w:pPr>
            <w:r w:rsidRPr="00EA34AA">
              <w:rPr>
                <w:lang w:val="lt-LT"/>
              </w:rPr>
              <w:t>Ne trumpesnis nei 24 mėn. nuo įrangos priėmimo perdavimo akto pasirašymo</w:t>
            </w:r>
          </w:p>
        </w:tc>
      </w:tr>
      <w:tr w:rsidR="00EA34AA" w:rsidRPr="00EA34AA" w14:paraId="1A834BEB" w14:textId="77777777" w:rsidTr="009B7876">
        <w:tc>
          <w:tcPr>
            <w:tcW w:w="570" w:type="dxa"/>
            <w:vAlign w:val="center"/>
          </w:tcPr>
          <w:p w14:paraId="1AFC76B9" w14:textId="77777777" w:rsidR="00EA34AA" w:rsidRPr="00EA34AA" w:rsidRDefault="00EA34AA" w:rsidP="00EA34AA">
            <w:pPr>
              <w:pStyle w:val="ListParagraph"/>
              <w:numPr>
                <w:ilvl w:val="0"/>
                <w:numId w:val="4"/>
              </w:numPr>
              <w:suppressAutoHyphens/>
              <w:rPr>
                <w:b/>
                <w:lang w:val="lt-LT"/>
              </w:rPr>
            </w:pPr>
          </w:p>
        </w:tc>
        <w:tc>
          <w:tcPr>
            <w:tcW w:w="3796" w:type="dxa"/>
          </w:tcPr>
          <w:p w14:paraId="626365A8" w14:textId="77777777" w:rsidR="00EA34AA" w:rsidRPr="00EA34AA" w:rsidRDefault="00EA34AA" w:rsidP="009B7876">
            <w:pPr>
              <w:rPr>
                <w:lang w:val="lt-LT"/>
              </w:rPr>
            </w:pPr>
            <w:r w:rsidRPr="00EA34AA">
              <w:rPr>
                <w:lang w:val="lt-LT"/>
              </w:rPr>
              <w:t>Reagavimo laikas garantiniu laikotarpiu, įvykus gedimui</w:t>
            </w:r>
          </w:p>
        </w:tc>
        <w:tc>
          <w:tcPr>
            <w:tcW w:w="5528" w:type="dxa"/>
          </w:tcPr>
          <w:p w14:paraId="1A3FBEB1" w14:textId="77777777" w:rsidR="00EA34AA" w:rsidRPr="00EA34AA" w:rsidRDefault="00EA34AA" w:rsidP="009B7876">
            <w:pPr>
              <w:rPr>
                <w:lang w:val="lt-LT"/>
              </w:rPr>
            </w:pPr>
            <w:r w:rsidRPr="00EA34AA">
              <w:rPr>
                <w:lang w:val="lt-LT"/>
              </w:rPr>
              <w:t>2 val.</w:t>
            </w:r>
          </w:p>
        </w:tc>
      </w:tr>
      <w:tr w:rsidR="00EA34AA" w:rsidRPr="00EA34AA" w14:paraId="4A4CBAF1" w14:textId="77777777" w:rsidTr="009B7876">
        <w:tc>
          <w:tcPr>
            <w:tcW w:w="570" w:type="dxa"/>
            <w:vAlign w:val="center"/>
          </w:tcPr>
          <w:p w14:paraId="3A043204" w14:textId="77777777" w:rsidR="00EA34AA" w:rsidRPr="00EA34AA" w:rsidRDefault="00EA34AA" w:rsidP="00EA34AA">
            <w:pPr>
              <w:pStyle w:val="ListParagraph"/>
              <w:numPr>
                <w:ilvl w:val="0"/>
                <w:numId w:val="4"/>
              </w:numPr>
              <w:suppressAutoHyphens/>
              <w:rPr>
                <w:b/>
                <w:lang w:val="lt-LT"/>
              </w:rPr>
            </w:pPr>
          </w:p>
        </w:tc>
        <w:tc>
          <w:tcPr>
            <w:tcW w:w="3796" w:type="dxa"/>
          </w:tcPr>
          <w:p w14:paraId="4DFF8D68" w14:textId="77777777" w:rsidR="00EA34AA" w:rsidRPr="00EA34AA" w:rsidRDefault="00EA34AA" w:rsidP="009B7876">
            <w:pPr>
              <w:rPr>
                <w:lang w:val="lt-LT"/>
              </w:rPr>
            </w:pPr>
            <w:r w:rsidRPr="00EA34AA">
              <w:rPr>
                <w:lang w:val="lt-LT"/>
              </w:rPr>
              <w:t>Gedimo pašalinimo (sistemos darbingumo atstatymo) terminas, garantiniu laikotarpiu</w:t>
            </w:r>
          </w:p>
        </w:tc>
        <w:tc>
          <w:tcPr>
            <w:tcW w:w="5528" w:type="dxa"/>
          </w:tcPr>
          <w:p w14:paraId="5FE0B355" w14:textId="77777777" w:rsidR="00EA34AA" w:rsidRPr="00EA34AA" w:rsidRDefault="00EA34AA" w:rsidP="009B7876">
            <w:pPr>
              <w:rPr>
                <w:lang w:val="lt-LT"/>
              </w:rPr>
            </w:pPr>
            <w:r w:rsidRPr="00EA34AA">
              <w:rPr>
                <w:lang w:val="lt-LT"/>
              </w:rPr>
              <w:t>24 val.</w:t>
            </w:r>
          </w:p>
        </w:tc>
      </w:tr>
      <w:tr w:rsidR="00EA34AA" w:rsidRPr="00EA34AA" w14:paraId="086113C6" w14:textId="77777777" w:rsidTr="009B7876">
        <w:tc>
          <w:tcPr>
            <w:tcW w:w="570" w:type="dxa"/>
            <w:vAlign w:val="center"/>
          </w:tcPr>
          <w:p w14:paraId="7CAC7B13" w14:textId="77777777" w:rsidR="00EA34AA" w:rsidRPr="00EA34AA" w:rsidRDefault="00EA34AA" w:rsidP="00EA34AA">
            <w:pPr>
              <w:pStyle w:val="ListParagraph"/>
              <w:numPr>
                <w:ilvl w:val="0"/>
                <w:numId w:val="4"/>
              </w:numPr>
              <w:suppressAutoHyphens/>
              <w:rPr>
                <w:b/>
                <w:lang w:val="lt-LT"/>
              </w:rPr>
            </w:pPr>
          </w:p>
        </w:tc>
        <w:tc>
          <w:tcPr>
            <w:tcW w:w="3796" w:type="dxa"/>
            <w:vAlign w:val="center"/>
          </w:tcPr>
          <w:p w14:paraId="7FFA8BB3" w14:textId="77777777" w:rsidR="00EA34AA" w:rsidRPr="00EA34AA" w:rsidRDefault="00EA34AA" w:rsidP="009B7876">
            <w:pPr>
              <w:rPr>
                <w:lang w:val="lt-LT"/>
              </w:rPr>
            </w:pPr>
            <w:r w:rsidRPr="00EA34AA">
              <w:rPr>
                <w:lang w:val="lt-LT"/>
              </w:rPr>
              <w:t>Įrangos instrukcija</w:t>
            </w:r>
          </w:p>
        </w:tc>
        <w:tc>
          <w:tcPr>
            <w:tcW w:w="5528" w:type="dxa"/>
          </w:tcPr>
          <w:p w14:paraId="49CE3F59" w14:textId="77777777" w:rsidR="00EA34AA" w:rsidRPr="00EA34AA" w:rsidRDefault="00EA34AA" w:rsidP="009B7876">
            <w:pPr>
              <w:rPr>
                <w:lang w:val="lt-LT"/>
              </w:rPr>
            </w:pPr>
            <w:r w:rsidRPr="00EA34AA">
              <w:rPr>
                <w:lang w:val="lt-LT"/>
              </w:rPr>
              <w:t>Vartelių programavimo ir naudojimo instrukcijos turi būti pateiktos lietuvių kalba elektroniniu</w:t>
            </w:r>
            <w:r w:rsidRPr="00EA34AA">
              <w:rPr>
                <w:b/>
                <w:bCs/>
                <w:i/>
                <w:iCs/>
                <w:lang w:val="lt-LT"/>
              </w:rPr>
              <w:t xml:space="preserve"> docx</w:t>
            </w:r>
            <w:r w:rsidRPr="00EA34AA">
              <w:rPr>
                <w:lang w:val="lt-LT"/>
              </w:rPr>
              <w:t xml:space="preserve"> dokumentų formatu</w:t>
            </w:r>
          </w:p>
        </w:tc>
      </w:tr>
      <w:tr w:rsidR="00EA34AA" w:rsidRPr="00EA34AA" w14:paraId="56D26492" w14:textId="77777777" w:rsidTr="009B7876">
        <w:tc>
          <w:tcPr>
            <w:tcW w:w="570" w:type="dxa"/>
          </w:tcPr>
          <w:p w14:paraId="0F404FA0" w14:textId="77777777" w:rsidR="00EA34AA" w:rsidRPr="00EA34AA" w:rsidRDefault="00EA34AA" w:rsidP="00EA34AA">
            <w:pPr>
              <w:pStyle w:val="ListParagraph"/>
              <w:numPr>
                <w:ilvl w:val="0"/>
                <w:numId w:val="4"/>
              </w:numPr>
              <w:suppressAutoHyphens/>
              <w:rPr>
                <w:b/>
                <w:lang w:val="lt-LT"/>
              </w:rPr>
            </w:pPr>
          </w:p>
        </w:tc>
        <w:tc>
          <w:tcPr>
            <w:tcW w:w="3796" w:type="dxa"/>
          </w:tcPr>
          <w:p w14:paraId="313B658C" w14:textId="77777777" w:rsidR="00EA34AA" w:rsidRPr="00EA34AA" w:rsidRDefault="00EA34AA" w:rsidP="009B7876">
            <w:pPr>
              <w:rPr>
                <w:lang w:val="lt-LT"/>
              </w:rPr>
            </w:pPr>
            <w:r w:rsidRPr="00EA34AA">
              <w:rPr>
                <w:lang w:val="lt-LT"/>
              </w:rPr>
              <w:t>Įrangos testavimas prieš pasirašant perdavimo - priėmimo aktą</w:t>
            </w:r>
          </w:p>
        </w:tc>
        <w:tc>
          <w:tcPr>
            <w:tcW w:w="5528" w:type="dxa"/>
          </w:tcPr>
          <w:p w14:paraId="4EB37D15" w14:textId="77777777" w:rsidR="00EA34AA" w:rsidRPr="00EA34AA" w:rsidRDefault="00EA34AA" w:rsidP="009B7876">
            <w:pPr>
              <w:rPr>
                <w:lang w:val="lt-LT"/>
              </w:rPr>
            </w:pPr>
            <w:r w:rsidRPr="00EA34AA">
              <w:rPr>
                <w:lang w:val="lt-LT"/>
              </w:rPr>
              <w:t xml:space="preserve">Tiekėjas privalės pristatyti įrangą Užsakovo nurodytu adresu. Dalyvaujant Užsakovo atstovams privalės įrangą išpakuoti, pajungti, išbandyti ir įsitikinti, kad įranga veikia gerai ir atitinka keliamus techninius reikalavimus. </w:t>
            </w:r>
          </w:p>
        </w:tc>
      </w:tr>
      <w:tr w:rsidR="00EA34AA" w:rsidRPr="00EA34AA" w14:paraId="5C78217A" w14:textId="77777777" w:rsidTr="009B7876">
        <w:tc>
          <w:tcPr>
            <w:tcW w:w="570" w:type="dxa"/>
          </w:tcPr>
          <w:p w14:paraId="60691BFD" w14:textId="77777777" w:rsidR="00EA34AA" w:rsidRPr="00EA34AA" w:rsidRDefault="00EA34AA" w:rsidP="00EA34AA">
            <w:pPr>
              <w:pStyle w:val="ListParagraph"/>
              <w:numPr>
                <w:ilvl w:val="0"/>
                <w:numId w:val="4"/>
              </w:numPr>
              <w:suppressAutoHyphens/>
              <w:rPr>
                <w:b/>
                <w:lang w:val="lt-LT"/>
              </w:rPr>
            </w:pPr>
          </w:p>
        </w:tc>
        <w:tc>
          <w:tcPr>
            <w:tcW w:w="3796" w:type="dxa"/>
          </w:tcPr>
          <w:p w14:paraId="3B63A8C7" w14:textId="77777777" w:rsidR="00EA34AA" w:rsidRPr="00EA34AA" w:rsidRDefault="00EA34AA" w:rsidP="009B7876">
            <w:pPr>
              <w:rPr>
                <w:lang w:val="lt-LT"/>
              </w:rPr>
            </w:pPr>
            <w:r w:rsidRPr="00EA34AA">
              <w:rPr>
                <w:lang w:val="lt-LT"/>
              </w:rPr>
              <w:t>Darbuotojų apmokymas darbui su įranga</w:t>
            </w:r>
          </w:p>
        </w:tc>
        <w:tc>
          <w:tcPr>
            <w:tcW w:w="5528" w:type="dxa"/>
          </w:tcPr>
          <w:p w14:paraId="794EBB66" w14:textId="77777777" w:rsidR="00EA34AA" w:rsidRPr="00EA34AA" w:rsidRDefault="00EA34AA" w:rsidP="009B7876">
            <w:pPr>
              <w:rPr>
                <w:lang w:val="lt-LT"/>
              </w:rPr>
            </w:pPr>
            <w:r w:rsidRPr="00EA34AA">
              <w:rPr>
                <w:lang w:val="lt-LT"/>
              </w:rPr>
              <w:t>Tiekėjas privalo apmokyti 20 Vadovybės apsaugos tarnybos darbuotojų naudotis įranga</w:t>
            </w:r>
          </w:p>
        </w:tc>
      </w:tr>
    </w:tbl>
    <w:p w14:paraId="59D2ADD0" w14:textId="77777777" w:rsidR="00FC1496" w:rsidRPr="00EA34AA" w:rsidRDefault="00FC1496">
      <w:pPr>
        <w:rPr>
          <w:lang w:val="lt-LT"/>
        </w:rPr>
      </w:pPr>
    </w:p>
    <w:sectPr w:rsidR="00FC1496" w:rsidRPr="00EA34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653"/>
    <w:multiLevelType w:val="hybridMultilevel"/>
    <w:tmpl w:val="0DC49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758DD"/>
    <w:multiLevelType w:val="hybridMultilevel"/>
    <w:tmpl w:val="2836EDA0"/>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F005F3B"/>
    <w:multiLevelType w:val="multilevel"/>
    <w:tmpl w:val="357C2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E54C5A"/>
    <w:multiLevelType w:val="hybridMultilevel"/>
    <w:tmpl w:val="4D52B7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09113551">
    <w:abstractNumId w:val="0"/>
  </w:num>
  <w:num w:numId="2" w16cid:durableId="1594587844">
    <w:abstractNumId w:val="2"/>
  </w:num>
  <w:num w:numId="3" w16cid:durableId="126317182">
    <w:abstractNumId w:val="1"/>
  </w:num>
  <w:num w:numId="4" w16cid:durableId="512109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95"/>
    <w:rsid w:val="00622795"/>
    <w:rsid w:val="00974BFE"/>
    <w:rsid w:val="00EA34AA"/>
    <w:rsid w:val="00FC1496"/>
    <w:rsid w:val="00FC2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F7DE552"/>
  <w15:chartTrackingRefBased/>
  <w15:docId w15:val="{F3529B74-D2A0-407F-A5AD-083614C0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622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7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7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7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7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227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7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7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7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7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7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7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7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22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795"/>
    <w:rPr>
      <w:rFonts w:eastAsiaTheme="majorEastAsia" w:cstheme="majorBidi"/>
      <w:color w:val="272727" w:themeColor="text1" w:themeTint="D8"/>
    </w:rPr>
  </w:style>
  <w:style w:type="paragraph" w:styleId="Title">
    <w:name w:val="Title"/>
    <w:basedOn w:val="Normal"/>
    <w:next w:val="Normal"/>
    <w:link w:val="TitleChar"/>
    <w:uiPriority w:val="10"/>
    <w:qFormat/>
    <w:rsid w:val="006227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795"/>
    <w:pPr>
      <w:spacing w:before="160"/>
      <w:jc w:val="center"/>
    </w:pPr>
    <w:rPr>
      <w:i/>
      <w:iCs/>
      <w:color w:val="404040" w:themeColor="text1" w:themeTint="BF"/>
    </w:rPr>
  </w:style>
  <w:style w:type="character" w:customStyle="1" w:styleId="QuoteChar">
    <w:name w:val="Quote Char"/>
    <w:basedOn w:val="DefaultParagraphFont"/>
    <w:link w:val="Quote"/>
    <w:uiPriority w:val="29"/>
    <w:rsid w:val="00622795"/>
    <w:rPr>
      <w:i/>
      <w:iCs/>
      <w:color w:val="404040" w:themeColor="text1" w:themeTint="BF"/>
    </w:rPr>
  </w:style>
  <w:style w:type="paragraph" w:styleId="ListParagraph">
    <w:name w:val="List Paragraph"/>
    <w:aliases w:val="List Paragraph Red,Buletai,Bullet EY,List Paragraph21,lp1,Bullet 1,Use Case List Paragraph,Numbering,ERP-List Paragraph,List Paragraph11,List Paragraph111,Paragraph,List not in Table,List Paragraph3,Lentele,List Paragraph22,List Paragra"/>
    <w:basedOn w:val="Normal"/>
    <w:link w:val="ListParagraphChar1"/>
    <w:qFormat/>
    <w:rsid w:val="00622795"/>
    <w:pPr>
      <w:ind w:left="720"/>
      <w:contextualSpacing/>
    </w:pPr>
  </w:style>
  <w:style w:type="character" w:styleId="IntenseEmphasis">
    <w:name w:val="Intense Emphasis"/>
    <w:basedOn w:val="DefaultParagraphFont"/>
    <w:uiPriority w:val="21"/>
    <w:qFormat/>
    <w:rsid w:val="00622795"/>
    <w:rPr>
      <w:i/>
      <w:iCs/>
      <w:color w:val="2F5496" w:themeColor="accent1" w:themeShade="BF"/>
    </w:rPr>
  </w:style>
  <w:style w:type="paragraph" w:styleId="IntenseQuote">
    <w:name w:val="Intense Quote"/>
    <w:basedOn w:val="Normal"/>
    <w:next w:val="Normal"/>
    <w:link w:val="IntenseQuoteChar"/>
    <w:uiPriority w:val="30"/>
    <w:qFormat/>
    <w:rsid w:val="00622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795"/>
    <w:rPr>
      <w:i/>
      <w:iCs/>
      <w:color w:val="2F5496" w:themeColor="accent1" w:themeShade="BF"/>
    </w:rPr>
  </w:style>
  <w:style w:type="character" w:styleId="IntenseReference">
    <w:name w:val="Intense Reference"/>
    <w:basedOn w:val="DefaultParagraphFont"/>
    <w:uiPriority w:val="32"/>
    <w:qFormat/>
    <w:rsid w:val="00622795"/>
    <w:rPr>
      <w:b/>
      <w:bCs/>
      <w:smallCaps/>
      <w:color w:val="2F5496" w:themeColor="accent1" w:themeShade="BF"/>
      <w:spacing w:val="5"/>
    </w:rPr>
  </w:style>
  <w:style w:type="character" w:styleId="Hyperlink">
    <w:name w:val="Hyperlink"/>
    <w:aliases w:val="Alna"/>
    <w:uiPriority w:val="99"/>
    <w:rsid w:val="00EA34AA"/>
    <w:rPr>
      <w:color w:val="0000FF"/>
      <w:u w:val="single"/>
    </w:rPr>
  </w:style>
  <w:style w:type="character" w:customStyle="1" w:styleId="ListParagraphChar1">
    <w:name w:val="List Paragraph Char1"/>
    <w:aliases w:val="List Paragraph Red Char,Buletai Char,Bullet EY Char,List Paragraph21 Char,lp1 Char,Bullet 1 Char,Use Case List Paragraph Char,Numbering Char,ERP-List Paragraph Char,List Paragraph11 Char,List Paragraph111 Char,Paragraph Char,lp1 Cha"/>
    <w:link w:val="ListParagraph"/>
    <w:qFormat/>
    <w:locked/>
    <w:rsid w:val="00EA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d.lt/standards/catalog.php?ics=0&amp;pid=594226" TargetMode="External"/><Relationship Id="rId5" Type="http://schemas.openxmlformats.org/officeDocument/2006/relationships/hyperlink" Target="http://www.lsd.lt/standards/catalog.php?ics=0&amp;pid=5948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3580</Words>
  <Characters>2042</Characters>
  <Application>Microsoft Office Word</Application>
  <DocSecurity>0</DocSecurity>
  <Lines>17</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2</cp:revision>
  <dcterms:created xsi:type="dcterms:W3CDTF">2026-03-19T13:33:00Z</dcterms:created>
  <dcterms:modified xsi:type="dcterms:W3CDTF">2026-03-19T13:36:00Z</dcterms:modified>
</cp:coreProperties>
</file>