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768E3" w14:textId="77777777" w:rsidR="00A967F4" w:rsidRPr="00375E04" w:rsidRDefault="00A967F4" w:rsidP="00A967F4">
      <w:pPr>
        <w:spacing w:before="240" w:after="240"/>
        <w:jc w:val="center"/>
        <w:rPr>
          <w:rFonts w:cstheme="minorHAnsi"/>
          <w:b/>
        </w:rPr>
      </w:pPr>
      <w:r w:rsidRPr="00375E04">
        <w:rPr>
          <w:rFonts w:cstheme="minorHAnsi"/>
          <w:b/>
        </w:rPr>
        <w:t>TECHNINĖ SPECIFIKACIJA</w:t>
      </w:r>
    </w:p>
    <w:p w14:paraId="73EF8735" w14:textId="77777777" w:rsidR="00A967F4" w:rsidRPr="00375E04" w:rsidRDefault="00A967F4" w:rsidP="00A967F4">
      <w:pPr>
        <w:spacing w:afterLines="80" w:after="192" w:line="20" w:lineRule="atLeast"/>
        <w:ind w:firstLine="567"/>
        <w:jc w:val="both"/>
        <w:rPr>
          <w:rFonts w:cstheme="minorHAnsi"/>
          <w:kern w:val="24"/>
        </w:rPr>
      </w:pPr>
      <w:r w:rsidRPr="00375E04">
        <w:rPr>
          <w:rFonts w:cstheme="minorHAnsi"/>
          <w:kern w:val="24"/>
        </w:rPr>
        <w:t xml:space="preserve">Techninė specifikacija yra skirta pateikti bendrą informaciją ir reikalavimus dėl viešosios įstaigos Švietimo mainų paramos fondas (toliau – ŠMPF) konferencijų, mokymų, seminarų ir kitų renginių (toliau – Renginys) organizavimo ir su Renginiais susijusių paslaugų pirkimo. </w:t>
      </w:r>
    </w:p>
    <w:p w14:paraId="20D20D91"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 xml:space="preserve">Perkančioji organizacija </w:t>
      </w:r>
    </w:p>
    <w:p w14:paraId="355F46D9" w14:textId="77777777" w:rsidR="00A967F4" w:rsidRPr="00375E04" w:rsidRDefault="00A967F4" w:rsidP="00A967F4">
      <w:pPr>
        <w:spacing w:afterLines="80" w:after="192" w:line="20" w:lineRule="atLeast"/>
        <w:ind w:firstLine="567"/>
        <w:jc w:val="both"/>
        <w:rPr>
          <w:rFonts w:cstheme="minorHAnsi"/>
          <w:kern w:val="24"/>
        </w:rPr>
      </w:pPr>
      <w:r w:rsidRPr="00375E04">
        <w:rPr>
          <w:rFonts w:cstheme="minorHAnsi"/>
          <w:kern w:val="24"/>
        </w:rPr>
        <w:t>Viešoji įstaiga Švietimo mainų paramos fondas (toliau – ŠMPF arba PO, ). ŠMPF adresas – Rožių al. 2, Vilnius.</w:t>
      </w:r>
    </w:p>
    <w:p w14:paraId="232DBE23"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Pirkimo objektas</w:t>
      </w:r>
    </w:p>
    <w:p w14:paraId="2CE40D3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Pirkimo objektas – renginių organizavimo ir su renginiais susijusios paslaugos.</w:t>
      </w:r>
    </w:p>
    <w:p w14:paraId="43DCFD22"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Renginiai organizuojami ne mažiau kaip 4 žvaigždučių viešbučių konferencijų salėse ar konferencijų centruose arba netradicinėse erdvėse (pavyzdžiui, meno centrai, teatrų salės, muziejų patalpos, parodų rūmai ir pan.).</w:t>
      </w:r>
    </w:p>
    <w:p w14:paraId="0FE7D3A0"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 xml:space="preserve">Paslaugos bus perkamos pagal ŠMPF poreikį, preliminariai planuojame organizuoti 25 renginius per metus. 1 priede pateikiami ankstesnių metų renginių kiekiai ir jų išsidėstymas metų eigoje, taip pat pateikiamas einamųjų metų renginių planas. </w:t>
      </w:r>
    </w:p>
    <w:p w14:paraId="4BAE6589"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Paslaugų teikimo trukmė – 36 mėn. nuo paslaugų sutarties pasirašymo dienos arba kol išnaudojama sutarties suma.</w:t>
      </w:r>
    </w:p>
    <w:p w14:paraId="7C7A0C63" w14:textId="46A8529D"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Paslaugų suteikimo vieta – bet kuri Lietuvos Respublikos teritorijos vieta (uždaros patalpos, viešosios erdvės miesto teritorijoje arba užmiestyje, kt.). Konkrečias Paslaugų teikimo vietas Perkančioji organizacija ir Paslaugų tiekėjas suderina ir nustato Paslaugos užsakymo patvirtinimo metu. Preliminariai apie 80</w:t>
      </w:r>
      <w:r w:rsidR="00591635">
        <w:rPr>
          <w:rFonts w:cstheme="minorHAnsi"/>
          <w:kern w:val="24"/>
          <w:sz w:val="21"/>
          <w:szCs w:val="21"/>
        </w:rPr>
        <w:t> </w:t>
      </w:r>
      <w:r w:rsidRPr="00375E04">
        <w:rPr>
          <w:rFonts w:cstheme="minorHAnsi"/>
          <w:kern w:val="24"/>
          <w:sz w:val="21"/>
          <w:szCs w:val="21"/>
        </w:rPr>
        <w:t>% renginių planuojama organizuoti Vilniuje arba vietovėse, nuo Vilniaus nutolusiose iki 50 km.</w:t>
      </w:r>
    </w:p>
    <w:p w14:paraId="713A271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noProof/>
          <w:kern w:val="24"/>
          <w:sz w:val="21"/>
          <w:szCs w:val="21"/>
        </w:rPr>
        <w:t>Pirkimas į dalis neskaidomas.</w:t>
      </w:r>
    </w:p>
    <w:p w14:paraId="5EFA0082" w14:textId="47D6A1E3"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Tiekėjo prašymu gali būti numatyti avansiniai mokėjimai konkretiems renginiams (avanso suma ne didesnė nei 30</w:t>
      </w:r>
      <w:r w:rsidR="00591635">
        <w:rPr>
          <w:rFonts w:cstheme="minorHAnsi"/>
          <w:bCs/>
          <w:kern w:val="24"/>
          <w:sz w:val="21"/>
          <w:szCs w:val="21"/>
        </w:rPr>
        <w:t> </w:t>
      </w:r>
      <w:r w:rsidRPr="00375E04">
        <w:rPr>
          <w:rFonts w:cstheme="minorHAnsi"/>
          <w:bCs/>
          <w:kern w:val="24"/>
          <w:sz w:val="21"/>
          <w:szCs w:val="21"/>
        </w:rPr>
        <w:t xml:space="preserve">% sutarties vertės), kurių sąmata didesnė nei 20 000 Eur. </w:t>
      </w:r>
    </w:p>
    <w:p w14:paraId="37F257C4"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671DBA31"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 xml:space="preserve">Renginių tipai: </w:t>
      </w:r>
    </w:p>
    <w:p w14:paraId="7A7CC848"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Paroda ir parodos tipo renginys (stendų koncepcija, įrengimas, dalyvio mokestis etc.)</w:t>
      </w:r>
    </w:p>
    <w:p w14:paraId="201C743C"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Reprezentacinis renginys</w:t>
      </w:r>
    </w:p>
    <w:p w14:paraId="7EA3E1DB"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Konferencija</w:t>
      </w:r>
    </w:p>
    <w:p w14:paraId="701C9A5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Seminarai, mokymai</w:t>
      </w:r>
    </w:p>
    <w:p w14:paraId="145B2C9E" w14:textId="589C735A"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ŠMPF partnerių organizuojami renginiai</w:t>
      </w:r>
      <w:r w:rsidR="001E58C2" w:rsidRPr="00375E04">
        <w:rPr>
          <w:rFonts w:cstheme="minorHAnsi"/>
          <w:bCs/>
          <w:kern w:val="24"/>
          <w:sz w:val="21"/>
          <w:szCs w:val="21"/>
        </w:rPr>
        <w:t xml:space="preserve">, kuomet prisidedama konkrečia paslauga. </w:t>
      </w:r>
    </w:p>
    <w:p w14:paraId="08CB77D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
          <w:bCs/>
          <w:kern w:val="24"/>
          <w:sz w:val="21"/>
          <w:szCs w:val="21"/>
        </w:rPr>
      </w:pPr>
      <w:r w:rsidRPr="00375E04">
        <w:rPr>
          <w:rFonts w:cstheme="minorHAnsi"/>
          <w:kern w:val="24"/>
          <w:sz w:val="21"/>
          <w:szCs w:val="21"/>
        </w:rPr>
        <w:t>Kitas iš anksto su Perkančiąja organizacija suderintas tipas.</w:t>
      </w:r>
    </w:p>
    <w:p w14:paraId="00C1A07E" w14:textId="77777777" w:rsidR="00A967F4" w:rsidRPr="00375E04" w:rsidRDefault="00A967F4" w:rsidP="00A967F4">
      <w:pPr>
        <w:spacing w:afterLines="80" w:after="192" w:line="20" w:lineRule="atLeast"/>
        <w:ind w:firstLine="567"/>
        <w:jc w:val="both"/>
        <w:rPr>
          <w:rFonts w:cstheme="minorHAnsi"/>
          <w:kern w:val="24"/>
        </w:rPr>
      </w:pPr>
      <w:r w:rsidRPr="00375E04">
        <w:rPr>
          <w:rFonts w:cstheme="minorHAnsi"/>
          <w:kern w:val="24"/>
        </w:rPr>
        <w:t>Detalesni renginių tipų aprašymai techninės specifikacijos priede Nr. 1.</w:t>
      </w:r>
    </w:p>
    <w:p w14:paraId="12A5D4FA"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Perkamos paslaugos apima:</w:t>
      </w:r>
    </w:p>
    <w:p w14:paraId="7EE829E9"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koncepcijos ir scenarijaus parengimas;</w:t>
      </w:r>
    </w:p>
    <w:p w14:paraId="2B9CC2D9"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kvietimo ir programos ir kt. parengimas;</w:t>
      </w:r>
    </w:p>
    <w:p w14:paraId="37EBCFFB" w14:textId="7CB28E25"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atlikėjų, vedėjų, pranešėjų</w:t>
      </w:r>
      <w:r w:rsidR="001E58C2" w:rsidRPr="00375E04">
        <w:rPr>
          <w:rFonts w:cstheme="minorHAnsi"/>
          <w:kern w:val="24"/>
          <w:sz w:val="21"/>
          <w:szCs w:val="21"/>
        </w:rPr>
        <w:t>, mokymų vadovų</w:t>
      </w:r>
      <w:r w:rsidRPr="00375E04">
        <w:rPr>
          <w:rFonts w:cstheme="minorHAnsi"/>
          <w:kern w:val="24"/>
          <w:sz w:val="21"/>
          <w:szCs w:val="21"/>
        </w:rPr>
        <w:t xml:space="preserve"> ir techninio personalo samdymas;</w:t>
      </w:r>
    </w:p>
    <w:p w14:paraId="6C969F28"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Maitinimo paslaugos;</w:t>
      </w:r>
    </w:p>
    <w:p w14:paraId="6964AC9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Patalpų parinkimas ir nuoma; </w:t>
      </w:r>
    </w:p>
    <w:p w14:paraId="563E7F8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Techninės įrangos ir kitų renginio išpildymui reikalingų priemonių suteikimas;</w:t>
      </w:r>
    </w:p>
    <w:p w14:paraId="36AEB030"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dalyvių apgyvendinimo paslaugos;</w:t>
      </w:r>
    </w:p>
    <w:p w14:paraId="66A9F4FB"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kultūrinė programa (pvz., ekskursija, meninis pasirodymas, muzikinė programa ir pan.);</w:t>
      </w:r>
    </w:p>
    <w:p w14:paraId="21282F55" w14:textId="328F518C"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Dizaino, fotografavimo, filmavimo paslaugos;</w:t>
      </w:r>
    </w:p>
    <w:p w14:paraId="3F38381C" w14:textId="4DD1EBA6" w:rsidR="0059219A" w:rsidRPr="00375E04" w:rsidRDefault="0059219A"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Tiekėjo atstovo </w:t>
      </w:r>
      <w:r w:rsidR="00E31573" w:rsidRPr="00375E04">
        <w:rPr>
          <w:rFonts w:cstheme="minorHAnsi"/>
          <w:kern w:val="24"/>
          <w:sz w:val="21"/>
          <w:szCs w:val="21"/>
        </w:rPr>
        <w:t xml:space="preserve">(už renginių organizavimą ir įgyvendinimą atsakingas asmuo) </w:t>
      </w:r>
      <w:r w:rsidRPr="00375E04">
        <w:rPr>
          <w:rFonts w:cstheme="minorHAnsi"/>
          <w:kern w:val="24"/>
          <w:sz w:val="21"/>
          <w:szCs w:val="21"/>
        </w:rPr>
        <w:t>dalyvavimas ir asistavimas renginiuose (nebent su Užsakovu susitarta kitaip). Šios paslaugos įeina į administravimo mokesčio kaštus</w:t>
      </w:r>
      <w:r w:rsidR="00E31573" w:rsidRPr="00375E04">
        <w:rPr>
          <w:rFonts w:cstheme="minorHAnsi"/>
          <w:kern w:val="24"/>
          <w:sz w:val="21"/>
          <w:szCs w:val="21"/>
        </w:rPr>
        <w:t xml:space="preserve"> (sutarties įkainį)</w:t>
      </w:r>
      <w:r w:rsidRPr="00375E04">
        <w:rPr>
          <w:rFonts w:cstheme="minorHAnsi"/>
          <w:kern w:val="24"/>
          <w:sz w:val="21"/>
          <w:szCs w:val="21"/>
        </w:rPr>
        <w:t xml:space="preserve">. </w:t>
      </w:r>
    </w:p>
    <w:p w14:paraId="1DAC83CE"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lastRenderedPageBreak/>
        <w:t>Renginio dalyvių mokesčio administravimas, sąskaitų išrašymas;</w:t>
      </w:r>
    </w:p>
    <w:p w14:paraId="7E494AF3" w14:textId="7208F57D"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Su renginio organizavimu ir aptarnavimu tiesiogiai susijusios paslaugos ir priemonės pagal poreikį (trečiųjų šalių paslaugos).</w:t>
      </w:r>
    </w:p>
    <w:p w14:paraId="5CBEAE13" w14:textId="3827AC55" w:rsidR="00E31573" w:rsidRPr="00375E04" w:rsidRDefault="00E31573"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Už sutarties vykdymą atsakingo projekto vadovo renginių organizavimo koordinavimą iki renginio (turi būti įskaičiuota į sutarties įkainį). Techninės specifikacijos 4.10 ir 4.13 papunkčiuose nurodyti asmenys turi būti du skirtingi asmenys</w:t>
      </w:r>
      <w:r w:rsidR="009C7537" w:rsidRPr="00375E04">
        <w:rPr>
          <w:rFonts w:cstheme="minorHAnsi"/>
          <w:kern w:val="24"/>
          <w:sz w:val="21"/>
          <w:szCs w:val="21"/>
        </w:rPr>
        <w:t>.</w:t>
      </w:r>
      <w:r w:rsidRPr="00375E04">
        <w:rPr>
          <w:rFonts w:cstheme="minorHAnsi"/>
          <w:kern w:val="24"/>
          <w:sz w:val="21"/>
          <w:szCs w:val="21"/>
        </w:rPr>
        <w:t xml:space="preserve"> </w:t>
      </w:r>
    </w:p>
    <w:p w14:paraId="5CCD59AA"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4CF5C5AB"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kern w:val="24"/>
          <w:sz w:val="21"/>
          <w:szCs w:val="21"/>
        </w:rPr>
      </w:pPr>
      <w:r w:rsidRPr="00375E04">
        <w:rPr>
          <w:rFonts w:cstheme="minorHAnsi"/>
          <w:b/>
          <w:bCs/>
          <w:kern w:val="24"/>
          <w:sz w:val="21"/>
          <w:szCs w:val="21"/>
        </w:rPr>
        <w:t>Renginio koncepcijos ir scenarijaus parengimas apima:</w:t>
      </w:r>
    </w:p>
    <w:p w14:paraId="0BAD1514"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koncepcijos parengimas, pasiūlymas ir koregavimas pagal Perkančiosios organizacijos išsakytą poreikį;</w:t>
      </w:r>
    </w:p>
    <w:p w14:paraId="0A0E5F95"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koncepcijai pasiūlomos ne mažiau kaip dvi alternatyvios idėjos, sudarant sąlygas Perkančiajai organizacijai pasirinkti priimtiniausią, geriausiai strateginį tikslą ir uždavinius atitinkančią koncepciją;</w:t>
      </w:r>
    </w:p>
    <w:p w14:paraId="64759D4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Scenarijaus ir/arba renginio plano ir darbotvarkės/programos parengimas ir koregavimas, kalbų renginio vedėjui rengimas pagal Perkančiosios organizacijos išsakytą poreikį; galutinis scenarijaus variantas Perkančiosios organizacijos turi būti patvirtintas ne vėliau kaip likus 5 darbo dienoms iki numatytos renginio pradžios arba ne vėliau kaip iki kito su Perkančiąja organizacija raštu suderinto termino;</w:t>
      </w:r>
    </w:p>
    <w:p w14:paraId="0F1EEDC8"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Siūloma ir užsakoma renginio programa turi atitikti Perkančiosios organizacijos išsakytus poreikius ir komentarus, saugumo reikalavimus ir atliepti šiuolaikines tendencijas, originalumo bei kokybės standartus. </w:t>
      </w:r>
    </w:p>
    <w:p w14:paraId="3094CE59"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57BD0B1D"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kern w:val="24"/>
          <w:sz w:val="21"/>
          <w:szCs w:val="21"/>
        </w:rPr>
      </w:pPr>
      <w:r w:rsidRPr="00375E04">
        <w:rPr>
          <w:rFonts w:cstheme="minorHAnsi"/>
          <w:b/>
          <w:bCs/>
          <w:kern w:val="24"/>
          <w:sz w:val="21"/>
          <w:szCs w:val="21"/>
        </w:rPr>
        <w:t>Renginio kvietimo parengimas apima:</w:t>
      </w:r>
    </w:p>
    <w:p w14:paraId="0A604F20" w14:textId="77777777" w:rsidR="00A967F4" w:rsidRPr="00375E04" w:rsidRDefault="00A967F4" w:rsidP="00375E0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Esant poreikiui, kvietimo į renginį paruošimas; </w:t>
      </w:r>
    </w:p>
    <w:p w14:paraId="2BC82E35"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Kvietimas turi būti paruoštas profesionaliai, naudojantis profesionalia grafinio dizaino programa. Kvietimo turinys ir vizualinis pateikimas derinamas su Perkančiąja organizacija. Kvietimas </w:t>
      </w:r>
      <w:proofErr w:type="spellStart"/>
      <w:r w:rsidRPr="00375E04">
        <w:rPr>
          <w:rFonts w:cstheme="minorHAnsi"/>
          <w:kern w:val="24"/>
          <w:sz w:val="21"/>
          <w:szCs w:val="21"/>
        </w:rPr>
        <w:t>pdf</w:t>
      </w:r>
      <w:proofErr w:type="spellEnd"/>
      <w:r w:rsidRPr="00375E04">
        <w:rPr>
          <w:rFonts w:cstheme="minorHAnsi"/>
          <w:kern w:val="24"/>
          <w:sz w:val="21"/>
          <w:szCs w:val="21"/>
        </w:rPr>
        <w:t xml:space="preserve"> ar kitu Perkančiosios organizacijos patvirtintu formatu išplatinamas el. paštu arba kitu Perkančiosios organizacijos patvirtintu kanalu potencialiems dalyviams ne vėliau kaip likus 21 dienai iki numatytos renginio datos </w:t>
      </w:r>
      <w:bookmarkStart w:id="0" w:name="_Hlk22205540"/>
      <w:r w:rsidRPr="00375E04">
        <w:rPr>
          <w:rFonts w:cstheme="minorHAnsi"/>
          <w:kern w:val="24"/>
          <w:sz w:val="21"/>
          <w:szCs w:val="21"/>
        </w:rPr>
        <w:t>arba ne vėliau kaip su Perkančiąja organizacija suderintos datos;</w:t>
      </w:r>
    </w:p>
    <w:bookmarkEnd w:id="0"/>
    <w:p w14:paraId="39A167D8"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Esant poreikiui, renginio dalyviams suteikiama kita su renginiu susijusi informacija, patikslinimai, atsakoma į iškilusius klausimus el. paštu. </w:t>
      </w:r>
    </w:p>
    <w:p w14:paraId="001992FA"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70283B90"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Renginio atlikėjų ir techninio personalo samdymas apima:</w:t>
      </w:r>
    </w:p>
    <w:p w14:paraId="5281ECBD"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Esant poreikiui, renginio programos atlikėjų paieška ir pasiūlymas pagal iš anksto, ne vėliau kaip likus 2 savaitėms iki renginio pradžios arba ne vėliau kaip su Perkančiąja organizacija suderintos datos pagal Perkančiosios organizacijos išsakytą poreikį; </w:t>
      </w:r>
    </w:p>
    <w:p w14:paraId="5D63E5A7" w14:textId="75FB78D8"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atsiskaitymas su programos atlikėjais (muzikos atlikėjais, pranešėjais, aktoriais, šokėjais ar kt.) yra visiška Tiekėjo atsakomybė</w:t>
      </w:r>
      <w:r w:rsidR="00FF60D3" w:rsidRPr="00375E04">
        <w:rPr>
          <w:rFonts w:cstheme="minorHAnsi"/>
          <w:kern w:val="24"/>
          <w:sz w:val="21"/>
          <w:szCs w:val="21"/>
        </w:rPr>
        <w:t xml:space="preserve"> (nebent Tiekėjas turi subtiekėją, su kuriuo tiesioginis atsiskaitymas numatytas sutartyje). Tiekėjas įsipareigoja atsiskaityti su trečiaisiais asmenimis už konkretaus renginio metu suteiktas paslaugas ne vėliau kaip per 10 darbo dienų po to, kai perkančioji organizacija atsiskaito su Tiekėju už konkretų renginį</w:t>
      </w:r>
      <w:r w:rsidRPr="00375E04">
        <w:rPr>
          <w:rFonts w:cstheme="minorHAnsi"/>
          <w:kern w:val="24"/>
          <w:sz w:val="21"/>
          <w:szCs w:val="21"/>
        </w:rPr>
        <w:t>;</w:t>
      </w:r>
    </w:p>
    <w:p w14:paraId="5C6E0D16"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Esant poreikiui, renginio programos išpildymui parenkami ir pasiūlomi techninio aptarnavimo darbuotojai, asistentai; atsiskaitymas su renginio darbuotojais ir asistentais yra visiška Tiekėjo atsakomybė;</w:t>
      </w:r>
    </w:p>
    <w:p w14:paraId="04F8E188"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Kitų susijusių paslaugų (fotografo, videografo, dekoratoriaus, kt.) ir/ar rekvizitų (apdovanojimų, prizų, kt.) pasiūlymas ir užsakymas, pagal iš anksto, ne vėliau kaip likus 2 savaitėms iki numatytos renginio pradžios pagal Perkančiosios organizacijos išsakytą poreikį.</w:t>
      </w:r>
    </w:p>
    <w:p w14:paraId="5AF0DE65"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6590A72D"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kern w:val="24"/>
          <w:sz w:val="21"/>
          <w:szCs w:val="21"/>
        </w:rPr>
      </w:pPr>
      <w:r w:rsidRPr="00375E04">
        <w:rPr>
          <w:rFonts w:cstheme="minorHAnsi"/>
          <w:b/>
          <w:bCs/>
          <w:kern w:val="24"/>
          <w:sz w:val="21"/>
          <w:szCs w:val="21"/>
        </w:rPr>
        <w:t>Maitinimo paslaugos apima:</w:t>
      </w:r>
    </w:p>
    <w:p w14:paraId="796A450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dalyvių maitinimo (maitinimo paslaugomis vadinami – pietūs, vakarienė, kavos pertraukos ar kitos panašaus pobūdžio maitinimo paslaugos) paslaugų organizavimas, užsakymas ir (jei reikalingas) pristatymas pagal Perkančiosios organizacijos išsakytą poreikį iki šalių sutarimu iš anksto nustatyto termino;</w:t>
      </w:r>
    </w:p>
    <w:p w14:paraId="7CE836D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Siūlomos ir užsakomos maitinimo paslaugos turi atitikti visas higienos normas, kokybės ir šiuolaikinių standartų reikalavimus;</w:t>
      </w:r>
    </w:p>
    <w:p w14:paraId="738E14E6"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Vienam renginiui parenkamos ir pasiūlomos ne mažiau kaip dvi alternatyvios atitinkamos kokybės maitinimo įstaigos ir meniu, įskaitant vegetariškus ir veganiškus pasirinkimus;</w:t>
      </w:r>
    </w:p>
    <w:p w14:paraId="2CC4C08E"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Maitinimo įstaigos meniu turi sudaryti platus europinės arba specializuotos virtuvės asortimentas, lanksčiai pritaikomas Perkančiosios organizacijos išsakytiems poreikiams konkrečiam renginiui; </w:t>
      </w:r>
    </w:p>
    <w:p w14:paraId="131BCAF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lastRenderedPageBreak/>
        <w:t>Maitinimo įstaiga ir meniu galutinai suderinami ir Perkančiosios organizacijos patvirtinami ne vėliau kaip likus 1 savaitei iki numatytos renginio pradžios;</w:t>
      </w:r>
    </w:p>
    <w:p w14:paraId="2C458B12"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Jei maitinimo paslaugos teikiamos maitinimo įstaigoje, šalia maitinimo įstaigos turi būti naudojimui tinkama automobilių stovėjimo aikštelė, požeminė aikštelė arba nurodytos kitos automobilių parkavimo galimybės ne toliau kaip 200 m atstumu nuo renginio vietos, ne mažiau kaip trims Perkančiosios organizacijos automobiliams, nebent Perkančioji organizacija prieš patvirtindama patalpas, yra informuota apie trūkumą ir priima pateiktas sąlygas susirašinėjime raštu; </w:t>
      </w:r>
    </w:p>
    <w:p w14:paraId="02F4ED43" w14:textId="77777777" w:rsidR="00A967F4" w:rsidRPr="00375E04" w:rsidRDefault="00A967F4" w:rsidP="00A967F4">
      <w:pPr>
        <w:pStyle w:val="ListParagraph"/>
        <w:numPr>
          <w:ilvl w:val="1"/>
          <w:numId w:val="1"/>
        </w:numPr>
        <w:spacing w:afterLines="80" w:after="192" w:line="20" w:lineRule="atLeast"/>
        <w:ind w:left="0" w:firstLine="567"/>
        <w:jc w:val="both"/>
        <w:rPr>
          <w:rFonts w:eastAsia="Times New Roman" w:cstheme="minorHAnsi"/>
          <w:i/>
          <w:iCs/>
          <w:kern w:val="24"/>
          <w:sz w:val="21"/>
          <w:szCs w:val="21"/>
        </w:rPr>
      </w:pPr>
      <w:bookmarkStart w:id="1" w:name="_Hlk163742594"/>
      <w:r w:rsidRPr="00375E04">
        <w:rPr>
          <w:rFonts w:cstheme="minorHAnsi"/>
          <w:kern w:val="24"/>
          <w:sz w:val="21"/>
          <w:szCs w:val="21"/>
        </w:rPr>
        <w:t xml:space="preserve">Ne mažiau kaip 30 proc. maitinimo paslaugoms naudojamų maisto produktų turi atitikti </w:t>
      </w:r>
      <w:hyperlink r:id="rId5" w:tgtFrame="_blank" w:history="1">
        <w:r w:rsidRPr="00375E04">
          <w:rPr>
            <w:rFonts w:cstheme="minorHAnsi"/>
            <w:kern w:val="24"/>
            <w:sz w:val="21"/>
            <w:szCs w:val="21"/>
          </w:rPr>
          <w:t>Lietuvos Respublikos aplinkos ministro 2011 m. birželio 28 d. įsakymo Nr. D1-508 „Dėl aplinkos apsaugos kriterijų taikymo, vykdant žaliuosius pirkimus, tvarkos aprašo patvirtinimo"</w:t>
        </w:r>
      </w:hyperlink>
      <w:r w:rsidRPr="00375E04">
        <w:rPr>
          <w:rFonts w:cstheme="minorHAnsi"/>
          <w:kern w:val="24"/>
          <w:sz w:val="21"/>
          <w:szCs w:val="21"/>
        </w:rPr>
        <w:t xml:space="preserve"> (toliau – Žaliųjų pirkimų aprašas) 8.1. papunkčio reikalavimus. ŠMPF pasirenka, kuriuose renginiuose taikyti šį reikalavimą (konkretaus renginio maisto produktų atitiktis žaliesiems reikalavimams gali viršyti 30 proc. arba mažesnis nei 30 proc. pagal ŠMPF užsakymą, o 30 proc. riba taikoma tik visai renginių organizavimo sutarčiai, o ne konkretiems renginiams). </w:t>
      </w:r>
      <w:r w:rsidRPr="00375E04">
        <w:rPr>
          <w:rFonts w:eastAsia="Times New Roman" w:cstheme="minorHAnsi"/>
          <w:i/>
          <w:iCs/>
          <w:kern w:val="24"/>
          <w:sz w:val="21"/>
          <w:szCs w:val="21"/>
        </w:rPr>
        <w:t>ŠMPF gali reikalauti atitiktį reikalavimams įrodančių dokumentų. Atitiktį reikalavimams įrodantys dokumentai: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bookmarkEnd w:id="1"/>
    <w:p w14:paraId="093ECDE7" w14:textId="77777777" w:rsidR="00A967F4" w:rsidRPr="00375E04" w:rsidRDefault="00A967F4" w:rsidP="00A967F4">
      <w:pPr>
        <w:pStyle w:val="ListParagraph"/>
        <w:spacing w:afterLines="80" w:after="192" w:line="20" w:lineRule="atLeast"/>
        <w:ind w:firstLine="567"/>
        <w:jc w:val="both"/>
        <w:rPr>
          <w:rFonts w:eastAsia="Times New Roman" w:cstheme="minorHAnsi"/>
          <w:i/>
          <w:iCs/>
          <w:kern w:val="24"/>
          <w:sz w:val="21"/>
          <w:szCs w:val="21"/>
        </w:rPr>
      </w:pPr>
    </w:p>
    <w:p w14:paraId="496DD0FD"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kern w:val="24"/>
          <w:sz w:val="21"/>
          <w:szCs w:val="21"/>
        </w:rPr>
      </w:pPr>
      <w:r w:rsidRPr="00375E04">
        <w:rPr>
          <w:rFonts w:cstheme="minorHAnsi"/>
          <w:b/>
          <w:bCs/>
          <w:kern w:val="24"/>
          <w:sz w:val="21"/>
          <w:szCs w:val="21"/>
        </w:rPr>
        <w:t>Patalpų parinkimas ir nuoma apima:</w:t>
      </w:r>
    </w:p>
    <w:p w14:paraId="14F761FB" w14:textId="334818FF"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vietos parinkimas ir užsakymas pagal iš anksto Perkančiosios organizacijos išsakytą poreikį iki šalių sutarimu iš anksto nustatyto termino</w:t>
      </w:r>
      <w:r w:rsidR="00FF60D3" w:rsidRPr="00375E04">
        <w:rPr>
          <w:rFonts w:cstheme="minorHAnsi"/>
          <w:kern w:val="24"/>
          <w:sz w:val="21"/>
          <w:szCs w:val="21"/>
        </w:rPr>
        <w:t xml:space="preserve"> (užsakymas</w:t>
      </w:r>
      <w:r w:rsidR="003F35D3" w:rsidRPr="00375E04">
        <w:rPr>
          <w:rFonts w:cstheme="minorHAnsi"/>
          <w:kern w:val="24"/>
          <w:sz w:val="21"/>
          <w:szCs w:val="21"/>
        </w:rPr>
        <w:t xml:space="preserve"> turi būti įvykdytas ne vėliau kaip 5 darbo dienas nuo suderinimo su Perkančiąją organizacija)</w:t>
      </w:r>
    </w:p>
    <w:p w14:paraId="717689D6"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Patalpos turi būti reprezentatyvios, atitinkančios renginio pobūdį, formatą (konferencija, apdovanojimai, darbo posėdis, kt.) ir šiuolaikinius standartus; </w:t>
      </w:r>
    </w:p>
    <w:p w14:paraId="6B92C4A9"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Patalpose turi būti: veikiantis kondicionierius; šildymas ir vėdinimas (pagal sezoną); renginiui reikalingas inventorius; pagal nurodytą renginio dalyvių skaičių baldai, rūbinės; higieninės patalpos; pasiruošimo ir daiktų sandėliavimo patalpos, nebent Perkančioji organizacija prieš patvirtindama patalpas, yra informuota apie patalpų trūkumus ir priima pateiktas sąlygas susirašinėjime raštu; </w:t>
      </w:r>
    </w:p>
    <w:p w14:paraId="788F7337"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metu patalpose neturi būti papildomų renginiui nenumatytų rekvizitų, daiktų;</w:t>
      </w:r>
    </w:p>
    <w:p w14:paraId="3243ED82"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Patalpos turi būti parengtos naudojimui ne vėliau kaip likus 3 valandoms iki numatytos renginio pradžios;</w:t>
      </w:r>
    </w:p>
    <w:p w14:paraId="72FB56A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Patalpose turi būti užtikrinta švara ir tvarka;</w:t>
      </w:r>
    </w:p>
    <w:p w14:paraId="2F397C3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Prieš kiekvieną renginį, ne vėliau kaip likus 2 dienoms iki numatytos renginio pradžios turi būti nurodomas asmuo, atsakingas už patalpų ir jose esančios įrangos eksploatavimą bei priežiūrą, į kurį būtų galima kreiptis iškilus problemoms ar klausimams viso renginio metu;</w:t>
      </w:r>
    </w:p>
    <w:p w14:paraId="4B5E777C"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Visomis reikalingomis nuorodomis ir nukreipiamaisiais ženklais bei kita reikalinga informacija (pvz., belaidžio interneto prisijungimo informacija) ir jos skelbimu patalpose aiškiai matomose vietose rūpinasi ir pilnai atsakomybę prisiima Tiekėjas;</w:t>
      </w:r>
    </w:p>
    <w:p w14:paraId="021AAA6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Šalia renginio vietos turi būti naudojimui tinkama automobilių stovėjimo aikštelė, požeminė aikštelė arba nurodytos kitos automobilių parkavimo galimybės ne toliau kaip 200 m atstumu nuo renginio vietos, ne mažiau kaip trims Perkančiosios organizacijos automobiliams, nebent Perkančioji organizacija prieš patvirtindama patalpas, yra informuota apie trūkumą ir priima pateiktas sąlygas susirašinėjime raštu.</w:t>
      </w:r>
    </w:p>
    <w:p w14:paraId="54085A3B"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5F7A6C57"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Techninės įrangos ir kitų renginio išpildymui reikalingų priemonių suteikimas apima:</w:t>
      </w:r>
    </w:p>
    <w:p w14:paraId="769B2D74"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išpildymui reikalingos techninės įrangos paieška, parinkimas, užsakymas ir pristatymas; numatoma reikalinga įranga:</w:t>
      </w:r>
    </w:p>
    <w:p w14:paraId="3A2BB1E7"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Įgarsinimo įranga;</w:t>
      </w:r>
    </w:p>
    <w:p w14:paraId="3954C103"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Apšvietimo įranga;</w:t>
      </w:r>
    </w:p>
    <w:p w14:paraId="037D5E9E"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Konferencinė įranga ir priemonės;</w:t>
      </w:r>
    </w:p>
    <w:p w14:paraId="7BA394A8"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Telekomunikacinė įranga;</w:t>
      </w:r>
    </w:p>
    <w:p w14:paraId="4D8AF940"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Kitų renginio išpildymui reikalingų priemonių – dekoracijų, rekvizitų, apdovanojimų, prizų paieška, užsakymas ir pristatymas, pagal organizacijos pateiktą poreikį, pasiūlymas ir užsakymas. </w:t>
      </w:r>
    </w:p>
    <w:p w14:paraId="6788EEC7"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Renginiui siūloma įranga turi būti patikrinta, veikianti; Tiekėjas įsipareigoja Perkančiajai organizacijai teikti informaciją apie įrangos būklę, eksploatavimo laiką ir gamintoją ir Perkančiajai organizacijai </w:t>
      </w:r>
      <w:r w:rsidRPr="00375E04">
        <w:rPr>
          <w:rFonts w:cstheme="minorHAnsi"/>
          <w:kern w:val="24"/>
          <w:sz w:val="21"/>
          <w:szCs w:val="21"/>
        </w:rPr>
        <w:lastRenderedPageBreak/>
        <w:t>pageidaujant, pagal nurodytus kriterijus pakeisti į kitą; Perkančiajai organizacijai pageidaujant, turi būti garantuotas suteiktos įrangos ir/ar technikos aptarnavimo paslaugas teikiantis profesionalas;</w:t>
      </w:r>
    </w:p>
    <w:p w14:paraId="0B3D4307"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Renginiui reikalingos įrangos ir priemonių poreikis su Perkančiąja organizacija pasitvirtinamas ne vėliau kaip likus 5 dienoms iki numatytos renginio pradžios. </w:t>
      </w:r>
    </w:p>
    <w:p w14:paraId="48412B40"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Renginiuose naudojamas (Paslaugų teikėjo pateiktas (-i)) popierius, raštinės prekės turi atitikti minimalius aplinkos apsaugos kriterijus:</w:t>
      </w:r>
    </w:p>
    <w:p w14:paraId="07250993" w14:textId="77777777" w:rsidR="00A967F4" w:rsidRPr="00375E04" w:rsidRDefault="00A967F4" w:rsidP="00A967F4">
      <w:pPr>
        <w:pStyle w:val="ListParagraph"/>
        <w:numPr>
          <w:ilvl w:val="2"/>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Rašymui, spausdinimui, kopijavimui naudojamas perdirbtas popierius:</w:t>
      </w:r>
    </w:p>
    <w:p w14:paraId="32ECFF48" w14:textId="77777777" w:rsidR="00A967F4" w:rsidRPr="00375E04" w:rsidRDefault="00A967F4" w:rsidP="00A967F4">
      <w:pPr>
        <w:pStyle w:val="ListParagraph"/>
        <w:numPr>
          <w:ilvl w:val="2"/>
          <w:numId w:val="1"/>
        </w:numPr>
        <w:spacing w:afterLines="80" w:after="192" w:line="20" w:lineRule="atLeast"/>
        <w:ind w:left="0" w:firstLine="567"/>
        <w:jc w:val="both"/>
        <w:rPr>
          <w:rFonts w:eastAsia="Times New Roman" w:cstheme="minorHAnsi"/>
          <w:i/>
          <w:iCs/>
          <w:kern w:val="24"/>
          <w:sz w:val="21"/>
          <w:szCs w:val="21"/>
        </w:rPr>
      </w:pPr>
      <w:r w:rsidRPr="00375E04">
        <w:rPr>
          <w:rFonts w:eastAsia="Times New Roman" w:cstheme="minorHAnsi"/>
          <w:kern w:val="24"/>
          <w:sz w:val="21"/>
          <w:szCs w:val="21"/>
        </w:rPr>
        <w:t xml:space="preserve">popieriaus sudėtyje turi būti ne mažiau kaip 100 % perdirbto popieriaus (naudoto popieriaus ir (ar) gamybos atliekų) plaušų. </w:t>
      </w:r>
      <w:r w:rsidRPr="00375E04">
        <w:rPr>
          <w:rFonts w:eastAsia="Times New Roman" w:cstheme="minorHAnsi"/>
          <w:i/>
          <w:iCs/>
          <w:kern w:val="24"/>
          <w:sz w:val="21"/>
          <w:szCs w:val="21"/>
        </w:rPr>
        <w:t xml:space="preserve">Sutarties vykdymo metu PO turi teisę prašyti atitiktį reikalavimams įrodančių dokumentų: Vokietijos ekologinis ženklas „Mėlynasis angelas“ (toliau – </w:t>
      </w:r>
      <w:proofErr w:type="spellStart"/>
      <w:r w:rsidRPr="00375E04">
        <w:rPr>
          <w:rFonts w:eastAsia="Times New Roman" w:cstheme="minorHAnsi"/>
          <w:i/>
          <w:iCs/>
          <w:kern w:val="24"/>
          <w:sz w:val="21"/>
          <w:szCs w:val="21"/>
        </w:rPr>
        <w:t>the</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Blue</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Angel</w:t>
      </w:r>
      <w:proofErr w:type="spellEnd"/>
      <w:r w:rsidRPr="00375E04">
        <w:rPr>
          <w:rFonts w:eastAsia="Times New Roman" w:cstheme="minorHAnsi"/>
          <w:i/>
          <w:iCs/>
          <w:kern w:val="24"/>
          <w:sz w:val="21"/>
          <w:szCs w:val="21"/>
        </w:rPr>
        <w:t xml:space="preserve">) arba Šiaurės šalių ekologinis ženklas „Gulbė“ (toliau – </w:t>
      </w:r>
      <w:proofErr w:type="spellStart"/>
      <w:r w:rsidRPr="00375E04">
        <w:rPr>
          <w:rFonts w:eastAsia="Times New Roman" w:cstheme="minorHAnsi"/>
          <w:i/>
          <w:iCs/>
          <w:kern w:val="24"/>
          <w:sz w:val="21"/>
          <w:szCs w:val="21"/>
        </w:rPr>
        <w:t>Nordic</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Swan</w:t>
      </w:r>
      <w:proofErr w:type="spellEnd"/>
      <w:r w:rsidRPr="00375E04">
        <w:rPr>
          <w:rFonts w:eastAsia="Times New Roman" w:cstheme="minorHAnsi"/>
          <w:i/>
          <w:iCs/>
          <w:kern w:val="24"/>
          <w:sz w:val="21"/>
          <w:szCs w:val="21"/>
        </w:rPr>
        <w:t xml:space="preserve">), arba </w:t>
      </w:r>
      <w:proofErr w:type="spellStart"/>
      <w:r w:rsidRPr="00375E04">
        <w:rPr>
          <w:rFonts w:eastAsia="Times New Roman" w:cstheme="minorHAnsi"/>
          <w:i/>
          <w:iCs/>
          <w:kern w:val="24"/>
          <w:sz w:val="21"/>
          <w:szCs w:val="21"/>
        </w:rPr>
        <w:t>Forest</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Stewardship</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Council</w:t>
      </w:r>
      <w:proofErr w:type="spellEnd"/>
      <w:r w:rsidRPr="00375E04">
        <w:rPr>
          <w:rFonts w:eastAsia="Times New Roman" w:cstheme="minorHAnsi"/>
          <w:i/>
          <w:iCs/>
          <w:kern w:val="24"/>
          <w:sz w:val="21"/>
          <w:szCs w:val="21"/>
        </w:rPr>
        <w:t xml:space="preserve"> (toliau – FSC) sertifikatas, arba gamintojo techniniai dokumentai, arba paskelbtosios (notifikuotos) įstaigos bandymų protokolas, arba kiti lygiaverčiai įrodymai.</w:t>
      </w:r>
    </w:p>
    <w:p w14:paraId="490A2D72" w14:textId="77777777" w:rsidR="00A967F4" w:rsidRPr="00375E04" w:rsidRDefault="00A967F4" w:rsidP="00A967F4">
      <w:pPr>
        <w:pStyle w:val="ListParagraph"/>
        <w:numPr>
          <w:ilvl w:val="2"/>
          <w:numId w:val="1"/>
        </w:numPr>
        <w:spacing w:afterLines="80" w:after="192" w:line="20" w:lineRule="atLeast"/>
        <w:ind w:left="0" w:firstLine="567"/>
        <w:jc w:val="both"/>
        <w:rPr>
          <w:rFonts w:eastAsia="Times New Roman" w:cstheme="minorHAnsi"/>
          <w:kern w:val="24"/>
          <w:sz w:val="21"/>
          <w:szCs w:val="21"/>
        </w:rPr>
      </w:pPr>
      <w:r w:rsidRPr="00375E04">
        <w:rPr>
          <w:rFonts w:eastAsia="Times New Roman" w:cstheme="minorHAnsi"/>
          <w:kern w:val="24"/>
          <w:sz w:val="21"/>
          <w:szCs w:val="21"/>
        </w:rPr>
        <w:t xml:space="preserve">popierius turi būti nebalintas arba balintas nenaudojant chloro dujų: gamyboje naudojama ECF (angl. </w:t>
      </w:r>
      <w:proofErr w:type="spellStart"/>
      <w:r w:rsidRPr="00375E04">
        <w:rPr>
          <w:rFonts w:eastAsia="Times New Roman" w:cstheme="minorHAnsi"/>
          <w:kern w:val="24"/>
          <w:sz w:val="21"/>
          <w:szCs w:val="21"/>
        </w:rPr>
        <w:t>Elementary</w:t>
      </w:r>
      <w:proofErr w:type="spellEnd"/>
      <w:r w:rsidRPr="00375E04">
        <w:rPr>
          <w:rFonts w:eastAsia="Times New Roman" w:cstheme="minorHAnsi"/>
          <w:kern w:val="24"/>
          <w:sz w:val="21"/>
          <w:szCs w:val="21"/>
        </w:rPr>
        <w:t xml:space="preserve"> Chlorine-</w:t>
      </w:r>
      <w:proofErr w:type="spellStart"/>
      <w:r w:rsidRPr="00375E04">
        <w:rPr>
          <w:rFonts w:eastAsia="Times New Roman" w:cstheme="minorHAnsi"/>
          <w:kern w:val="24"/>
          <w:sz w:val="21"/>
          <w:szCs w:val="21"/>
        </w:rPr>
        <w:t>Free</w:t>
      </w:r>
      <w:proofErr w:type="spellEnd"/>
      <w:r w:rsidRPr="00375E04">
        <w:rPr>
          <w:rFonts w:eastAsia="Times New Roman" w:cstheme="minorHAnsi"/>
          <w:kern w:val="24"/>
          <w:sz w:val="21"/>
          <w:szCs w:val="21"/>
        </w:rPr>
        <w:t xml:space="preserve">) technologija (balinimui nenaudojamos chloro dujos, bet naudojami chloro junginiai) arba TCF (angl. </w:t>
      </w:r>
      <w:proofErr w:type="spellStart"/>
      <w:r w:rsidRPr="00375E04">
        <w:rPr>
          <w:rFonts w:eastAsia="Times New Roman" w:cstheme="minorHAnsi"/>
          <w:kern w:val="24"/>
          <w:sz w:val="21"/>
          <w:szCs w:val="21"/>
        </w:rPr>
        <w:t>Totally</w:t>
      </w:r>
      <w:proofErr w:type="spellEnd"/>
      <w:r w:rsidRPr="00375E04">
        <w:rPr>
          <w:rFonts w:eastAsia="Times New Roman" w:cstheme="minorHAnsi"/>
          <w:kern w:val="24"/>
          <w:sz w:val="21"/>
          <w:szCs w:val="21"/>
        </w:rPr>
        <w:t xml:space="preserve"> Chlorine-</w:t>
      </w:r>
      <w:proofErr w:type="spellStart"/>
      <w:r w:rsidRPr="00375E04">
        <w:rPr>
          <w:rFonts w:eastAsia="Times New Roman" w:cstheme="minorHAnsi"/>
          <w:kern w:val="24"/>
          <w:sz w:val="21"/>
          <w:szCs w:val="21"/>
        </w:rPr>
        <w:t>Free</w:t>
      </w:r>
      <w:proofErr w:type="spellEnd"/>
      <w:r w:rsidRPr="00375E04">
        <w:rPr>
          <w:rFonts w:eastAsia="Times New Roman" w:cstheme="minorHAnsi"/>
          <w:kern w:val="24"/>
          <w:sz w:val="21"/>
          <w:szCs w:val="21"/>
        </w:rPr>
        <w:t>) technologija (balinama deguonimi, vandenilio peroksidu ar kitomis chloro junginių neturinčiomis priemonėmis), arba lygiavertės technologijos.</w:t>
      </w:r>
      <w:r w:rsidRPr="00375E04">
        <w:rPr>
          <w:rFonts w:eastAsia="Times New Roman" w:cstheme="minorHAnsi"/>
          <w:kern w:val="24"/>
          <w:sz w:val="21"/>
          <w:szCs w:val="21"/>
        </w:rPr>
        <w:br/>
      </w:r>
      <w:r w:rsidRPr="00375E04">
        <w:rPr>
          <w:rFonts w:eastAsia="Times New Roman" w:cstheme="minorHAnsi"/>
          <w:i/>
          <w:iCs/>
          <w:kern w:val="24"/>
          <w:sz w:val="21"/>
          <w:szCs w:val="21"/>
        </w:rPr>
        <w:t xml:space="preserve">Sutarties vykdymo metu PO turi teisę prašyti atitiktį reikalavimams įrodančių dokumentų: ekologinis ženklas </w:t>
      </w:r>
      <w:proofErr w:type="spellStart"/>
      <w:r w:rsidRPr="00375E04">
        <w:rPr>
          <w:rFonts w:eastAsia="Times New Roman" w:cstheme="minorHAnsi"/>
          <w:i/>
          <w:iCs/>
          <w:kern w:val="24"/>
          <w:sz w:val="21"/>
          <w:szCs w:val="21"/>
        </w:rPr>
        <w:t>the</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Blue</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Angel</w:t>
      </w:r>
      <w:proofErr w:type="spellEnd"/>
      <w:r w:rsidRPr="00375E04">
        <w:rPr>
          <w:rFonts w:eastAsia="Times New Roman" w:cstheme="minorHAnsi"/>
          <w:i/>
          <w:iCs/>
          <w:kern w:val="24"/>
          <w:sz w:val="21"/>
          <w:szCs w:val="21"/>
        </w:rPr>
        <w:t xml:space="preserve"> arba </w:t>
      </w:r>
      <w:proofErr w:type="spellStart"/>
      <w:r w:rsidRPr="00375E04">
        <w:rPr>
          <w:rFonts w:eastAsia="Times New Roman" w:cstheme="minorHAnsi"/>
          <w:i/>
          <w:iCs/>
          <w:kern w:val="24"/>
          <w:sz w:val="21"/>
          <w:szCs w:val="21"/>
        </w:rPr>
        <w:t>Nordic</w:t>
      </w:r>
      <w:proofErr w:type="spellEnd"/>
      <w:r w:rsidRPr="00375E04">
        <w:rPr>
          <w:rFonts w:eastAsia="Times New Roman" w:cstheme="minorHAnsi"/>
          <w:i/>
          <w:iCs/>
          <w:kern w:val="24"/>
          <w:sz w:val="21"/>
          <w:szCs w:val="21"/>
        </w:rPr>
        <w:t xml:space="preserve"> </w:t>
      </w:r>
      <w:proofErr w:type="spellStart"/>
      <w:r w:rsidRPr="00375E04">
        <w:rPr>
          <w:rFonts w:eastAsia="Times New Roman" w:cstheme="minorHAnsi"/>
          <w:i/>
          <w:iCs/>
          <w:kern w:val="24"/>
          <w:sz w:val="21"/>
          <w:szCs w:val="21"/>
        </w:rPr>
        <w:t>Swan</w:t>
      </w:r>
      <w:proofErr w:type="spellEnd"/>
      <w:r w:rsidRPr="00375E04">
        <w:rPr>
          <w:rFonts w:eastAsia="Times New Roman" w:cstheme="minorHAnsi"/>
          <w:i/>
          <w:iCs/>
          <w:kern w:val="24"/>
          <w:sz w:val="21"/>
          <w:szCs w:val="21"/>
        </w:rPr>
        <w:t>, arba gamintojo techniniai dokumentai, arba paskelbtosios (notifikuotos) įstaigos bandymų protokolas, arba kiti lygiaverčiai įrodymai.</w:t>
      </w:r>
    </w:p>
    <w:p w14:paraId="54C6815F" w14:textId="63A2FA18" w:rsidR="00A967F4" w:rsidRPr="006B2FF3" w:rsidRDefault="00A967F4" w:rsidP="006B2FF3">
      <w:pPr>
        <w:pStyle w:val="ListParagraph"/>
        <w:numPr>
          <w:ilvl w:val="2"/>
          <w:numId w:val="1"/>
        </w:numPr>
        <w:spacing w:afterLines="80" w:after="192" w:line="20" w:lineRule="atLeast"/>
        <w:ind w:left="0" w:firstLine="567"/>
        <w:jc w:val="both"/>
        <w:rPr>
          <w:rFonts w:eastAsia="Times New Roman" w:cstheme="minorHAnsi"/>
          <w:kern w:val="24"/>
          <w:sz w:val="21"/>
          <w:szCs w:val="21"/>
        </w:rPr>
      </w:pPr>
      <w:r w:rsidRPr="00375E04">
        <w:rPr>
          <w:rFonts w:eastAsia="Times New Roman" w:cstheme="minorHAnsi"/>
          <w:kern w:val="24"/>
          <w:sz w:val="21"/>
          <w:szCs w:val="21"/>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Pr="00375E04">
        <w:rPr>
          <w:rFonts w:eastAsia="Times New Roman" w:cstheme="minorHAnsi"/>
          <w:kern w:val="24"/>
          <w:sz w:val="21"/>
          <w:szCs w:val="21"/>
        </w:rPr>
        <w:br/>
      </w:r>
      <w:r w:rsidRPr="00375E04">
        <w:rPr>
          <w:rFonts w:eastAsia="Times New Roman" w:cstheme="minorHAnsi"/>
          <w:i/>
          <w:iCs/>
          <w:kern w:val="24"/>
          <w:sz w:val="21"/>
          <w:szCs w:val="21"/>
        </w:rPr>
        <w:t>Sutarties vykdymo metu PO turi teisę prašyti atitiktį reikalavimams įrodančių dokumentų: gamintojo ir (ar) importuotojo raštiškas patvirtinimas apie pakuotės atitiktį arba kiti lygiaverčiai įrodymai.</w:t>
      </w:r>
    </w:p>
    <w:p w14:paraId="7E614DC5" w14:textId="77777777" w:rsidR="006B2FF3" w:rsidRPr="006B2FF3" w:rsidRDefault="006B2FF3" w:rsidP="006B2FF3">
      <w:pPr>
        <w:pStyle w:val="ListParagraph"/>
        <w:spacing w:afterLines="80" w:after="192" w:line="20" w:lineRule="atLeast"/>
        <w:ind w:left="567"/>
        <w:jc w:val="both"/>
        <w:rPr>
          <w:rFonts w:eastAsia="Times New Roman" w:cstheme="minorHAnsi"/>
          <w:kern w:val="24"/>
          <w:sz w:val="21"/>
          <w:szCs w:val="21"/>
        </w:rPr>
      </w:pPr>
    </w:p>
    <w:p w14:paraId="5E5E0170"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Renginio dalyvių apgyvendinimo paslaugos.</w:t>
      </w:r>
    </w:p>
    <w:p w14:paraId="5769FD0E"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Apgyvendinimo patalpos turi būti švarios ir tvarkingos. Esant Perkančiosios organizacijos poreikiui, Tiekėjas turi patikrinti, ar patalpos atitinka nurodytus reikalavimus (Apgyvendinimo paslaugų sveikatos saugos reikalavimai, patvirtinti Lietuvos Respublikos sveikatos apsaugos ministro 2011 m. sausio 27 d. įsakymu Nr. V-82);</w:t>
      </w:r>
    </w:p>
    <w:p w14:paraId="181DD3FC" w14:textId="38E3E27B"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Esant poreikiui, Tiekėjas turi renginio dalyviams rezervuoti apgyvendinimo vietą ten pat, kur vyksta renginys</w:t>
      </w:r>
      <w:r w:rsidR="003F35D3" w:rsidRPr="00375E04">
        <w:rPr>
          <w:rFonts w:cstheme="minorHAnsi"/>
          <w:kern w:val="24"/>
          <w:sz w:val="21"/>
          <w:szCs w:val="21"/>
        </w:rPr>
        <w:t xml:space="preserve"> ne vėliau kaip per 5 darbo dienas nuo perkančiosios organizacijos užsakymo (išskyrus atvejus, kai Perkančioji organizacija pati nustato ilgesnius terminus)</w:t>
      </w:r>
      <w:r w:rsidRPr="00375E04">
        <w:rPr>
          <w:rFonts w:cstheme="minorHAnsi"/>
          <w:kern w:val="24"/>
          <w:sz w:val="21"/>
          <w:szCs w:val="21"/>
        </w:rPr>
        <w:t>;</w:t>
      </w:r>
    </w:p>
    <w:p w14:paraId="4B5A327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dalyviams turi būti rezervuojami, kai dalyviai patys apmoka už apgyvendinimą, arba užsakomi, kai Tiekėjas rezervuoja ir apmoka už apgyvendinimą, vienviečiai standartiniai kambariai su pusryčiais (nebent dalyviai arba Perkančioji organizacija nurodo kitaip), 3–4 žvaigždučių viešbučiuose arba kitose apgyvendinimo vietose (pvz., kaimo turizmo sodybose (įvertinimas 4–5 gandrai) arba pagal Perkančiosios organizacijos išsakytą poreikį;</w:t>
      </w:r>
    </w:p>
    <w:p w14:paraId="5E4F5A8B" w14:textId="4AB487A8"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Turi būti užtikrinta galimybė Perkančiajai organizacijai viešbučio kambarius tik rezervuoti ir (arba) užsakyti, negarantuojant, kad visi Tiekėjo rezervuoti ir (arba) užsakyti kambariai bus patvirtinti ir apmokėti Perkančiosios organizacijos ir (arba) renginio dalyvių. Už renginio dalyvių apgyvendinimą bus atsiskaitoma pagal faktiškai apgyvendintų dalyvių skaičių, o ne pagal Perkančiosios organizacijos nurodytą rezervuotų ir (arba) užsakytų kambarių skaičių</w:t>
      </w:r>
      <w:r w:rsidR="003F35D3" w:rsidRPr="00375E04">
        <w:rPr>
          <w:rFonts w:cstheme="minorHAnsi"/>
          <w:kern w:val="24"/>
          <w:sz w:val="21"/>
          <w:szCs w:val="21"/>
        </w:rPr>
        <w:t>. Jeigu viešbutis nesuteikia galimybės rezervuoti kambarius be apmokėjimo, tokiu atveju prieš rezervuojant kambarius būti suderinama su perkančiąją organizacija</w:t>
      </w:r>
      <w:r w:rsidRPr="00375E04">
        <w:rPr>
          <w:rFonts w:cstheme="minorHAnsi"/>
          <w:kern w:val="24"/>
          <w:sz w:val="21"/>
          <w:szCs w:val="21"/>
        </w:rPr>
        <w:t xml:space="preserve">; </w:t>
      </w:r>
    </w:p>
    <w:p w14:paraId="255179BD"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 xml:space="preserve">Perkančiajai organizacijai ir užsiregistravusiems renginio dalyviams elektroniniu paštu turi būti pateiktas patvirtinimas, kad atlikta ir patvirtinta viešbučio kambarių rezervacija. </w:t>
      </w:r>
    </w:p>
    <w:p w14:paraId="41B80913" w14:textId="77777777" w:rsidR="00A967F4" w:rsidRPr="00375E04" w:rsidRDefault="00A967F4" w:rsidP="00A967F4">
      <w:pPr>
        <w:pStyle w:val="ListParagraph"/>
        <w:spacing w:afterLines="80" w:after="192" w:line="20" w:lineRule="atLeast"/>
        <w:ind w:firstLine="567"/>
        <w:jc w:val="both"/>
        <w:rPr>
          <w:rFonts w:cstheme="minorHAnsi"/>
          <w:kern w:val="24"/>
          <w:sz w:val="21"/>
          <w:szCs w:val="21"/>
        </w:rPr>
      </w:pPr>
    </w:p>
    <w:p w14:paraId="4C40E755"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 xml:space="preserve"> Su renginio organizavimu ir aptarnavimu tiesiogiai susijusios paslaugos ir priemonės pagal poreikį (trečiųjų šalių paslaugos):</w:t>
      </w:r>
    </w:p>
    <w:p w14:paraId="70F78204"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vedėjas / moderatorius, programos atlikėjai (pvz., pranešėjai, muzikantai, dainininkai, asistentai ir kt.).</w:t>
      </w:r>
    </w:p>
    <w:p w14:paraId="6243C0FF"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Įgarsinimo, apšvietimo, filmavimo, fotografavimo paslaugos.</w:t>
      </w:r>
    </w:p>
    <w:p w14:paraId="5C4FE60E"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Maitinimo, logistikos, higienos priemonių paslaugos, greitosios pagalbos paslaugos, apsaugos paslaugos.</w:t>
      </w:r>
    </w:p>
    <w:p w14:paraId="003984C0"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lastRenderedPageBreak/>
        <w:t>Renginio inventorius, dekoracijos, prizai, dalomoji medžiaga, reklaminių priemonių gamyba, kitos renginiui reikalingos priemonės.</w:t>
      </w:r>
    </w:p>
    <w:p w14:paraId="39A66F2D"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Renginio vietos (arba patalpų) nuoma ir jų sutvarkymas po renginio.</w:t>
      </w:r>
    </w:p>
    <w:p w14:paraId="4103D862"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Kitos pagal renginio specifiką reikalingos trečiųjų šalių paslaugos / prekės.</w:t>
      </w:r>
    </w:p>
    <w:p w14:paraId="4B90F0F5"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Kai Perkančiajai organizacijai užsakant šios techninės specifikacijos 3.3. punkte nurodytas paslaugas ir (ar) prekes, ir Tiekėjui šių paslaugų teikimui ir (ar) prekių tiekimui reikalinga pasitelkti kitus ūkio subjektus (toliau šiame punkte – ūkio subjektas) ar pasinaudoti jų ištekliais:</w:t>
      </w:r>
    </w:p>
    <w:p w14:paraId="1278BA2D"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Į Trečiųjų šalių apmokėjimo išlaidas negali būti įtrauktas Tiekėjo (renginio organizavimo Paslaugų tiekėjo) pelnas.</w:t>
      </w:r>
    </w:p>
    <w:p w14:paraId="3C8B1BA7"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Pirkėjui pareikalavus Tiekėjas turi pateikti visų su įvykusiu renginiu tiesiogiai susijusių išlaidų (trečiųjų šalių) sąskaitų kopijas.</w:t>
      </w:r>
    </w:p>
    <w:p w14:paraId="3FB09E33"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Už prekių ir (ar) paslaugų sąraše nenurodytas, tačiau su pirkimo objektu susijusias prekes ir (ar) paslaugas bus apmokėta ne didesnėmis nei rinką atitinkančiomis kainomis.</w:t>
      </w:r>
    </w:p>
    <w:p w14:paraId="75B1DDC5"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kern w:val="24"/>
          <w:sz w:val="21"/>
          <w:szCs w:val="21"/>
        </w:rPr>
      </w:pPr>
      <w:r w:rsidRPr="00375E04">
        <w:rPr>
          <w:rFonts w:cstheme="minorHAnsi"/>
          <w:kern w:val="24"/>
          <w:sz w:val="21"/>
          <w:szCs w:val="21"/>
        </w:rPr>
        <w:t>Sutarties vykdymo metu priimami tiekėjo sprendimai, susiję su faktinėmis išlaidomis, su PO turi būti derinami iš anksto.</w:t>
      </w:r>
    </w:p>
    <w:p w14:paraId="4395C733" w14:textId="77777777" w:rsidR="00A967F4" w:rsidRPr="00375E04" w:rsidRDefault="00A967F4" w:rsidP="00A967F4">
      <w:pPr>
        <w:pStyle w:val="ListParagraph"/>
        <w:spacing w:afterLines="80" w:after="192" w:line="20" w:lineRule="atLeast"/>
        <w:jc w:val="both"/>
        <w:rPr>
          <w:rFonts w:cstheme="minorHAnsi"/>
          <w:kern w:val="24"/>
          <w:sz w:val="21"/>
          <w:szCs w:val="21"/>
        </w:rPr>
      </w:pPr>
    </w:p>
    <w:p w14:paraId="6407DA73"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bCs/>
          <w:kern w:val="24"/>
          <w:sz w:val="21"/>
          <w:szCs w:val="21"/>
        </w:rPr>
      </w:pPr>
      <w:r w:rsidRPr="00375E04">
        <w:rPr>
          <w:rFonts w:cstheme="minorHAnsi"/>
          <w:b/>
          <w:bCs/>
          <w:kern w:val="24"/>
          <w:sz w:val="21"/>
          <w:szCs w:val="21"/>
        </w:rPr>
        <w:t xml:space="preserve">Aplinkosaugos reikalavimai </w:t>
      </w:r>
    </w:p>
    <w:p w14:paraId="063405B2" w14:textId="77777777"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Renginyje naudojamas tiekėjo pateiktas rašymo, spausdinimo ir kopijavimo popierius turi atitikti minimalius aplinkos apsaugos kriterijus:</w:t>
      </w:r>
    </w:p>
    <w:p w14:paraId="14CB429A" w14:textId="6FFBDD48" w:rsidR="00CD6437" w:rsidRPr="00375E04" w:rsidRDefault="00CD6437" w:rsidP="00375E04">
      <w:pPr>
        <w:pStyle w:val="ListParagraph"/>
        <w:numPr>
          <w:ilvl w:val="2"/>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375E04">
        <w:rPr>
          <w:rFonts w:eastAsia="Times New Roman" w:cstheme="minorHAnsi"/>
          <w:sz w:val="21"/>
          <w:szCs w:val="21"/>
        </w:rPr>
        <w:t>Forest</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Stewardship</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Council</w:t>
      </w:r>
      <w:proofErr w:type="spellEnd"/>
      <w:r w:rsidRPr="00375E04">
        <w:rPr>
          <w:rFonts w:eastAsia="Times New Roman" w:cstheme="minorHAnsi"/>
          <w:sz w:val="21"/>
          <w:szCs w:val="21"/>
        </w:rPr>
        <w:t xml:space="preserve"> ar Miškų sertifikavimo sistemų pripažinimo programą (angl. </w:t>
      </w:r>
      <w:proofErr w:type="spellStart"/>
      <w:r w:rsidRPr="00375E04">
        <w:rPr>
          <w:rFonts w:eastAsia="Times New Roman" w:cstheme="minorHAnsi"/>
          <w:sz w:val="21"/>
          <w:szCs w:val="21"/>
        </w:rPr>
        <w:t>Programme</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for</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the</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Endorsement</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of</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Forest</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Certification</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schemes</w:t>
      </w:r>
      <w:proofErr w:type="spellEnd"/>
      <w:r w:rsidRPr="00375E04">
        <w:rPr>
          <w:rFonts w:eastAsia="Times New Roman" w:cstheme="minorHAnsi"/>
          <w:sz w:val="21"/>
          <w:szCs w:val="21"/>
        </w:rPr>
        <w:t>) arba lygiavertes miškų sertifikavimo sistemas, kita dalis – iš perdirbto popieriaus plaušų;</w:t>
      </w:r>
    </w:p>
    <w:p w14:paraId="54C6C59E" w14:textId="6ADD0F1D" w:rsidR="00CD6437" w:rsidRPr="00375E04" w:rsidRDefault="00CD6437" w:rsidP="00375E04">
      <w:pPr>
        <w:pStyle w:val="ListParagraph"/>
        <w:numPr>
          <w:ilvl w:val="2"/>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gaminys turi būti nebalintas arba balintas nenaudojant chloro dujų;</w:t>
      </w:r>
    </w:p>
    <w:p w14:paraId="689816A9" w14:textId="3D99C359" w:rsidR="00CD6437" w:rsidRPr="00375E04" w:rsidRDefault="00CD6437" w:rsidP="00375E04">
      <w:pPr>
        <w:pStyle w:val="ListParagraph"/>
        <w:numPr>
          <w:ilvl w:val="2"/>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plonasis (higieninis) popierius: turi būti pagamintas iš 100 proc. perdirbto popieriaus (naudoto popieriaus ir (ar) gamybos atliekų) plaušų ir turi būti nebalintas arba balintas nenaudojant chloro dujų.</w:t>
      </w:r>
    </w:p>
    <w:p w14:paraId="2DAA508D" w14:textId="4EE7F1E4" w:rsidR="00CD6437" w:rsidRPr="00375E04" w:rsidRDefault="00CD6437" w:rsidP="00375E04">
      <w:pPr>
        <w:pStyle w:val="ListParagraph"/>
        <w:numPr>
          <w:ilvl w:val="1"/>
          <w:numId w:val="1"/>
        </w:numPr>
        <w:spacing w:after="0" w:line="240" w:lineRule="auto"/>
        <w:ind w:left="0" w:firstLine="567"/>
        <w:jc w:val="both"/>
        <w:rPr>
          <w:rFonts w:eastAsia="Times New Roman" w:cstheme="minorHAnsi"/>
          <w:b/>
          <w:bCs/>
          <w:color w:val="000000"/>
          <w:sz w:val="21"/>
          <w:szCs w:val="21"/>
          <w:lang w:eastAsia="en-GB"/>
        </w:rPr>
      </w:pPr>
      <w:r w:rsidRPr="00375E04">
        <w:rPr>
          <w:rFonts w:eastAsia="Times New Roman" w:cstheme="minorHAnsi"/>
          <w:sz w:val="21"/>
          <w:szCs w:val="21"/>
        </w:rPr>
        <w:t>Pakuotės</w:t>
      </w:r>
      <w:r w:rsidRPr="00375E04">
        <w:rPr>
          <w:rFonts w:eastAsia="Times New Roman" w:cstheme="minorHAnsi"/>
          <w:color w:val="000000" w:themeColor="text1"/>
          <w:sz w:val="21"/>
          <w:szCs w:val="21"/>
          <w:lang w:eastAsia="en-GB"/>
        </w:rPr>
        <w:t>: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401"/>
        <w:gridCol w:w="3647"/>
      </w:tblGrid>
      <w:tr w:rsidR="00CD6437" w:rsidRPr="00375E04" w14:paraId="6A0C944F" w14:textId="77777777" w:rsidTr="009E4280">
        <w:tc>
          <w:tcPr>
            <w:tcW w:w="301" w:type="pct"/>
          </w:tcPr>
          <w:p w14:paraId="79E0EE10"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Eil. Nr.</w:t>
            </w:r>
          </w:p>
        </w:tc>
        <w:tc>
          <w:tcPr>
            <w:tcW w:w="2805" w:type="pct"/>
          </w:tcPr>
          <w:p w14:paraId="4519C889"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Pakuotės medžiaga</w:t>
            </w:r>
          </w:p>
        </w:tc>
        <w:tc>
          <w:tcPr>
            <w:tcW w:w="1894" w:type="pct"/>
          </w:tcPr>
          <w:p w14:paraId="092EF8D4"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Ženklinimas</w:t>
            </w:r>
          </w:p>
        </w:tc>
      </w:tr>
      <w:tr w:rsidR="00CD6437" w:rsidRPr="00375E04" w14:paraId="3383DF63" w14:textId="77777777" w:rsidTr="009E4280">
        <w:tc>
          <w:tcPr>
            <w:tcW w:w="301" w:type="pct"/>
          </w:tcPr>
          <w:p w14:paraId="7FA29CD9"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1.</w:t>
            </w:r>
          </w:p>
        </w:tc>
        <w:tc>
          <w:tcPr>
            <w:tcW w:w="2805" w:type="pct"/>
          </w:tcPr>
          <w:p w14:paraId="1C681E3B"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Stiklas</w:t>
            </w:r>
          </w:p>
        </w:tc>
        <w:tc>
          <w:tcPr>
            <w:tcW w:w="1894" w:type="pct"/>
          </w:tcPr>
          <w:p w14:paraId="615C7867"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GL (arba GL nuo 70 iki 79)</w:t>
            </w:r>
          </w:p>
        </w:tc>
      </w:tr>
      <w:tr w:rsidR="00CD6437" w:rsidRPr="00375E04" w14:paraId="74FCE3D4" w14:textId="77777777" w:rsidTr="009E4280">
        <w:tc>
          <w:tcPr>
            <w:tcW w:w="301" w:type="pct"/>
          </w:tcPr>
          <w:p w14:paraId="651D95E1"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2.</w:t>
            </w:r>
          </w:p>
        </w:tc>
        <w:tc>
          <w:tcPr>
            <w:tcW w:w="2805" w:type="pct"/>
          </w:tcPr>
          <w:p w14:paraId="3B0BCC6E"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Metalas</w:t>
            </w:r>
          </w:p>
        </w:tc>
        <w:tc>
          <w:tcPr>
            <w:tcW w:w="1894" w:type="pct"/>
          </w:tcPr>
          <w:p w14:paraId="4EAE5CD2"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FE (arba FE 40),</w:t>
            </w:r>
          </w:p>
          <w:p w14:paraId="122BBB5C"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ALU (arba ALU 41)</w:t>
            </w:r>
          </w:p>
          <w:p w14:paraId="32BF6E72"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Nuo 42 iki 49</w:t>
            </w:r>
          </w:p>
        </w:tc>
      </w:tr>
      <w:tr w:rsidR="00CD6437" w:rsidRPr="00375E04" w14:paraId="33FF0DA5" w14:textId="77777777" w:rsidTr="009E4280">
        <w:tc>
          <w:tcPr>
            <w:tcW w:w="301" w:type="pct"/>
          </w:tcPr>
          <w:p w14:paraId="24BD22BF"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3.</w:t>
            </w:r>
          </w:p>
        </w:tc>
        <w:tc>
          <w:tcPr>
            <w:tcW w:w="2805" w:type="pct"/>
          </w:tcPr>
          <w:p w14:paraId="06EAAE11"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Popierius ar kartonas</w:t>
            </w:r>
          </w:p>
        </w:tc>
        <w:tc>
          <w:tcPr>
            <w:tcW w:w="1894" w:type="pct"/>
          </w:tcPr>
          <w:p w14:paraId="742469E3"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PAP (arba PAP nuo 20 iki 39)</w:t>
            </w:r>
          </w:p>
        </w:tc>
      </w:tr>
      <w:tr w:rsidR="00CD6437" w:rsidRPr="00375E04" w14:paraId="249ACC81" w14:textId="77777777" w:rsidTr="009E4280">
        <w:tc>
          <w:tcPr>
            <w:tcW w:w="301" w:type="pct"/>
          </w:tcPr>
          <w:p w14:paraId="5ABB473C"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4.</w:t>
            </w:r>
          </w:p>
        </w:tc>
        <w:tc>
          <w:tcPr>
            <w:tcW w:w="2805" w:type="pct"/>
          </w:tcPr>
          <w:p w14:paraId="5DA8AFE6"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Medis ar kamštinė medžiaga</w:t>
            </w:r>
          </w:p>
        </w:tc>
        <w:tc>
          <w:tcPr>
            <w:tcW w:w="1894" w:type="pct"/>
          </w:tcPr>
          <w:p w14:paraId="2B70E1FF" w14:textId="77777777" w:rsidR="00CD6437" w:rsidRPr="00375E04" w:rsidRDefault="00CD6437" w:rsidP="009E4280">
            <w:pPr>
              <w:tabs>
                <w:tab w:val="left" w:pos="1808"/>
              </w:tabs>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FOR (arba FOR nuo 50 iki 59)</w:t>
            </w:r>
          </w:p>
        </w:tc>
      </w:tr>
      <w:tr w:rsidR="00CD6437" w:rsidRPr="00375E04" w14:paraId="51773594" w14:textId="77777777" w:rsidTr="009E4280">
        <w:tc>
          <w:tcPr>
            <w:tcW w:w="301" w:type="pct"/>
          </w:tcPr>
          <w:p w14:paraId="61A434AC"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5.</w:t>
            </w:r>
          </w:p>
        </w:tc>
        <w:tc>
          <w:tcPr>
            <w:tcW w:w="2805" w:type="pct"/>
          </w:tcPr>
          <w:p w14:paraId="73859315"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Medvilnė ar džiutas</w:t>
            </w:r>
          </w:p>
        </w:tc>
        <w:tc>
          <w:tcPr>
            <w:tcW w:w="1894" w:type="pct"/>
          </w:tcPr>
          <w:p w14:paraId="66687C58"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TEX (arba TEX nuo 60 iki 69)</w:t>
            </w:r>
          </w:p>
        </w:tc>
      </w:tr>
      <w:tr w:rsidR="00CD6437" w:rsidRPr="00375E04" w14:paraId="10181A27" w14:textId="77777777" w:rsidTr="009E4280">
        <w:tc>
          <w:tcPr>
            <w:tcW w:w="301" w:type="pct"/>
          </w:tcPr>
          <w:p w14:paraId="654F4109"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6.</w:t>
            </w:r>
          </w:p>
        </w:tc>
        <w:tc>
          <w:tcPr>
            <w:tcW w:w="2805" w:type="pct"/>
          </w:tcPr>
          <w:p w14:paraId="2C7EE10B" w14:textId="77777777" w:rsidR="00CD6437" w:rsidRPr="00375E04" w:rsidRDefault="00CD6437" w:rsidP="009E4280">
            <w:pPr>
              <w:suppressAutoHyphens/>
              <w:spacing w:after="0" w:line="240" w:lineRule="auto"/>
              <w:jc w:val="both"/>
              <w:rPr>
                <w:rFonts w:eastAsia="Times New Roman" w:cstheme="minorHAnsi"/>
                <w:color w:val="000000"/>
                <w:lang w:eastAsia="en-GB"/>
              </w:rPr>
            </w:pPr>
            <w:proofErr w:type="spellStart"/>
            <w:r w:rsidRPr="00375E04">
              <w:rPr>
                <w:rFonts w:eastAsia="Times New Roman" w:cstheme="minorHAnsi"/>
                <w:color w:val="000000"/>
                <w:lang w:eastAsia="en-GB"/>
              </w:rPr>
              <w:t>Polietilentereftalatas</w:t>
            </w:r>
            <w:proofErr w:type="spellEnd"/>
          </w:p>
        </w:tc>
        <w:tc>
          <w:tcPr>
            <w:tcW w:w="1894" w:type="pct"/>
          </w:tcPr>
          <w:p w14:paraId="1A8C369E"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PET arba PET 1</w:t>
            </w:r>
          </w:p>
        </w:tc>
      </w:tr>
      <w:tr w:rsidR="00CD6437" w:rsidRPr="00375E04" w14:paraId="2429BDE4" w14:textId="77777777" w:rsidTr="009E4280">
        <w:tc>
          <w:tcPr>
            <w:tcW w:w="301" w:type="pct"/>
          </w:tcPr>
          <w:p w14:paraId="07AFF9FA"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7.</w:t>
            </w:r>
          </w:p>
        </w:tc>
        <w:tc>
          <w:tcPr>
            <w:tcW w:w="2805" w:type="pct"/>
          </w:tcPr>
          <w:p w14:paraId="05159AF4"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Aukšto tankumo polietilenas</w:t>
            </w:r>
          </w:p>
        </w:tc>
        <w:tc>
          <w:tcPr>
            <w:tcW w:w="1894" w:type="pct"/>
          </w:tcPr>
          <w:p w14:paraId="28E63FC9" w14:textId="77777777" w:rsidR="00CD6437" w:rsidRPr="00375E04" w:rsidRDefault="00CD6437" w:rsidP="009E4280">
            <w:pPr>
              <w:tabs>
                <w:tab w:val="left" w:pos="872"/>
              </w:tabs>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HDPE (arba HDPE 2)</w:t>
            </w:r>
          </w:p>
        </w:tc>
      </w:tr>
      <w:tr w:rsidR="00CD6437" w:rsidRPr="00375E04" w14:paraId="2C28AD95" w14:textId="77777777" w:rsidTr="009E4280">
        <w:tc>
          <w:tcPr>
            <w:tcW w:w="301" w:type="pct"/>
          </w:tcPr>
          <w:p w14:paraId="70668C52"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8.</w:t>
            </w:r>
          </w:p>
        </w:tc>
        <w:tc>
          <w:tcPr>
            <w:tcW w:w="2805" w:type="pct"/>
          </w:tcPr>
          <w:p w14:paraId="29222458" w14:textId="77777777" w:rsidR="00CD6437" w:rsidRPr="00375E04" w:rsidRDefault="00CD6437" w:rsidP="009E4280">
            <w:pPr>
              <w:suppressAutoHyphens/>
              <w:spacing w:after="0" w:line="240" w:lineRule="auto"/>
              <w:jc w:val="both"/>
              <w:rPr>
                <w:rFonts w:eastAsia="Times New Roman" w:cstheme="minorHAnsi"/>
                <w:color w:val="000000"/>
                <w:lang w:eastAsia="en-GB"/>
              </w:rPr>
            </w:pPr>
            <w:proofErr w:type="spellStart"/>
            <w:r w:rsidRPr="00375E04">
              <w:rPr>
                <w:rFonts w:eastAsia="Times New Roman" w:cstheme="minorHAnsi"/>
                <w:color w:val="000000"/>
                <w:lang w:eastAsia="en-GB"/>
              </w:rPr>
              <w:t>Polivinilchloridas</w:t>
            </w:r>
            <w:proofErr w:type="spellEnd"/>
          </w:p>
        </w:tc>
        <w:tc>
          <w:tcPr>
            <w:tcW w:w="1894" w:type="pct"/>
          </w:tcPr>
          <w:p w14:paraId="1DD915DE"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PVC (arba PVC 3)</w:t>
            </w:r>
          </w:p>
        </w:tc>
      </w:tr>
      <w:tr w:rsidR="00CD6437" w:rsidRPr="00375E04" w14:paraId="489ADDA2" w14:textId="77777777" w:rsidTr="009E4280">
        <w:tc>
          <w:tcPr>
            <w:tcW w:w="301" w:type="pct"/>
          </w:tcPr>
          <w:p w14:paraId="2F97EEFE"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9.</w:t>
            </w:r>
          </w:p>
        </w:tc>
        <w:tc>
          <w:tcPr>
            <w:tcW w:w="2805" w:type="pct"/>
          </w:tcPr>
          <w:p w14:paraId="72B85326"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Žemo tankumo polietilenas</w:t>
            </w:r>
          </w:p>
        </w:tc>
        <w:tc>
          <w:tcPr>
            <w:tcW w:w="1894" w:type="pct"/>
          </w:tcPr>
          <w:p w14:paraId="245AC095"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LDPE (arba LDPE 4)</w:t>
            </w:r>
          </w:p>
        </w:tc>
      </w:tr>
      <w:tr w:rsidR="00CD6437" w:rsidRPr="00375E04" w14:paraId="129AD799" w14:textId="77777777" w:rsidTr="009E4280">
        <w:tc>
          <w:tcPr>
            <w:tcW w:w="301" w:type="pct"/>
          </w:tcPr>
          <w:p w14:paraId="783570F5"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10.</w:t>
            </w:r>
          </w:p>
        </w:tc>
        <w:tc>
          <w:tcPr>
            <w:tcW w:w="2805" w:type="pct"/>
          </w:tcPr>
          <w:p w14:paraId="353B506E"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Polipropilenas</w:t>
            </w:r>
          </w:p>
        </w:tc>
        <w:tc>
          <w:tcPr>
            <w:tcW w:w="1894" w:type="pct"/>
          </w:tcPr>
          <w:p w14:paraId="3F895551"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PP (arba PP 5)</w:t>
            </w:r>
          </w:p>
        </w:tc>
      </w:tr>
      <w:tr w:rsidR="00CD6437" w:rsidRPr="00375E04" w14:paraId="1CC64060" w14:textId="77777777" w:rsidTr="009E4280">
        <w:tc>
          <w:tcPr>
            <w:tcW w:w="301" w:type="pct"/>
          </w:tcPr>
          <w:p w14:paraId="594DD3E2"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11.</w:t>
            </w:r>
          </w:p>
        </w:tc>
        <w:tc>
          <w:tcPr>
            <w:tcW w:w="2805" w:type="pct"/>
          </w:tcPr>
          <w:p w14:paraId="19C67400" w14:textId="77777777" w:rsidR="00CD6437" w:rsidRPr="00375E04" w:rsidRDefault="00CD6437" w:rsidP="009E4280">
            <w:pPr>
              <w:suppressAutoHyphens/>
              <w:spacing w:after="0" w:line="240" w:lineRule="auto"/>
              <w:jc w:val="both"/>
              <w:rPr>
                <w:rFonts w:eastAsia="Times New Roman" w:cstheme="minorHAnsi"/>
                <w:color w:val="000000"/>
                <w:lang w:eastAsia="en-GB"/>
              </w:rPr>
            </w:pPr>
            <w:proofErr w:type="spellStart"/>
            <w:r w:rsidRPr="00375E04">
              <w:rPr>
                <w:rFonts w:eastAsia="Times New Roman" w:cstheme="minorHAnsi"/>
                <w:color w:val="000000"/>
                <w:lang w:eastAsia="en-GB"/>
              </w:rPr>
              <w:t>Polistirenas</w:t>
            </w:r>
            <w:proofErr w:type="spellEnd"/>
          </w:p>
        </w:tc>
        <w:tc>
          <w:tcPr>
            <w:tcW w:w="1894" w:type="pct"/>
          </w:tcPr>
          <w:p w14:paraId="6D5CD0E1" w14:textId="77777777" w:rsidR="00CD6437" w:rsidRPr="00375E04" w:rsidRDefault="00CD6437" w:rsidP="009E4280">
            <w:pPr>
              <w:suppressAutoHyphens/>
              <w:spacing w:after="0" w:line="240" w:lineRule="auto"/>
              <w:jc w:val="both"/>
              <w:rPr>
                <w:rFonts w:eastAsia="Times New Roman" w:cstheme="minorHAnsi"/>
                <w:color w:val="000000"/>
                <w:lang w:eastAsia="en-GB"/>
              </w:rPr>
            </w:pPr>
            <w:r w:rsidRPr="00375E04">
              <w:rPr>
                <w:rFonts w:eastAsia="Times New Roman" w:cstheme="minorHAnsi"/>
                <w:color w:val="000000"/>
                <w:lang w:eastAsia="en-GB"/>
              </w:rPr>
              <w:t>PS (arba PS 6)</w:t>
            </w:r>
          </w:p>
        </w:tc>
      </w:tr>
    </w:tbl>
    <w:p w14:paraId="7CA0676E" w14:textId="77777777" w:rsidR="00CD6437" w:rsidRPr="00375E04" w:rsidRDefault="00CD6437" w:rsidP="00375E04">
      <w:pPr>
        <w:pStyle w:val="ListParagraph"/>
        <w:spacing w:after="0" w:line="240" w:lineRule="auto"/>
        <w:ind w:left="0" w:firstLine="567"/>
        <w:jc w:val="both"/>
        <w:rPr>
          <w:rFonts w:eastAsia="Times New Roman" w:cstheme="minorHAnsi"/>
          <w:color w:val="000000"/>
          <w:sz w:val="21"/>
          <w:szCs w:val="21"/>
          <w:lang w:eastAsia="en-GB"/>
        </w:rPr>
      </w:pPr>
      <w:r w:rsidRPr="00375E04">
        <w:rPr>
          <w:rFonts w:eastAsia="Times New Roman" w:cstheme="minorHAnsi"/>
          <w:color w:val="000000" w:themeColor="text1"/>
          <w:sz w:val="21"/>
          <w:szCs w:val="21"/>
          <w:lang w:eastAsia="en-GB"/>
        </w:rPr>
        <w:t>Sutarties</w:t>
      </w:r>
      <w:r w:rsidRPr="00375E04">
        <w:rPr>
          <w:rFonts w:eastAsia="Times New Roman" w:cstheme="minorHAnsi"/>
          <w:color w:val="000000"/>
          <w:sz w:val="21"/>
          <w:szCs w:val="21"/>
          <w:lang w:eastAsia="en-GB"/>
        </w:rPr>
        <w:t xml:space="preserve"> vykdymo metu perkančioji organizacija turi teisę prašyti atitiktį reikalavimams įrodančių dokumentų: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75E04">
        <w:rPr>
          <w:rFonts w:eastAsia="Times New Roman" w:cstheme="minorHAnsi"/>
          <w:i/>
          <w:iCs/>
          <w:color w:val="000000"/>
          <w:sz w:val="21"/>
          <w:szCs w:val="21"/>
          <w:lang w:eastAsia="en-GB"/>
        </w:rPr>
        <w:t>Voluntary</w:t>
      </w:r>
      <w:proofErr w:type="spellEnd"/>
      <w:r w:rsidRPr="00375E04">
        <w:rPr>
          <w:rFonts w:eastAsia="Times New Roman" w:cstheme="minorHAnsi"/>
          <w:i/>
          <w:iCs/>
          <w:color w:val="000000"/>
          <w:sz w:val="21"/>
          <w:szCs w:val="21"/>
          <w:lang w:eastAsia="en-GB"/>
        </w:rPr>
        <w:t xml:space="preserve"> Standard </w:t>
      </w:r>
      <w:proofErr w:type="spellStart"/>
      <w:r w:rsidRPr="00375E04">
        <w:rPr>
          <w:rFonts w:eastAsia="Times New Roman" w:cstheme="minorHAnsi"/>
          <w:i/>
          <w:iCs/>
          <w:color w:val="000000"/>
          <w:sz w:val="21"/>
          <w:szCs w:val="21"/>
          <w:lang w:eastAsia="en-GB"/>
        </w:rPr>
        <w:t>for</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Repulping</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and</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Recycling</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Corrugated</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Fiberboard</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Treated</w:t>
      </w:r>
      <w:proofErr w:type="spellEnd"/>
      <w:r w:rsidRPr="00375E04">
        <w:rPr>
          <w:rFonts w:eastAsia="Times New Roman" w:cstheme="minorHAnsi"/>
          <w:i/>
          <w:iCs/>
          <w:color w:val="000000"/>
          <w:sz w:val="21"/>
          <w:szCs w:val="21"/>
          <w:lang w:eastAsia="en-GB"/>
        </w:rPr>
        <w:t xml:space="preserve"> to </w:t>
      </w:r>
      <w:proofErr w:type="spellStart"/>
      <w:r w:rsidRPr="00375E04">
        <w:rPr>
          <w:rFonts w:eastAsia="Times New Roman" w:cstheme="minorHAnsi"/>
          <w:i/>
          <w:iCs/>
          <w:color w:val="000000"/>
          <w:sz w:val="21"/>
          <w:szCs w:val="21"/>
          <w:lang w:eastAsia="en-GB"/>
        </w:rPr>
        <w:t>Improve</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Its</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Performance</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in</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the</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Presence</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of</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Water</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and</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Water</w:t>
      </w:r>
      <w:proofErr w:type="spellEnd"/>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Vapor</w:t>
      </w:r>
      <w:proofErr w:type="spellEnd"/>
      <w:r w:rsidRPr="00375E04">
        <w:rPr>
          <w:rFonts w:eastAsia="Times New Roman" w:cstheme="minorHAnsi"/>
          <w:i/>
          <w:iCs/>
          <w:color w:val="000000"/>
          <w:sz w:val="21"/>
          <w:szCs w:val="21"/>
          <w:lang w:eastAsia="en-GB"/>
        </w:rPr>
        <w:t xml:space="preserve">, </w:t>
      </w:r>
      <w:r w:rsidRPr="00375E04">
        <w:rPr>
          <w:rFonts w:eastAsia="Times New Roman" w:cstheme="minorHAnsi"/>
          <w:color w:val="000000"/>
          <w:sz w:val="21"/>
          <w:szCs w:val="21"/>
          <w:lang w:eastAsia="en-GB"/>
        </w:rPr>
        <w:t>standartas</w:t>
      </w:r>
      <w:r w:rsidRPr="00375E04">
        <w:rPr>
          <w:rFonts w:eastAsia="Times New Roman" w:cstheme="minorHAnsi"/>
          <w:i/>
          <w:iCs/>
          <w:color w:val="000000"/>
          <w:sz w:val="21"/>
          <w:szCs w:val="21"/>
          <w:lang w:eastAsia="en-GB"/>
        </w:rPr>
        <w:t xml:space="preserve"> </w:t>
      </w:r>
      <w:proofErr w:type="spellStart"/>
      <w:r w:rsidRPr="00375E04">
        <w:rPr>
          <w:rFonts w:eastAsia="Times New Roman" w:cstheme="minorHAnsi"/>
          <w:i/>
          <w:iCs/>
          <w:color w:val="000000"/>
          <w:sz w:val="21"/>
          <w:szCs w:val="21"/>
          <w:lang w:eastAsia="en-GB"/>
        </w:rPr>
        <w:t>RecyClass</w:t>
      </w:r>
      <w:proofErr w:type="spellEnd"/>
      <w:r w:rsidRPr="00375E04">
        <w:rPr>
          <w:rFonts w:eastAsia="Times New Roman" w:cstheme="minorHAnsi"/>
          <w:i/>
          <w:iCs/>
          <w:color w:val="000000"/>
          <w:sz w:val="21"/>
          <w:szCs w:val="21"/>
          <w:lang w:eastAsia="en-GB"/>
        </w:rPr>
        <w:t xml:space="preserve"> </w:t>
      </w:r>
      <w:r w:rsidRPr="00375E04">
        <w:rPr>
          <w:rFonts w:eastAsia="Times New Roman" w:cstheme="minorHAnsi"/>
          <w:color w:val="000000"/>
          <w:sz w:val="21"/>
          <w:szCs w:val="21"/>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w:t>
      </w:r>
      <w:r w:rsidRPr="00375E04">
        <w:rPr>
          <w:rFonts w:eastAsia="Times New Roman" w:cstheme="minorHAnsi"/>
          <w:color w:val="000000"/>
          <w:sz w:val="21"/>
          <w:szCs w:val="21"/>
          <w:lang w:eastAsia="en-GB"/>
        </w:rPr>
        <w:lastRenderedPageBreak/>
        <w:t xml:space="preserve">nurodytų atliekų perdirbėjų ar eksportuotojų dokumentai, pagrindžiantys, kad tokios pakuotės, tapusios atliekomis, gali būti perdirbamos. </w:t>
      </w:r>
    </w:p>
    <w:p w14:paraId="30ACEEE2" w14:textId="76EAC5DF" w:rsidR="00CD6437" w:rsidRPr="00375E04" w:rsidRDefault="00CD6437" w:rsidP="00375E04">
      <w:pPr>
        <w:pStyle w:val="ListParagraph"/>
        <w:numPr>
          <w:ilvl w:val="1"/>
          <w:numId w:val="1"/>
        </w:numPr>
        <w:spacing w:after="0" w:line="240" w:lineRule="auto"/>
        <w:ind w:left="0" w:firstLine="567"/>
        <w:jc w:val="both"/>
        <w:rPr>
          <w:rFonts w:eastAsia="Times New Roman" w:cstheme="minorHAnsi"/>
          <w:color w:val="000000" w:themeColor="text1"/>
          <w:sz w:val="21"/>
          <w:szCs w:val="21"/>
          <w:lang w:eastAsia="en-GB"/>
        </w:rPr>
      </w:pPr>
      <w:r w:rsidRPr="00375E04">
        <w:rPr>
          <w:rFonts w:eastAsia="Times New Roman" w:cstheme="minorHAnsi"/>
          <w:color w:val="000000" w:themeColor="text1"/>
          <w:sz w:val="21"/>
          <w:szCs w:val="21"/>
          <w:lang w:eastAsia="en-GB"/>
        </w:rPr>
        <w:t xml:space="preserve">Visos renginio metu susidarančios atliekos (pvz., stiklas, popierius, plastikas, organinės atliekos ir kt.) turi būti rūšiuojamos jų susidarymo vietoje ir tinkamai sutvarkytos, t. y. perduodamos atliekas tvarkančioms ir (ar) atliekas kompostuojančioms ir (ar) kitaip naudojančioms įmonėms. Sutarties vykdymo metu perkančioji organizacija turi teisę prašyti atitiktį reikalavimams įrodančių dokumentų: </w:t>
      </w:r>
      <w:r w:rsidRPr="00375E04">
        <w:rPr>
          <w:rFonts w:eastAsia="Times New Roman" w:cstheme="minorHAnsi"/>
          <w:sz w:val="21"/>
          <w:szCs w:val="21"/>
        </w:rPr>
        <w:t>sutarties kopiją sudarytą tarp tiekėjo ir atestuoto atliekų tvarkytojo, išrašas ar atliekų perdavimo aktas, ar kiti lygiaverčiai įrodymai, įrodantys, kad tiekėjas atliekas perdavė atliekų tvarkytojui</w:t>
      </w:r>
      <w:r w:rsidRPr="00375E04">
        <w:rPr>
          <w:rFonts w:eastAsia="Times New Roman" w:cstheme="minorHAnsi"/>
          <w:color w:val="000000" w:themeColor="text1"/>
          <w:sz w:val="21"/>
          <w:szCs w:val="21"/>
          <w:lang w:eastAsia="en-GB"/>
        </w:rPr>
        <w:t xml:space="preserve"> tiekėjo deklaracija arba kiti lygiaverčiai įrodymai.</w:t>
      </w:r>
    </w:p>
    <w:p w14:paraId="75551AC2" w14:textId="25292F8D" w:rsidR="00CD6437" w:rsidRPr="00375E04" w:rsidRDefault="00CD6437" w:rsidP="00375E04">
      <w:pPr>
        <w:pStyle w:val="ListParagraph"/>
        <w:numPr>
          <w:ilvl w:val="1"/>
          <w:numId w:val="1"/>
        </w:numPr>
        <w:spacing w:after="0" w:line="240" w:lineRule="auto"/>
        <w:ind w:left="0" w:firstLine="567"/>
        <w:jc w:val="both"/>
        <w:rPr>
          <w:rFonts w:eastAsia="Times New Roman" w:cstheme="minorHAnsi"/>
          <w:b/>
          <w:bCs/>
          <w:sz w:val="21"/>
          <w:szCs w:val="21"/>
        </w:rPr>
      </w:pPr>
      <w:r w:rsidRPr="00375E04">
        <w:rPr>
          <w:rFonts w:eastAsia="Times New Roman" w:cstheme="minorHAnsi"/>
          <w:color w:val="000000" w:themeColor="text1"/>
          <w:sz w:val="21"/>
          <w:szCs w:val="21"/>
          <w:lang w:eastAsia="en-GB"/>
        </w:rPr>
        <w:t>Maitinimo paslaugų teikimo metu maistas ir gėrimai turi būti pateikiami naudojant daugkartinio naudojimo stalo įrankius, stiklinius ir kitokius indus bei staltieses arba atsinaujinančių išteklių pagrindu pagamintus stalo įrankius, indus bei viešojo maitinimo reikmenis. Sutarties vykdymo metu perkančioji organizacija turi teisę prašyti atitiktį reikalavimams įrodančių dokumentų: tiekėjo deklaracija arba kiti lygiaverčiai įrodymai.</w:t>
      </w:r>
    </w:p>
    <w:p w14:paraId="5CF06954" w14:textId="7A2C850B"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color w:val="000000" w:themeColor="text1"/>
          <w:sz w:val="21"/>
          <w:szCs w:val="21"/>
          <w:lang w:eastAsia="en-GB"/>
        </w:rPr>
        <w:t>Tiekėjas</w:t>
      </w:r>
      <w:r w:rsidRPr="00375E04">
        <w:rPr>
          <w:rFonts w:eastAsia="Times New Roman" w:cstheme="minorHAnsi"/>
          <w:sz w:val="21"/>
          <w:szCs w:val="21"/>
        </w:rPr>
        <w:t xml:space="preserve"> sutarties vykdymo metu įsipareigoja laikytis aplinkos apsaugos kriterijų maisto produktams ir maitinimo paslaugoms:</w:t>
      </w:r>
    </w:p>
    <w:p w14:paraId="0E05A83D" w14:textId="41FD4FD4" w:rsidR="00CD6437" w:rsidRPr="00375E04" w:rsidRDefault="00CD6437" w:rsidP="00375E04">
      <w:pPr>
        <w:pStyle w:val="ListParagraph"/>
        <w:numPr>
          <w:ilvl w:val="2"/>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ne mažiau kaip 30 proc. perkamų maisto produktų (išskyrus maisto produktus skirtus gyvūnams) kiekio (kilogramais, litrais, vienetais) turi atitikti bent vieną iš šių minimalių aplinkos apsaugos kriterijų:</w:t>
      </w:r>
    </w:p>
    <w:p w14:paraId="0A13F525" w14:textId="6F6D457D" w:rsidR="00CD6437" w:rsidRPr="00375E04" w:rsidRDefault="00CD6437" w:rsidP="00375E04">
      <w:pPr>
        <w:pStyle w:val="ListParagraph"/>
        <w:numPr>
          <w:ilvl w:val="3"/>
          <w:numId w:val="1"/>
        </w:numPr>
        <w:tabs>
          <w:tab w:val="left" w:pos="1418"/>
        </w:tabs>
        <w:spacing w:after="0" w:line="240" w:lineRule="auto"/>
        <w:ind w:left="993" w:hanging="513"/>
        <w:jc w:val="both"/>
        <w:rPr>
          <w:rFonts w:eastAsia="Times New Roman" w:cstheme="minorHAnsi"/>
          <w:sz w:val="21"/>
          <w:szCs w:val="21"/>
        </w:rPr>
      </w:pPr>
      <w:r w:rsidRPr="00375E04">
        <w:rPr>
          <w:rFonts w:eastAsia="Times New Roman" w:cstheme="minorHAnsi"/>
          <w:sz w:val="21"/>
          <w:szCs w:val="21"/>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AB03CC5" w14:textId="32D91F07" w:rsidR="00CD6437" w:rsidRPr="00375E04" w:rsidRDefault="00CD6437" w:rsidP="00375E04">
      <w:pPr>
        <w:pStyle w:val="ListParagraph"/>
        <w:numPr>
          <w:ilvl w:val="3"/>
          <w:numId w:val="1"/>
        </w:numPr>
        <w:tabs>
          <w:tab w:val="left" w:pos="1418"/>
        </w:tabs>
        <w:spacing w:after="0" w:line="240" w:lineRule="auto"/>
        <w:ind w:left="993" w:hanging="513"/>
        <w:jc w:val="both"/>
        <w:rPr>
          <w:rFonts w:eastAsia="Times New Roman" w:cstheme="minorHAnsi"/>
          <w:sz w:val="21"/>
          <w:szCs w:val="21"/>
        </w:rPr>
      </w:pPr>
      <w:r w:rsidRPr="00375E04">
        <w:rPr>
          <w:rFonts w:eastAsia="Times New Roman" w:cstheme="minorHAnsi"/>
          <w:sz w:val="21"/>
          <w:szCs w:val="21"/>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618317A" w14:textId="4E0FD082" w:rsidR="00CD6437" w:rsidRPr="00375E04" w:rsidRDefault="00CD6437" w:rsidP="00375E04">
      <w:pPr>
        <w:pStyle w:val="ListParagraph"/>
        <w:numPr>
          <w:ilvl w:val="3"/>
          <w:numId w:val="1"/>
        </w:numPr>
        <w:tabs>
          <w:tab w:val="left" w:pos="1418"/>
        </w:tabs>
        <w:spacing w:after="0" w:line="240" w:lineRule="auto"/>
        <w:ind w:left="993" w:hanging="513"/>
        <w:jc w:val="both"/>
        <w:rPr>
          <w:rFonts w:eastAsia="Times New Roman" w:cstheme="minorHAnsi"/>
          <w:sz w:val="21"/>
          <w:szCs w:val="21"/>
        </w:rPr>
      </w:pPr>
      <w:r w:rsidRPr="00375E04">
        <w:rPr>
          <w:rFonts w:eastAsia="Times New Roman" w:cstheme="minorHAnsi"/>
          <w:sz w:val="21"/>
          <w:szCs w:val="21"/>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392EDBFA" w14:textId="5460BA80" w:rsidR="00CD6437" w:rsidRPr="00375E04" w:rsidRDefault="00CD6437" w:rsidP="00375E04">
      <w:pPr>
        <w:pStyle w:val="ListParagraph"/>
        <w:numPr>
          <w:ilvl w:val="2"/>
          <w:numId w:val="1"/>
        </w:numPr>
        <w:spacing w:after="0" w:line="240" w:lineRule="auto"/>
        <w:ind w:left="0" w:firstLine="567"/>
        <w:jc w:val="both"/>
        <w:rPr>
          <w:rFonts w:eastAsia="Times New Roman" w:cstheme="minorHAnsi"/>
          <w:sz w:val="21"/>
          <w:szCs w:val="21"/>
        </w:rPr>
      </w:pPr>
      <w:r w:rsidRPr="00375E04">
        <w:rPr>
          <w:rFonts w:eastAsia="Times New Roman" w:cstheme="minorHAnsi"/>
          <w:i/>
          <w:sz w:val="21"/>
          <w:szCs w:val="21"/>
        </w:rPr>
        <w:t>atitiktį</w:t>
      </w:r>
      <w:r w:rsidRPr="00375E04">
        <w:rPr>
          <w:rFonts w:eastAsia="Times New Roman" w:cstheme="minorHAnsi"/>
          <w:i/>
          <w:iCs/>
          <w:sz w:val="21"/>
          <w:szCs w:val="21"/>
        </w:rPr>
        <w:t xml:space="preserve"> reikalavimams įrodantys dokumentai</w:t>
      </w:r>
      <w:r w:rsidRPr="00375E04">
        <w:rPr>
          <w:rFonts w:eastAsia="Times New Roman" w:cstheme="minorHAnsi"/>
          <w:sz w:val="21"/>
          <w:szCs w:val="21"/>
        </w:rPr>
        <w:t>: (</w:t>
      </w:r>
      <w:r w:rsidR="00436D38" w:rsidRPr="00375E04">
        <w:rPr>
          <w:rFonts w:eastAsia="Times New Roman" w:cstheme="minorHAnsi"/>
          <w:sz w:val="21"/>
          <w:szCs w:val="21"/>
        </w:rPr>
        <w:t>13.</w:t>
      </w:r>
      <w:r w:rsidRPr="00375E04">
        <w:rPr>
          <w:rFonts w:eastAsia="Times New Roman" w:cstheme="minorHAnsi"/>
          <w:sz w:val="21"/>
          <w:szCs w:val="21"/>
        </w:rPr>
        <w:t>5.1.1–</w:t>
      </w:r>
      <w:r w:rsidR="00436D38" w:rsidRPr="00375E04">
        <w:rPr>
          <w:rFonts w:eastAsia="Times New Roman" w:cstheme="minorHAnsi"/>
          <w:sz w:val="21"/>
          <w:szCs w:val="21"/>
        </w:rPr>
        <w:t>13</w:t>
      </w:r>
      <w:r w:rsidRPr="00375E04">
        <w:rPr>
          <w:rFonts w:eastAsia="Times New Roman" w:cstheme="minorHAnsi"/>
          <w:sz w:val="21"/>
          <w:szCs w:val="21"/>
        </w:rPr>
        <w:t>.5.1.3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p w14:paraId="62A7AFB5" w14:textId="03F2ECB7"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color w:val="000000" w:themeColor="text1"/>
          <w:sz w:val="21"/>
          <w:szCs w:val="21"/>
          <w:lang w:eastAsia="en-GB"/>
        </w:rPr>
        <w:t>Renginio</w:t>
      </w:r>
      <w:r w:rsidRPr="00375E04">
        <w:rPr>
          <w:rFonts w:eastAsia="Times New Roman" w:cstheme="minorHAnsi"/>
          <w:sz w:val="21"/>
          <w:szCs w:val="21"/>
        </w:rPr>
        <w:t xml:space="preserve"> atributikai naudojami tekstilės gaminiai (pvz., marškinėliai, kepurės, krepšiai, maišeliai ir kt.) turi būti paženklinti I tipo ekologiniu ženklu (pvz., „</w:t>
      </w:r>
      <w:proofErr w:type="spellStart"/>
      <w:r w:rsidRPr="00375E04">
        <w:rPr>
          <w:rFonts w:eastAsia="Times New Roman" w:cstheme="minorHAnsi"/>
          <w:sz w:val="21"/>
          <w:szCs w:val="21"/>
        </w:rPr>
        <w:t>Nordic</w:t>
      </w:r>
      <w:proofErr w:type="spellEnd"/>
      <w:r w:rsidRPr="00375E04">
        <w:rPr>
          <w:rFonts w:eastAsia="Times New Roman" w:cstheme="minorHAnsi"/>
          <w:sz w:val="21"/>
          <w:szCs w:val="21"/>
        </w:rPr>
        <w:t xml:space="preserve"> </w:t>
      </w:r>
      <w:proofErr w:type="spellStart"/>
      <w:r w:rsidRPr="00375E04">
        <w:rPr>
          <w:rFonts w:eastAsia="Times New Roman" w:cstheme="minorHAnsi"/>
          <w:sz w:val="21"/>
          <w:szCs w:val="21"/>
        </w:rPr>
        <w:t>Swan</w:t>
      </w:r>
      <w:proofErr w:type="spellEnd"/>
      <w:r w:rsidRPr="00375E04">
        <w:rPr>
          <w:rFonts w:eastAsia="Times New Roman" w:cstheme="minorHAnsi"/>
          <w:sz w:val="21"/>
          <w:szCs w:val="21"/>
        </w:rPr>
        <w:t xml:space="preserve">“, „EU </w:t>
      </w:r>
      <w:proofErr w:type="spellStart"/>
      <w:r w:rsidRPr="00375E04">
        <w:rPr>
          <w:rFonts w:eastAsia="Times New Roman" w:cstheme="minorHAnsi"/>
          <w:sz w:val="21"/>
          <w:szCs w:val="21"/>
        </w:rPr>
        <w:t>Ecolabel</w:t>
      </w:r>
      <w:proofErr w:type="spellEnd"/>
      <w:r w:rsidRPr="00375E04">
        <w:rPr>
          <w:rFonts w:eastAsia="Times New Roman" w:cstheme="minorHAnsi"/>
          <w:sz w:val="21"/>
          <w:szCs w:val="21"/>
        </w:rPr>
        <w:t>“ ir kt.).</w:t>
      </w:r>
    </w:p>
    <w:p w14:paraId="560C91E9" w14:textId="687C8553"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color w:val="000000" w:themeColor="text1"/>
          <w:sz w:val="21"/>
          <w:szCs w:val="21"/>
          <w:lang w:eastAsia="en-GB"/>
        </w:rPr>
        <w:t>Renginyje</w:t>
      </w:r>
      <w:r w:rsidRPr="00375E04">
        <w:rPr>
          <w:rFonts w:eastAsia="Times New Roman" w:cstheme="minorHAnsi"/>
          <w:sz w:val="21"/>
          <w:szCs w:val="21"/>
        </w:rPr>
        <w:t xml:space="preserve"> naudojamos rašymo priemonės, kitos raštinės prekės turi būti pagamintos iš natūralios medžiagos (medžio, popieriaus ir kt.) arba iš perdirbtų vartojimo atliekų, o žymeklių rašalas turi būti pagamintas vandens pagrindu.</w:t>
      </w:r>
    </w:p>
    <w:p w14:paraId="57AE852C" w14:textId="2AD13FBD"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color w:val="000000" w:themeColor="text1"/>
          <w:sz w:val="21"/>
          <w:szCs w:val="21"/>
          <w:lang w:eastAsia="en-GB"/>
        </w:rPr>
        <w:t>Renginyje</w:t>
      </w:r>
      <w:r w:rsidRPr="00375E04">
        <w:rPr>
          <w:rFonts w:eastAsia="Times New Roman" w:cstheme="minorHAnsi"/>
          <w:sz w:val="21"/>
          <w:szCs w:val="21"/>
        </w:rPr>
        <w:t xml:space="preserve"> naudojamai atributikos, dekoracijų, dovanų (pvz., dovanų maišeliai, statulėlės ir kt.) gaminiai ar produktai turi būti pilnai (arba jų dalis) pagaminti iš perdirbtų medžiagų (pvz., perdirbto plastiko, kartono, metalo ar kt.).</w:t>
      </w:r>
    </w:p>
    <w:p w14:paraId="5D37BAF4" w14:textId="2748EF93" w:rsidR="00CD6437" w:rsidRPr="00375E04" w:rsidRDefault="00CD6437" w:rsidP="00375E04">
      <w:pPr>
        <w:pStyle w:val="ListParagraph"/>
        <w:numPr>
          <w:ilvl w:val="1"/>
          <w:numId w:val="1"/>
        </w:numPr>
        <w:spacing w:after="0" w:line="240" w:lineRule="auto"/>
        <w:ind w:left="0" w:firstLine="567"/>
        <w:jc w:val="both"/>
        <w:rPr>
          <w:rFonts w:eastAsia="Times New Roman" w:cstheme="minorHAnsi"/>
          <w:sz w:val="21"/>
          <w:szCs w:val="21"/>
        </w:rPr>
      </w:pPr>
      <w:r w:rsidRPr="00375E04">
        <w:rPr>
          <w:rFonts w:eastAsia="Times New Roman" w:cstheme="minorHAnsi"/>
          <w:sz w:val="21"/>
          <w:szCs w:val="21"/>
        </w:rPr>
        <w:t>Sutarčiai taikomi aplinkos apsaugos (žalieji) reikalavimai, kurie yra nurodyti šioje techninėje specifikacijoje ir taikomi tik sutarties vykdymui. Sutarties vykdymo metu perkančioji organizacija, esant poreikiui, turi teisę paprašyti tiekėjo pateikti atitiktį žaliojo pirkimo reikalavimams įrodančius dokumentus.</w:t>
      </w:r>
    </w:p>
    <w:p w14:paraId="301708AB" w14:textId="77777777" w:rsidR="00A967F4" w:rsidRPr="00375E04" w:rsidRDefault="00A967F4" w:rsidP="00A967F4">
      <w:pPr>
        <w:pStyle w:val="ListParagraph"/>
        <w:spacing w:afterLines="80" w:after="192" w:line="20" w:lineRule="atLeast"/>
        <w:ind w:left="567"/>
        <w:jc w:val="both"/>
        <w:rPr>
          <w:rFonts w:cstheme="minorHAnsi"/>
          <w:kern w:val="24"/>
          <w:sz w:val="21"/>
          <w:szCs w:val="21"/>
        </w:rPr>
      </w:pPr>
    </w:p>
    <w:p w14:paraId="7EB45691" w14:textId="77777777" w:rsidR="00A967F4" w:rsidRPr="00375E04" w:rsidRDefault="00A967F4" w:rsidP="00A967F4">
      <w:pPr>
        <w:pStyle w:val="ListParagraph"/>
        <w:numPr>
          <w:ilvl w:val="0"/>
          <w:numId w:val="1"/>
        </w:numPr>
        <w:spacing w:afterLines="80" w:after="192" w:line="20" w:lineRule="atLeast"/>
        <w:ind w:left="0" w:firstLine="567"/>
        <w:jc w:val="both"/>
        <w:rPr>
          <w:rFonts w:cstheme="minorHAnsi"/>
          <w:b/>
          <w:kern w:val="24"/>
          <w:sz w:val="21"/>
          <w:szCs w:val="21"/>
        </w:rPr>
      </w:pPr>
      <w:r w:rsidRPr="00375E04">
        <w:rPr>
          <w:rFonts w:cstheme="minorHAnsi"/>
          <w:b/>
          <w:kern w:val="24"/>
          <w:sz w:val="21"/>
          <w:szCs w:val="21"/>
        </w:rPr>
        <w:t xml:space="preserve">Paslaugų užsakymo, vykdymo tvarka ir terminai </w:t>
      </w:r>
    </w:p>
    <w:p w14:paraId="6769FFB2" w14:textId="0B7D4B27" w:rsidR="00A967F4" w:rsidRPr="00375E04" w:rsidRDefault="00A967F4" w:rsidP="00A967F4">
      <w:pPr>
        <w:pStyle w:val="ListParagraph"/>
        <w:numPr>
          <w:ilvl w:val="1"/>
          <w:numId w:val="1"/>
        </w:numPr>
        <w:spacing w:afterLines="80" w:after="192" w:line="20" w:lineRule="atLeast"/>
        <w:ind w:left="0" w:firstLine="567"/>
        <w:jc w:val="both"/>
        <w:rPr>
          <w:rFonts w:cstheme="minorHAnsi"/>
          <w:b/>
          <w:kern w:val="24"/>
          <w:sz w:val="21"/>
          <w:szCs w:val="21"/>
        </w:rPr>
      </w:pPr>
      <w:r w:rsidRPr="00375E04">
        <w:rPr>
          <w:rFonts w:cstheme="minorHAnsi"/>
          <w:bCs/>
          <w:kern w:val="24"/>
          <w:sz w:val="21"/>
          <w:szCs w:val="21"/>
        </w:rPr>
        <w:t>Tiekėjas nuo Perkančiosios organizacijos užsakymo patvirtinimo, turi pateikti PO (ne vėliau kaip per 14 darbo dienų planuojant didelį</w:t>
      </w:r>
      <w:r w:rsidR="006B2FF3">
        <w:rPr>
          <w:rFonts w:cstheme="minorHAnsi"/>
          <w:bCs/>
          <w:kern w:val="24"/>
          <w:sz w:val="21"/>
          <w:szCs w:val="21"/>
        </w:rPr>
        <w:t xml:space="preserve"> –</w:t>
      </w:r>
      <w:r w:rsidR="0059219A" w:rsidRPr="00375E04">
        <w:rPr>
          <w:rFonts w:cstheme="minorHAnsi"/>
          <w:bCs/>
          <w:kern w:val="24"/>
          <w:sz w:val="21"/>
          <w:szCs w:val="21"/>
        </w:rPr>
        <w:t xml:space="preserve"> kai biudžetas daugiau nei 20 000 </w:t>
      </w:r>
      <w:r w:rsidR="006B2FF3" w:rsidRPr="00375E04">
        <w:rPr>
          <w:rFonts w:cstheme="minorHAnsi"/>
          <w:bCs/>
          <w:kern w:val="24"/>
          <w:sz w:val="21"/>
          <w:szCs w:val="21"/>
        </w:rPr>
        <w:t>Eur</w:t>
      </w:r>
      <w:r w:rsidR="0059219A" w:rsidRPr="00375E04">
        <w:rPr>
          <w:rFonts w:cstheme="minorHAnsi"/>
          <w:bCs/>
          <w:kern w:val="24"/>
          <w:sz w:val="21"/>
          <w:szCs w:val="21"/>
        </w:rPr>
        <w:t xml:space="preserve"> </w:t>
      </w:r>
      <w:r w:rsidRPr="00375E04">
        <w:rPr>
          <w:rFonts w:cstheme="minorHAnsi"/>
          <w:bCs/>
          <w:kern w:val="24"/>
          <w:sz w:val="21"/>
          <w:szCs w:val="21"/>
        </w:rPr>
        <w:t>ar vidutinį renginį</w:t>
      </w:r>
      <w:r w:rsidR="0059219A" w:rsidRPr="00375E04">
        <w:rPr>
          <w:rFonts w:cstheme="minorHAnsi"/>
          <w:bCs/>
          <w:kern w:val="24"/>
          <w:sz w:val="21"/>
          <w:szCs w:val="21"/>
        </w:rPr>
        <w:t xml:space="preserve"> – kai biudžetas iki 20 000 </w:t>
      </w:r>
      <w:r w:rsidR="006B2FF3" w:rsidRPr="00375E04">
        <w:rPr>
          <w:rFonts w:cstheme="minorHAnsi"/>
          <w:bCs/>
          <w:kern w:val="24"/>
          <w:sz w:val="21"/>
          <w:szCs w:val="21"/>
        </w:rPr>
        <w:lastRenderedPageBreak/>
        <w:t>Eur</w:t>
      </w:r>
      <w:r w:rsidRPr="00375E04">
        <w:rPr>
          <w:rFonts w:cstheme="minorHAnsi"/>
          <w:bCs/>
          <w:kern w:val="24"/>
          <w:sz w:val="21"/>
          <w:szCs w:val="21"/>
        </w:rPr>
        <w:t xml:space="preserve"> ir ne vėliau kaip per 7 darbo dienas planuojant mažą</w:t>
      </w:r>
      <w:r w:rsidR="0059219A" w:rsidRPr="00375E04">
        <w:rPr>
          <w:rFonts w:cstheme="minorHAnsi"/>
          <w:bCs/>
          <w:kern w:val="24"/>
          <w:sz w:val="21"/>
          <w:szCs w:val="21"/>
        </w:rPr>
        <w:t xml:space="preserve"> – kai biudžetas iki 7000 </w:t>
      </w:r>
      <w:r w:rsidR="006B2FF3" w:rsidRPr="00375E04">
        <w:rPr>
          <w:rFonts w:cstheme="minorHAnsi"/>
          <w:bCs/>
          <w:kern w:val="24"/>
          <w:sz w:val="21"/>
          <w:szCs w:val="21"/>
        </w:rPr>
        <w:t>Eur</w:t>
      </w:r>
      <w:r w:rsidR="0059219A" w:rsidRPr="00375E04">
        <w:rPr>
          <w:rFonts w:cstheme="minorHAnsi"/>
          <w:bCs/>
          <w:kern w:val="24"/>
          <w:sz w:val="21"/>
          <w:szCs w:val="21"/>
        </w:rPr>
        <w:t>.</w:t>
      </w:r>
      <w:r w:rsidRPr="00375E04">
        <w:rPr>
          <w:rFonts w:cstheme="minorHAnsi"/>
          <w:bCs/>
          <w:kern w:val="24"/>
          <w:sz w:val="21"/>
          <w:szCs w:val="21"/>
        </w:rPr>
        <w:t xml:space="preserve"> paslaugų sąmatą, kurioje būtų nurodyti visi su užsakymo įgyvendinimu susiję paslaugų teikėjo kaštai, paslaugų detalizacija (terminai ir priemonės) ir su užsakymo vykdymu tiesiogiai susijusios paslaugų teikėjo išlaidos trečiosioms šalims (paslaugos, prekės bei jų kainos).</w:t>
      </w:r>
    </w:p>
    <w:p w14:paraId="688335C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Užsakymo vykdymas gali būti pradedamas tik gavus raštišką Perkančiosios organizacijos patvirtinimą (elektroniniu paštu) dėl parengtos paslaugų sąmatos, paslaugų teikimo plano, terminų ir priemonių tinkamumo. Užsakymo įvykdymui reikalingų prekių ar paslaugų įsigijimo išlaidos iš trečiųjų šalių Tiekėjui bus kompensuojamos tik pagal šalių suderintą ir patvirtintą paslaugų atlikimo sąmatą, Tiekėjui pateikus PVM sąskaitų faktūrų kopijas už įsigytas prekes ar paslaugas iš trečiųjų šalių.</w:t>
      </w:r>
    </w:p>
    <w:p w14:paraId="0CB37654"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Perkančiajai organizacijai pageidaujant, Tiekėjas įsipareigoja, pagal šalių iš anksto suderintą grafiką, PO teikti (el. paštu) raštiškas ataskaitas apie tarpinius paslaugų teikimo rezultatus. Paslaugos laikomos tinkamai suteiktomis, kai yra įvykdytos šios sąlygos:</w:t>
      </w:r>
    </w:p>
    <w:p w14:paraId="5BCF363A"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užsakymas yra laiku ir kokybiškai (turiniu ir forma) įvykdytas užsakyme ir Sutartyje nustatytomis sąlygomis ir tvarka;</w:t>
      </w:r>
    </w:p>
    <w:p w14:paraId="37603460"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 xml:space="preserve">Tiekėjas pateikia Perkančiajam subjektui PVM sąskaitas faktūras pagal suderintą paslaugų sąmatą. </w:t>
      </w:r>
    </w:p>
    <w:p w14:paraId="00C61089" w14:textId="77777777" w:rsidR="00A967F4" w:rsidRPr="00375E04" w:rsidRDefault="00A967F4" w:rsidP="00A967F4">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Jei užsakymo vykdymo metu, Perkantysis subjektas padaro esminių užsakymo pakeitimų ar papildymų, su Perkančiuoju subjektu suderintas paslaugų suteikimo terminas šalių sutarimu gali būti pratęsiamas, o sąmata gali būti atitinkamai koreguojama.</w:t>
      </w:r>
    </w:p>
    <w:p w14:paraId="27AAFF2D" w14:textId="3BABD7D9" w:rsidR="00A967F4" w:rsidRPr="00375E04" w:rsidRDefault="00A967F4" w:rsidP="00E17621">
      <w:pPr>
        <w:pStyle w:val="ListParagraph"/>
        <w:numPr>
          <w:ilvl w:val="1"/>
          <w:numId w:val="1"/>
        </w:numPr>
        <w:spacing w:afterLines="80" w:after="192" w:line="20" w:lineRule="atLeast"/>
        <w:ind w:left="0" w:firstLine="567"/>
        <w:jc w:val="both"/>
        <w:rPr>
          <w:rFonts w:cstheme="minorHAnsi"/>
          <w:bCs/>
          <w:kern w:val="24"/>
          <w:sz w:val="21"/>
          <w:szCs w:val="21"/>
        </w:rPr>
      </w:pPr>
      <w:r w:rsidRPr="00375E04">
        <w:rPr>
          <w:rFonts w:cstheme="minorHAnsi"/>
          <w:bCs/>
          <w:kern w:val="24"/>
          <w:sz w:val="21"/>
          <w:szCs w:val="21"/>
        </w:rPr>
        <w:t>Šalys, vykdydamos šią Sutartį, įsipareigoja laikytis šių aplinkosauginių reikalavimų: mažinti popieriaus sunaudojimą, atsisakyti nebūtino dokumentų kopijavimo ir spausdinimo, t. y. paslaugos teikiamos elektroniniu formatu, elektroniniu būdu; visa Sutarties vykdymui būtina informacija ir (ar) dokumentai teikiami ir derinami elektroniniu formatu elektroninėmis priemonėmis.</w:t>
      </w:r>
    </w:p>
    <w:p w14:paraId="78CD70E0" w14:textId="77777777" w:rsidR="009436C1" w:rsidRDefault="009436C1">
      <w:pPr>
        <w:spacing w:line="259" w:lineRule="auto"/>
        <w:rPr>
          <w:rFonts w:asciiTheme="majorHAnsi" w:hAnsiTheme="majorHAnsi" w:cstheme="majorHAnsi"/>
          <w:bCs/>
          <w:i/>
        </w:rPr>
      </w:pPr>
      <w:r>
        <w:rPr>
          <w:rFonts w:asciiTheme="majorHAnsi" w:hAnsiTheme="majorHAnsi" w:cstheme="majorHAnsi"/>
          <w:bCs/>
          <w:i/>
        </w:rPr>
        <w:br w:type="page"/>
      </w:r>
    </w:p>
    <w:p w14:paraId="660C36D7" w14:textId="332A4CB4" w:rsidR="00A967F4" w:rsidRPr="009436C1" w:rsidRDefault="00A967F4" w:rsidP="006B2FF3">
      <w:pPr>
        <w:spacing w:after="0" w:line="360" w:lineRule="auto"/>
        <w:jc w:val="right"/>
        <w:rPr>
          <w:rFonts w:asciiTheme="majorHAnsi" w:hAnsiTheme="majorHAnsi" w:cstheme="majorHAnsi"/>
          <w:bCs/>
          <w:i/>
        </w:rPr>
      </w:pPr>
      <w:bookmarkStart w:id="2" w:name="_GoBack"/>
      <w:bookmarkEnd w:id="2"/>
      <w:r w:rsidRPr="009436C1">
        <w:rPr>
          <w:rFonts w:asciiTheme="majorHAnsi" w:hAnsiTheme="majorHAnsi" w:cstheme="majorHAnsi"/>
          <w:bCs/>
          <w:i/>
        </w:rPr>
        <w:t xml:space="preserve">Techninės specifikacijos 1 priedas. </w:t>
      </w:r>
    </w:p>
    <w:p w14:paraId="7DA0B99B" w14:textId="77777777" w:rsidR="00A967F4" w:rsidRPr="00375E04" w:rsidRDefault="00A967F4" w:rsidP="00A967F4">
      <w:pPr>
        <w:spacing w:after="0" w:line="360" w:lineRule="auto"/>
        <w:ind w:firstLine="567"/>
        <w:jc w:val="both"/>
        <w:rPr>
          <w:rFonts w:cstheme="minorHAnsi"/>
          <w:bCs/>
        </w:rPr>
      </w:pPr>
    </w:p>
    <w:p w14:paraId="19FD77E8" w14:textId="4B201075" w:rsidR="00A967F4" w:rsidRPr="00375E04" w:rsidRDefault="00A967F4" w:rsidP="00A967F4">
      <w:pPr>
        <w:spacing w:afterLines="80" w:after="192" w:line="20" w:lineRule="atLeast"/>
        <w:ind w:firstLine="567"/>
        <w:jc w:val="both"/>
        <w:rPr>
          <w:rFonts w:cstheme="minorHAnsi"/>
          <w:bCs/>
          <w:kern w:val="24"/>
        </w:rPr>
      </w:pPr>
      <w:r w:rsidRPr="00375E04">
        <w:rPr>
          <w:rFonts w:cstheme="minorHAnsi"/>
          <w:bCs/>
          <w:kern w:val="24"/>
        </w:rPr>
        <w:t>Planuojami renginiai 202</w:t>
      </w:r>
      <w:r w:rsidR="00187DDC" w:rsidRPr="00375E04">
        <w:rPr>
          <w:rFonts w:cstheme="minorHAnsi"/>
          <w:bCs/>
          <w:kern w:val="24"/>
        </w:rPr>
        <w:t>6</w:t>
      </w:r>
      <w:r w:rsidRPr="00375E04">
        <w:rPr>
          <w:rFonts w:cstheme="minorHAnsi"/>
          <w:bCs/>
          <w:kern w:val="24"/>
        </w:rPr>
        <w:t xml:space="preserve"> m. ir ankstesnių dviejų metų renginiai (renginiai nurodomi vieninteliu tikslu – pirkimo dalyviams įsivertinti apytiksles renginių apimtis)</w:t>
      </w:r>
    </w:p>
    <w:p w14:paraId="2BEDB7DB" w14:textId="566D0F4A" w:rsidR="00A967F4" w:rsidRPr="00375E04" w:rsidRDefault="00A967F4" w:rsidP="00591635">
      <w:pPr>
        <w:spacing w:afterLines="80" w:after="192" w:line="20" w:lineRule="atLeast"/>
        <w:jc w:val="center"/>
        <w:rPr>
          <w:rFonts w:cstheme="minorHAnsi"/>
          <w:b/>
          <w:kern w:val="24"/>
        </w:rPr>
      </w:pPr>
      <w:r w:rsidRPr="00375E04">
        <w:rPr>
          <w:rFonts w:cstheme="minorHAnsi"/>
          <w:b/>
          <w:kern w:val="24"/>
        </w:rPr>
        <w:t>202</w:t>
      </w:r>
      <w:r w:rsidR="00E17621" w:rsidRPr="00375E04">
        <w:rPr>
          <w:rFonts w:cstheme="minorHAnsi"/>
          <w:b/>
          <w:kern w:val="24"/>
        </w:rPr>
        <w:t>6</w:t>
      </w:r>
      <w:r w:rsidRPr="00375E04">
        <w:rPr>
          <w:rFonts w:cstheme="minorHAnsi"/>
          <w:b/>
          <w:kern w:val="24"/>
        </w:rPr>
        <w:t xml:space="preserve"> m. balandis–gruodis</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2314"/>
        <w:gridCol w:w="4618"/>
      </w:tblGrid>
      <w:tr w:rsidR="00A967F4" w:rsidRPr="00375E04" w14:paraId="4C48822C" w14:textId="77777777" w:rsidTr="00591635">
        <w:trPr>
          <w:trHeight w:val="449"/>
        </w:trPr>
        <w:tc>
          <w:tcPr>
            <w:tcW w:w="2316" w:type="dxa"/>
            <w:shd w:val="clear" w:color="auto" w:fill="E7E6E6" w:themeFill="background2"/>
            <w:vAlign w:val="center"/>
          </w:tcPr>
          <w:p w14:paraId="59B3055A" w14:textId="77777777" w:rsidR="00A967F4" w:rsidRPr="00375E04" w:rsidRDefault="00A967F4" w:rsidP="00591635">
            <w:pPr>
              <w:pStyle w:val="NoSpacing"/>
              <w:jc w:val="center"/>
              <w:rPr>
                <w:b/>
              </w:rPr>
            </w:pPr>
            <w:r w:rsidRPr="00375E04">
              <w:rPr>
                <w:b/>
              </w:rPr>
              <w:t>Laikotarpis</w:t>
            </w:r>
          </w:p>
        </w:tc>
        <w:tc>
          <w:tcPr>
            <w:tcW w:w="2314" w:type="dxa"/>
            <w:shd w:val="clear" w:color="auto" w:fill="E7E6E6" w:themeFill="background2"/>
            <w:vAlign w:val="center"/>
          </w:tcPr>
          <w:p w14:paraId="43E141C2" w14:textId="77777777" w:rsidR="00A967F4" w:rsidRPr="00375E04" w:rsidRDefault="00A967F4" w:rsidP="00591635">
            <w:pPr>
              <w:pStyle w:val="NoSpacing"/>
              <w:jc w:val="center"/>
              <w:rPr>
                <w:b/>
              </w:rPr>
            </w:pPr>
            <w:r w:rsidRPr="00375E04">
              <w:rPr>
                <w:b/>
              </w:rPr>
              <w:t>Apimties tipas</w:t>
            </w:r>
          </w:p>
        </w:tc>
        <w:tc>
          <w:tcPr>
            <w:tcW w:w="4618" w:type="dxa"/>
            <w:shd w:val="clear" w:color="auto" w:fill="E7E6E6" w:themeFill="background2"/>
            <w:vAlign w:val="center"/>
          </w:tcPr>
          <w:p w14:paraId="33A4972E" w14:textId="77777777" w:rsidR="00A967F4" w:rsidRPr="00375E04" w:rsidRDefault="00A967F4" w:rsidP="00591635">
            <w:pPr>
              <w:pStyle w:val="NoSpacing"/>
              <w:jc w:val="center"/>
              <w:rPr>
                <w:b/>
              </w:rPr>
            </w:pPr>
            <w:r w:rsidRPr="00375E04">
              <w:rPr>
                <w:b/>
              </w:rPr>
              <w:t>Renginių organizavimo ir aptarnavimo paslaugos</w:t>
            </w:r>
          </w:p>
        </w:tc>
      </w:tr>
      <w:tr w:rsidR="00A967F4" w:rsidRPr="00375E04" w14:paraId="397AEAAF" w14:textId="77777777" w:rsidTr="00591635">
        <w:trPr>
          <w:trHeight w:val="449"/>
        </w:trPr>
        <w:tc>
          <w:tcPr>
            <w:tcW w:w="2316" w:type="dxa"/>
            <w:vAlign w:val="center"/>
          </w:tcPr>
          <w:p w14:paraId="14B6B03F" w14:textId="77777777" w:rsidR="00A967F4" w:rsidRPr="00375E04" w:rsidRDefault="00A967F4" w:rsidP="00591635">
            <w:pPr>
              <w:pStyle w:val="NoSpacing"/>
              <w:jc w:val="center"/>
            </w:pPr>
            <w:r w:rsidRPr="00375E04">
              <w:t>Balandis–gruodis</w:t>
            </w:r>
          </w:p>
        </w:tc>
        <w:tc>
          <w:tcPr>
            <w:tcW w:w="2314" w:type="dxa"/>
            <w:vAlign w:val="center"/>
          </w:tcPr>
          <w:p w14:paraId="3F9427B2" w14:textId="0041972B" w:rsidR="00A967F4" w:rsidRPr="00375E04" w:rsidRDefault="002A51E5" w:rsidP="00591635">
            <w:pPr>
              <w:pStyle w:val="NoSpacing"/>
              <w:jc w:val="center"/>
            </w:pPr>
            <w:r w:rsidRPr="00375E04">
              <w:t>2</w:t>
            </w:r>
            <w:r w:rsidR="005011B4" w:rsidRPr="00375E04">
              <w:t>1</w:t>
            </w:r>
          </w:p>
        </w:tc>
        <w:tc>
          <w:tcPr>
            <w:tcW w:w="4618" w:type="dxa"/>
            <w:vAlign w:val="center"/>
          </w:tcPr>
          <w:p w14:paraId="31C3A418" w14:textId="2A88E2C9" w:rsidR="00A967F4" w:rsidRPr="00375E04" w:rsidRDefault="005011B4" w:rsidP="00591635">
            <w:pPr>
              <w:pStyle w:val="NoSpacing"/>
              <w:jc w:val="center"/>
            </w:pPr>
            <w:r w:rsidRPr="00375E04">
              <w:t>190858</w:t>
            </w:r>
            <w:r w:rsidR="002A51E5" w:rsidRPr="00375E04">
              <w:t xml:space="preserve"> </w:t>
            </w:r>
            <w:r w:rsidR="00A967F4" w:rsidRPr="00375E04">
              <w:t>Eur</w:t>
            </w:r>
          </w:p>
        </w:tc>
      </w:tr>
      <w:tr w:rsidR="00A967F4" w:rsidRPr="00375E04" w14:paraId="6D0F3D2D" w14:textId="77777777" w:rsidTr="00591635">
        <w:trPr>
          <w:trHeight w:val="363"/>
        </w:trPr>
        <w:tc>
          <w:tcPr>
            <w:tcW w:w="2316" w:type="dxa"/>
            <w:vMerge w:val="restart"/>
            <w:vAlign w:val="center"/>
          </w:tcPr>
          <w:p w14:paraId="3B8A1DBB" w14:textId="77777777" w:rsidR="00A967F4" w:rsidRPr="00375E04" w:rsidRDefault="00A967F4" w:rsidP="00591635">
            <w:pPr>
              <w:pStyle w:val="NoSpacing"/>
              <w:jc w:val="center"/>
            </w:pPr>
            <w:r w:rsidRPr="00375E04">
              <w:t>Balandis</w:t>
            </w:r>
          </w:p>
        </w:tc>
        <w:tc>
          <w:tcPr>
            <w:tcW w:w="2314" w:type="dxa"/>
            <w:vAlign w:val="center"/>
          </w:tcPr>
          <w:p w14:paraId="3CA366D3" w14:textId="77777777" w:rsidR="00A967F4" w:rsidRPr="00375E04" w:rsidRDefault="00A967F4" w:rsidP="00591635">
            <w:pPr>
              <w:pStyle w:val="NoSpacing"/>
              <w:jc w:val="center"/>
            </w:pPr>
            <w:r w:rsidRPr="00375E04">
              <w:t>Skaičius</w:t>
            </w:r>
          </w:p>
        </w:tc>
        <w:tc>
          <w:tcPr>
            <w:tcW w:w="4618" w:type="dxa"/>
            <w:vAlign w:val="center"/>
          </w:tcPr>
          <w:p w14:paraId="63AC88F6" w14:textId="77777777" w:rsidR="00A967F4" w:rsidRPr="00375E04" w:rsidRDefault="00A967F4" w:rsidP="00591635">
            <w:pPr>
              <w:pStyle w:val="NoSpacing"/>
              <w:jc w:val="center"/>
            </w:pPr>
            <w:r w:rsidRPr="00375E04">
              <w:t>3 (konferencija, reprezentacinis, informacinis)</w:t>
            </w:r>
          </w:p>
        </w:tc>
      </w:tr>
      <w:tr w:rsidR="00A967F4" w:rsidRPr="00375E04" w14:paraId="703B5337" w14:textId="77777777" w:rsidTr="00591635">
        <w:trPr>
          <w:trHeight w:val="295"/>
        </w:trPr>
        <w:tc>
          <w:tcPr>
            <w:tcW w:w="2316" w:type="dxa"/>
            <w:vMerge/>
            <w:vAlign w:val="center"/>
          </w:tcPr>
          <w:p w14:paraId="7CAAD231" w14:textId="77777777" w:rsidR="00A967F4" w:rsidRPr="00375E04" w:rsidRDefault="00A967F4" w:rsidP="00591635">
            <w:pPr>
              <w:pStyle w:val="NoSpacing"/>
              <w:jc w:val="center"/>
            </w:pPr>
          </w:p>
        </w:tc>
        <w:tc>
          <w:tcPr>
            <w:tcW w:w="2314" w:type="dxa"/>
            <w:vAlign w:val="center"/>
          </w:tcPr>
          <w:p w14:paraId="404EA2E7" w14:textId="77777777" w:rsidR="00A967F4" w:rsidRPr="00375E04" w:rsidRDefault="00A967F4" w:rsidP="00591635">
            <w:pPr>
              <w:pStyle w:val="NoSpacing"/>
              <w:jc w:val="center"/>
            </w:pPr>
            <w:r w:rsidRPr="00375E04">
              <w:t>Vertė</w:t>
            </w:r>
          </w:p>
        </w:tc>
        <w:tc>
          <w:tcPr>
            <w:tcW w:w="4618" w:type="dxa"/>
            <w:vAlign w:val="center"/>
          </w:tcPr>
          <w:p w14:paraId="23CC508F" w14:textId="1374DEA7" w:rsidR="00A967F4" w:rsidRPr="00375E04" w:rsidRDefault="002A51E5" w:rsidP="00591635">
            <w:pPr>
              <w:pStyle w:val="NoSpacing"/>
              <w:jc w:val="center"/>
            </w:pPr>
            <w:r w:rsidRPr="00375E04">
              <w:t>51500</w:t>
            </w:r>
            <w:r w:rsidR="00A967F4" w:rsidRPr="00375E04">
              <w:t xml:space="preserve"> Eur</w:t>
            </w:r>
          </w:p>
        </w:tc>
      </w:tr>
      <w:tr w:rsidR="00A967F4" w:rsidRPr="00375E04" w14:paraId="494C58FE" w14:textId="77777777" w:rsidTr="00591635">
        <w:trPr>
          <w:trHeight w:val="339"/>
        </w:trPr>
        <w:tc>
          <w:tcPr>
            <w:tcW w:w="2316" w:type="dxa"/>
            <w:vMerge w:val="restart"/>
            <w:vAlign w:val="center"/>
          </w:tcPr>
          <w:p w14:paraId="2EF459F2" w14:textId="77777777" w:rsidR="00A967F4" w:rsidRPr="00375E04" w:rsidRDefault="00A967F4" w:rsidP="00591635">
            <w:pPr>
              <w:pStyle w:val="NoSpacing"/>
              <w:jc w:val="center"/>
            </w:pPr>
            <w:r w:rsidRPr="00375E04">
              <w:t>Gegužė</w:t>
            </w:r>
          </w:p>
        </w:tc>
        <w:tc>
          <w:tcPr>
            <w:tcW w:w="2314" w:type="dxa"/>
            <w:vAlign w:val="center"/>
          </w:tcPr>
          <w:p w14:paraId="6F2B6138" w14:textId="77777777" w:rsidR="00A967F4" w:rsidRPr="00375E04" w:rsidRDefault="00A967F4" w:rsidP="00591635">
            <w:pPr>
              <w:pStyle w:val="NoSpacing"/>
              <w:jc w:val="center"/>
            </w:pPr>
            <w:r w:rsidRPr="00375E04">
              <w:t>Skaičius</w:t>
            </w:r>
          </w:p>
        </w:tc>
        <w:tc>
          <w:tcPr>
            <w:tcW w:w="4618" w:type="dxa"/>
            <w:vAlign w:val="center"/>
          </w:tcPr>
          <w:p w14:paraId="6E3D860B" w14:textId="1D0BDBCF" w:rsidR="00A967F4" w:rsidRPr="00375E04" w:rsidRDefault="002A51E5" w:rsidP="00591635">
            <w:pPr>
              <w:pStyle w:val="NoSpacing"/>
              <w:jc w:val="center"/>
            </w:pPr>
            <w:r w:rsidRPr="00375E04">
              <w:t>5</w:t>
            </w:r>
            <w:r w:rsidR="00A967F4" w:rsidRPr="00375E04">
              <w:t xml:space="preserve"> (mokymai, reprezentacinis)</w:t>
            </w:r>
          </w:p>
        </w:tc>
      </w:tr>
      <w:tr w:rsidR="00A967F4" w:rsidRPr="00375E04" w14:paraId="40E7B927" w14:textId="77777777" w:rsidTr="00591635">
        <w:trPr>
          <w:trHeight w:val="350"/>
        </w:trPr>
        <w:tc>
          <w:tcPr>
            <w:tcW w:w="2316" w:type="dxa"/>
            <w:vMerge/>
            <w:vAlign w:val="center"/>
          </w:tcPr>
          <w:p w14:paraId="10FEF200" w14:textId="77777777" w:rsidR="00A967F4" w:rsidRPr="00375E04" w:rsidRDefault="00A967F4" w:rsidP="00591635">
            <w:pPr>
              <w:pStyle w:val="NoSpacing"/>
              <w:jc w:val="center"/>
            </w:pPr>
          </w:p>
        </w:tc>
        <w:tc>
          <w:tcPr>
            <w:tcW w:w="2314" w:type="dxa"/>
            <w:vAlign w:val="center"/>
          </w:tcPr>
          <w:p w14:paraId="1F96A8CB" w14:textId="77777777" w:rsidR="00A967F4" w:rsidRPr="00375E04" w:rsidRDefault="00A967F4" w:rsidP="00591635">
            <w:pPr>
              <w:pStyle w:val="NoSpacing"/>
              <w:jc w:val="center"/>
            </w:pPr>
            <w:r w:rsidRPr="00375E04">
              <w:t>Vertė</w:t>
            </w:r>
          </w:p>
        </w:tc>
        <w:tc>
          <w:tcPr>
            <w:tcW w:w="4618" w:type="dxa"/>
            <w:vAlign w:val="center"/>
          </w:tcPr>
          <w:p w14:paraId="71D62F76" w14:textId="74471CD0" w:rsidR="00A967F4" w:rsidRPr="00375E04" w:rsidRDefault="002A51E5" w:rsidP="00591635">
            <w:pPr>
              <w:pStyle w:val="NoSpacing"/>
              <w:jc w:val="center"/>
            </w:pPr>
            <w:r w:rsidRPr="00375E04">
              <w:t>22500</w:t>
            </w:r>
            <w:r w:rsidR="00A967F4" w:rsidRPr="00375E04">
              <w:t xml:space="preserve"> Eur</w:t>
            </w:r>
          </w:p>
        </w:tc>
      </w:tr>
      <w:tr w:rsidR="00A967F4" w:rsidRPr="00375E04" w14:paraId="431AE07C" w14:textId="77777777" w:rsidTr="00591635">
        <w:trPr>
          <w:trHeight w:val="383"/>
        </w:trPr>
        <w:tc>
          <w:tcPr>
            <w:tcW w:w="2316" w:type="dxa"/>
            <w:vMerge w:val="restart"/>
            <w:vAlign w:val="center"/>
          </w:tcPr>
          <w:p w14:paraId="14B6ED9B" w14:textId="77777777" w:rsidR="00A967F4" w:rsidRPr="00375E04" w:rsidRDefault="00A967F4" w:rsidP="00591635">
            <w:pPr>
              <w:pStyle w:val="NoSpacing"/>
              <w:jc w:val="center"/>
            </w:pPr>
            <w:r w:rsidRPr="00375E04">
              <w:t>Birželis</w:t>
            </w:r>
          </w:p>
        </w:tc>
        <w:tc>
          <w:tcPr>
            <w:tcW w:w="2314" w:type="dxa"/>
            <w:vAlign w:val="center"/>
          </w:tcPr>
          <w:p w14:paraId="48C5FE04" w14:textId="77777777" w:rsidR="00A967F4" w:rsidRPr="00375E04" w:rsidRDefault="00A967F4" w:rsidP="00591635">
            <w:pPr>
              <w:pStyle w:val="NoSpacing"/>
              <w:jc w:val="center"/>
            </w:pPr>
            <w:r w:rsidRPr="00375E04">
              <w:t>Skaičius</w:t>
            </w:r>
          </w:p>
        </w:tc>
        <w:tc>
          <w:tcPr>
            <w:tcW w:w="4618" w:type="dxa"/>
            <w:vAlign w:val="center"/>
          </w:tcPr>
          <w:p w14:paraId="6EAECDD2" w14:textId="0F99E3FE" w:rsidR="00A967F4" w:rsidRPr="00375E04" w:rsidRDefault="002A51E5" w:rsidP="00591635">
            <w:pPr>
              <w:pStyle w:val="NoSpacing"/>
              <w:jc w:val="center"/>
            </w:pPr>
            <w:r w:rsidRPr="00375E04">
              <w:t>2</w:t>
            </w:r>
            <w:r w:rsidR="00A967F4" w:rsidRPr="00375E04">
              <w:t xml:space="preserve"> (reprezentacinis)</w:t>
            </w:r>
          </w:p>
        </w:tc>
      </w:tr>
      <w:tr w:rsidR="00A967F4" w:rsidRPr="00375E04" w14:paraId="1EA3EF8C" w14:textId="77777777" w:rsidTr="00591635">
        <w:trPr>
          <w:trHeight w:val="317"/>
        </w:trPr>
        <w:tc>
          <w:tcPr>
            <w:tcW w:w="2316" w:type="dxa"/>
            <w:vMerge/>
            <w:vAlign w:val="center"/>
          </w:tcPr>
          <w:p w14:paraId="7922BDCD" w14:textId="77777777" w:rsidR="00A967F4" w:rsidRPr="00375E04" w:rsidRDefault="00A967F4" w:rsidP="00591635">
            <w:pPr>
              <w:pStyle w:val="NoSpacing"/>
              <w:jc w:val="center"/>
            </w:pPr>
          </w:p>
        </w:tc>
        <w:tc>
          <w:tcPr>
            <w:tcW w:w="2314" w:type="dxa"/>
            <w:vAlign w:val="center"/>
          </w:tcPr>
          <w:p w14:paraId="44D8499F" w14:textId="77777777" w:rsidR="00A967F4" w:rsidRPr="00375E04" w:rsidRDefault="00A967F4" w:rsidP="00591635">
            <w:pPr>
              <w:pStyle w:val="NoSpacing"/>
              <w:jc w:val="center"/>
            </w:pPr>
            <w:r w:rsidRPr="00375E04">
              <w:t>Vertė</w:t>
            </w:r>
          </w:p>
        </w:tc>
        <w:tc>
          <w:tcPr>
            <w:tcW w:w="4618" w:type="dxa"/>
            <w:vAlign w:val="center"/>
          </w:tcPr>
          <w:p w14:paraId="388D452F" w14:textId="77777777" w:rsidR="00A967F4" w:rsidRPr="00375E04" w:rsidRDefault="00A967F4" w:rsidP="00591635">
            <w:pPr>
              <w:pStyle w:val="NoSpacing"/>
              <w:jc w:val="center"/>
            </w:pPr>
            <w:r w:rsidRPr="00375E04">
              <w:t>5000,00 Eur</w:t>
            </w:r>
          </w:p>
        </w:tc>
      </w:tr>
      <w:tr w:rsidR="00A967F4" w:rsidRPr="00375E04" w14:paraId="0AF9B660" w14:textId="77777777" w:rsidTr="00591635">
        <w:trPr>
          <w:trHeight w:val="407"/>
        </w:trPr>
        <w:tc>
          <w:tcPr>
            <w:tcW w:w="2316" w:type="dxa"/>
            <w:vMerge w:val="restart"/>
            <w:vAlign w:val="center"/>
          </w:tcPr>
          <w:p w14:paraId="12298EAD" w14:textId="77777777" w:rsidR="00A967F4" w:rsidRPr="00375E04" w:rsidRDefault="00A967F4" w:rsidP="00591635">
            <w:pPr>
              <w:pStyle w:val="NoSpacing"/>
              <w:jc w:val="center"/>
            </w:pPr>
            <w:r w:rsidRPr="00375E04">
              <w:t>Liepa</w:t>
            </w:r>
          </w:p>
        </w:tc>
        <w:tc>
          <w:tcPr>
            <w:tcW w:w="2314" w:type="dxa"/>
            <w:vAlign w:val="center"/>
          </w:tcPr>
          <w:p w14:paraId="5F533AE4" w14:textId="77777777" w:rsidR="00A967F4" w:rsidRPr="00375E04" w:rsidRDefault="00A967F4" w:rsidP="00591635">
            <w:pPr>
              <w:pStyle w:val="NoSpacing"/>
              <w:jc w:val="center"/>
            </w:pPr>
            <w:r w:rsidRPr="00375E04">
              <w:t>Skaičius</w:t>
            </w:r>
          </w:p>
        </w:tc>
        <w:tc>
          <w:tcPr>
            <w:tcW w:w="4618" w:type="dxa"/>
            <w:vAlign w:val="center"/>
          </w:tcPr>
          <w:p w14:paraId="170737F0" w14:textId="77777777" w:rsidR="00A967F4" w:rsidRPr="00375E04" w:rsidRDefault="00A967F4" w:rsidP="00591635">
            <w:pPr>
              <w:pStyle w:val="NoSpacing"/>
              <w:jc w:val="center"/>
            </w:pPr>
            <w:r w:rsidRPr="00375E04">
              <w:t>-</w:t>
            </w:r>
          </w:p>
        </w:tc>
      </w:tr>
      <w:tr w:rsidR="00A967F4" w:rsidRPr="00375E04" w14:paraId="48278FC6" w14:textId="77777777" w:rsidTr="00591635">
        <w:trPr>
          <w:trHeight w:val="329"/>
        </w:trPr>
        <w:tc>
          <w:tcPr>
            <w:tcW w:w="2316" w:type="dxa"/>
            <w:vMerge/>
            <w:vAlign w:val="center"/>
          </w:tcPr>
          <w:p w14:paraId="28D63F97" w14:textId="77777777" w:rsidR="00A967F4" w:rsidRPr="00375E04" w:rsidRDefault="00A967F4" w:rsidP="00591635">
            <w:pPr>
              <w:pStyle w:val="NoSpacing"/>
              <w:jc w:val="center"/>
            </w:pPr>
          </w:p>
        </w:tc>
        <w:tc>
          <w:tcPr>
            <w:tcW w:w="2314" w:type="dxa"/>
            <w:vAlign w:val="center"/>
          </w:tcPr>
          <w:p w14:paraId="3E525EF8" w14:textId="77777777" w:rsidR="00A967F4" w:rsidRPr="00375E04" w:rsidRDefault="00A967F4" w:rsidP="00591635">
            <w:pPr>
              <w:pStyle w:val="NoSpacing"/>
              <w:jc w:val="center"/>
            </w:pPr>
            <w:r w:rsidRPr="00375E04">
              <w:t>Vertė</w:t>
            </w:r>
          </w:p>
        </w:tc>
        <w:tc>
          <w:tcPr>
            <w:tcW w:w="4618" w:type="dxa"/>
            <w:vAlign w:val="center"/>
          </w:tcPr>
          <w:p w14:paraId="79122522" w14:textId="77777777" w:rsidR="00A967F4" w:rsidRPr="00375E04" w:rsidRDefault="00A967F4" w:rsidP="00591635">
            <w:pPr>
              <w:pStyle w:val="NoSpacing"/>
              <w:jc w:val="center"/>
            </w:pPr>
            <w:r w:rsidRPr="00375E04">
              <w:t>-</w:t>
            </w:r>
          </w:p>
        </w:tc>
      </w:tr>
      <w:tr w:rsidR="00A967F4" w:rsidRPr="00375E04" w14:paraId="667231A8" w14:textId="77777777" w:rsidTr="00591635">
        <w:trPr>
          <w:trHeight w:val="329"/>
        </w:trPr>
        <w:tc>
          <w:tcPr>
            <w:tcW w:w="2316" w:type="dxa"/>
            <w:vMerge w:val="restart"/>
            <w:vAlign w:val="center"/>
          </w:tcPr>
          <w:p w14:paraId="30C373AD" w14:textId="77777777" w:rsidR="00A967F4" w:rsidRPr="00375E04" w:rsidRDefault="00A967F4" w:rsidP="00591635">
            <w:pPr>
              <w:pStyle w:val="NoSpacing"/>
              <w:jc w:val="center"/>
            </w:pPr>
            <w:r w:rsidRPr="00375E04">
              <w:t>Rugpjūtis</w:t>
            </w:r>
          </w:p>
        </w:tc>
        <w:tc>
          <w:tcPr>
            <w:tcW w:w="2314" w:type="dxa"/>
            <w:vAlign w:val="center"/>
          </w:tcPr>
          <w:p w14:paraId="55397808" w14:textId="77777777" w:rsidR="00A967F4" w:rsidRPr="00375E04" w:rsidRDefault="00A967F4" w:rsidP="00591635">
            <w:pPr>
              <w:pStyle w:val="NoSpacing"/>
              <w:jc w:val="center"/>
            </w:pPr>
            <w:r w:rsidRPr="00375E04">
              <w:t>Skaičius</w:t>
            </w:r>
          </w:p>
        </w:tc>
        <w:tc>
          <w:tcPr>
            <w:tcW w:w="4618" w:type="dxa"/>
            <w:vAlign w:val="center"/>
          </w:tcPr>
          <w:p w14:paraId="18BEAFFD" w14:textId="3D027FED" w:rsidR="00A967F4" w:rsidRPr="00375E04" w:rsidRDefault="002A51E5" w:rsidP="00591635">
            <w:pPr>
              <w:pStyle w:val="NoSpacing"/>
              <w:jc w:val="center"/>
            </w:pPr>
            <w:r w:rsidRPr="00375E04">
              <w:t>1</w:t>
            </w:r>
            <w:r w:rsidR="00A967F4" w:rsidRPr="00375E04">
              <w:t xml:space="preserve"> (mokymai, reprezentacinis)</w:t>
            </w:r>
          </w:p>
        </w:tc>
      </w:tr>
      <w:tr w:rsidR="00A967F4" w:rsidRPr="00375E04" w14:paraId="2B93F1DF" w14:textId="77777777" w:rsidTr="00591635">
        <w:trPr>
          <w:trHeight w:val="329"/>
        </w:trPr>
        <w:tc>
          <w:tcPr>
            <w:tcW w:w="2316" w:type="dxa"/>
            <w:vMerge/>
            <w:vAlign w:val="center"/>
          </w:tcPr>
          <w:p w14:paraId="45E7F570" w14:textId="77777777" w:rsidR="00A967F4" w:rsidRPr="00375E04" w:rsidRDefault="00A967F4" w:rsidP="00591635">
            <w:pPr>
              <w:pStyle w:val="NoSpacing"/>
              <w:jc w:val="center"/>
            </w:pPr>
          </w:p>
        </w:tc>
        <w:tc>
          <w:tcPr>
            <w:tcW w:w="2314" w:type="dxa"/>
            <w:vAlign w:val="center"/>
          </w:tcPr>
          <w:p w14:paraId="6EBFA9BE" w14:textId="77777777" w:rsidR="00A967F4" w:rsidRPr="00375E04" w:rsidRDefault="00A967F4" w:rsidP="00591635">
            <w:pPr>
              <w:pStyle w:val="NoSpacing"/>
              <w:jc w:val="center"/>
            </w:pPr>
            <w:r w:rsidRPr="00375E04">
              <w:t>Vertė</w:t>
            </w:r>
          </w:p>
        </w:tc>
        <w:tc>
          <w:tcPr>
            <w:tcW w:w="4618" w:type="dxa"/>
            <w:vAlign w:val="center"/>
          </w:tcPr>
          <w:p w14:paraId="49DFD8FB" w14:textId="62262A1E" w:rsidR="00A967F4" w:rsidRPr="00375E04" w:rsidRDefault="002A51E5" w:rsidP="00591635">
            <w:pPr>
              <w:pStyle w:val="NoSpacing"/>
              <w:jc w:val="center"/>
            </w:pPr>
            <w:r w:rsidRPr="00375E04">
              <w:t>5000</w:t>
            </w:r>
            <w:r w:rsidR="00A967F4" w:rsidRPr="00375E04">
              <w:t xml:space="preserve"> Eur</w:t>
            </w:r>
          </w:p>
        </w:tc>
      </w:tr>
      <w:tr w:rsidR="00A967F4" w:rsidRPr="00375E04" w14:paraId="28E5D49F" w14:textId="77777777" w:rsidTr="00591635">
        <w:trPr>
          <w:trHeight w:val="339"/>
        </w:trPr>
        <w:tc>
          <w:tcPr>
            <w:tcW w:w="2316" w:type="dxa"/>
            <w:vMerge w:val="restart"/>
            <w:vAlign w:val="center"/>
          </w:tcPr>
          <w:p w14:paraId="65B2C5EF" w14:textId="77777777" w:rsidR="00A967F4" w:rsidRPr="00375E04" w:rsidRDefault="00A967F4" w:rsidP="00591635">
            <w:pPr>
              <w:pStyle w:val="NoSpacing"/>
              <w:jc w:val="center"/>
            </w:pPr>
            <w:r w:rsidRPr="00375E04">
              <w:t>Rugsėjis</w:t>
            </w:r>
          </w:p>
        </w:tc>
        <w:tc>
          <w:tcPr>
            <w:tcW w:w="2314" w:type="dxa"/>
            <w:vAlign w:val="center"/>
          </w:tcPr>
          <w:p w14:paraId="16605E6F" w14:textId="77777777" w:rsidR="00A967F4" w:rsidRPr="00375E04" w:rsidRDefault="00A967F4" w:rsidP="00591635">
            <w:pPr>
              <w:pStyle w:val="NoSpacing"/>
              <w:jc w:val="center"/>
            </w:pPr>
            <w:r w:rsidRPr="00375E04">
              <w:t>Skaičius</w:t>
            </w:r>
          </w:p>
        </w:tc>
        <w:tc>
          <w:tcPr>
            <w:tcW w:w="4618" w:type="dxa"/>
            <w:vAlign w:val="center"/>
          </w:tcPr>
          <w:p w14:paraId="0A137E6D" w14:textId="59E4F3A1" w:rsidR="00A967F4" w:rsidRPr="00375E04" w:rsidRDefault="002A51E5" w:rsidP="00591635">
            <w:pPr>
              <w:pStyle w:val="NoSpacing"/>
              <w:jc w:val="center"/>
            </w:pPr>
            <w:r w:rsidRPr="00375E04">
              <w:t>4</w:t>
            </w:r>
            <w:r w:rsidR="00A967F4" w:rsidRPr="00375E04">
              <w:t xml:space="preserve"> (reprezentacinis, informacinis, mokymai)</w:t>
            </w:r>
          </w:p>
        </w:tc>
      </w:tr>
      <w:tr w:rsidR="00A967F4" w:rsidRPr="00375E04" w14:paraId="18A14385" w14:textId="77777777" w:rsidTr="00591635">
        <w:trPr>
          <w:trHeight w:val="339"/>
        </w:trPr>
        <w:tc>
          <w:tcPr>
            <w:tcW w:w="2316" w:type="dxa"/>
            <w:vMerge/>
            <w:vAlign w:val="center"/>
          </w:tcPr>
          <w:p w14:paraId="141A9402" w14:textId="77777777" w:rsidR="00A967F4" w:rsidRPr="00375E04" w:rsidRDefault="00A967F4" w:rsidP="00591635">
            <w:pPr>
              <w:pStyle w:val="NoSpacing"/>
              <w:jc w:val="center"/>
            </w:pPr>
          </w:p>
        </w:tc>
        <w:tc>
          <w:tcPr>
            <w:tcW w:w="2314" w:type="dxa"/>
            <w:vAlign w:val="center"/>
          </w:tcPr>
          <w:p w14:paraId="5AACC5B3" w14:textId="77777777" w:rsidR="00A967F4" w:rsidRPr="00375E04" w:rsidRDefault="00A967F4" w:rsidP="00591635">
            <w:pPr>
              <w:pStyle w:val="NoSpacing"/>
              <w:jc w:val="center"/>
            </w:pPr>
            <w:r w:rsidRPr="00375E04">
              <w:t>Vertė</w:t>
            </w:r>
          </w:p>
        </w:tc>
        <w:tc>
          <w:tcPr>
            <w:tcW w:w="4618" w:type="dxa"/>
            <w:vAlign w:val="center"/>
          </w:tcPr>
          <w:p w14:paraId="31294DFA" w14:textId="0E03FF47" w:rsidR="00A967F4" w:rsidRPr="00375E04" w:rsidRDefault="0064589C" w:rsidP="00591635">
            <w:pPr>
              <w:pStyle w:val="NoSpacing"/>
              <w:jc w:val="center"/>
            </w:pPr>
            <w:r w:rsidRPr="00375E04">
              <w:t>51000</w:t>
            </w:r>
            <w:r w:rsidR="00A967F4" w:rsidRPr="00375E04">
              <w:t xml:space="preserve"> Eur</w:t>
            </w:r>
          </w:p>
        </w:tc>
      </w:tr>
      <w:tr w:rsidR="00A967F4" w:rsidRPr="00375E04" w14:paraId="62C25448" w14:textId="77777777" w:rsidTr="00591635">
        <w:trPr>
          <w:trHeight w:val="362"/>
        </w:trPr>
        <w:tc>
          <w:tcPr>
            <w:tcW w:w="2316" w:type="dxa"/>
            <w:vMerge w:val="restart"/>
            <w:vAlign w:val="center"/>
          </w:tcPr>
          <w:p w14:paraId="7DA7F4AB" w14:textId="77777777" w:rsidR="00A967F4" w:rsidRPr="00375E04" w:rsidRDefault="00A967F4" w:rsidP="00591635">
            <w:pPr>
              <w:pStyle w:val="NoSpacing"/>
              <w:jc w:val="center"/>
            </w:pPr>
            <w:r w:rsidRPr="00375E04">
              <w:t>Spalis</w:t>
            </w:r>
          </w:p>
        </w:tc>
        <w:tc>
          <w:tcPr>
            <w:tcW w:w="2314" w:type="dxa"/>
            <w:vAlign w:val="center"/>
          </w:tcPr>
          <w:p w14:paraId="2F623C88" w14:textId="77777777" w:rsidR="00A967F4" w:rsidRPr="00375E04" w:rsidRDefault="00A967F4" w:rsidP="00591635">
            <w:pPr>
              <w:pStyle w:val="NoSpacing"/>
              <w:jc w:val="center"/>
            </w:pPr>
            <w:r w:rsidRPr="00375E04">
              <w:t>Skaičius</w:t>
            </w:r>
          </w:p>
        </w:tc>
        <w:tc>
          <w:tcPr>
            <w:tcW w:w="4618" w:type="dxa"/>
            <w:vAlign w:val="center"/>
          </w:tcPr>
          <w:p w14:paraId="66B90359" w14:textId="74FE0649" w:rsidR="00A967F4" w:rsidRPr="00375E04" w:rsidRDefault="00A967F4" w:rsidP="00591635">
            <w:pPr>
              <w:pStyle w:val="NoSpacing"/>
              <w:jc w:val="center"/>
            </w:pPr>
            <w:r w:rsidRPr="00375E04">
              <w:t xml:space="preserve">2 (reprezentacinis </w:t>
            </w:r>
            <w:r w:rsidR="006B2FF3">
              <w:rPr>
                <w:rFonts w:cstheme="minorHAnsi"/>
              </w:rPr>
              <w:t>×</w:t>
            </w:r>
            <w:r w:rsidRPr="00375E04">
              <w:t>2)</w:t>
            </w:r>
          </w:p>
        </w:tc>
      </w:tr>
      <w:tr w:rsidR="00A967F4" w:rsidRPr="00375E04" w14:paraId="0F065732" w14:textId="77777777" w:rsidTr="00591635">
        <w:trPr>
          <w:trHeight w:val="284"/>
        </w:trPr>
        <w:tc>
          <w:tcPr>
            <w:tcW w:w="2316" w:type="dxa"/>
            <w:vMerge/>
            <w:vAlign w:val="center"/>
          </w:tcPr>
          <w:p w14:paraId="54283E06" w14:textId="77777777" w:rsidR="00A967F4" w:rsidRPr="00375E04" w:rsidRDefault="00A967F4" w:rsidP="00591635">
            <w:pPr>
              <w:pStyle w:val="NoSpacing"/>
              <w:jc w:val="center"/>
            </w:pPr>
          </w:p>
        </w:tc>
        <w:tc>
          <w:tcPr>
            <w:tcW w:w="2314" w:type="dxa"/>
            <w:vAlign w:val="center"/>
          </w:tcPr>
          <w:p w14:paraId="26E04D4A" w14:textId="77777777" w:rsidR="00A967F4" w:rsidRPr="00375E04" w:rsidRDefault="00A967F4" w:rsidP="00591635">
            <w:pPr>
              <w:pStyle w:val="NoSpacing"/>
              <w:jc w:val="center"/>
            </w:pPr>
            <w:r w:rsidRPr="00375E04">
              <w:t>Vertė</w:t>
            </w:r>
          </w:p>
        </w:tc>
        <w:tc>
          <w:tcPr>
            <w:tcW w:w="4618" w:type="dxa"/>
            <w:vAlign w:val="center"/>
          </w:tcPr>
          <w:p w14:paraId="0601D2F3" w14:textId="0BBDD671" w:rsidR="00A967F4" w:rsidRPr="00375E04" w:rsidRDefault="0064589C" w:rsidP="00591635">
            <w:pPr>
              <w:pStyle w:val="NoSpacing"/>
              <w:jc w:val="center"/>
            </w:pPr>
            <w:r w:rsidRPr="00375E04">
              <w:t>9350</w:t>
            </w:r>
            <w:r w:rsidR="00A967F4" w:rsidRPr="00375E04">
              <w:t xml:space="preserve"> Eur</w:t>
            </w:r>
          </w:p>
        </w:tc>
      </w:tr>
      <w:tr w:rsidR="00A967F4" w:rsidRPr="00375E04" w14:paraId="3013C92E" w14:textId="77777777" w:rsidTr="00591635">
        <w:trPr>
          <w:trHeight w:val="470"/>
        </w:trPr>
        <w:tc>
          <w:tcPr>
            <w:tcW w:w="2316" w:type="dxa"/>
            <w:vMerge w:val="restart"/>
            <w:vAlign w:val="center"/>
          </w:tcPr>
          <w:p w14:paraId="014BE55F" w14:textId="77777777" w:rsidR="00A967F4" w:rsidRPr="00375E04" w:rsidRDefault="00A967F4" w:rsidP="00591635">
            <w:pPr>
              <w:pStyle w:val="NoSpacing"/>
              <w:jc w:val="center"/>
            </w:pPr>
            <w:r w:rsidRPr="00375E04">
              <w:lastRenderedPageBreak/>
              <w:t>Lapkritis</w:t>
            </w:r>
          </w:p>
        </w:tc>
        <w:tc>
          <w:tcPr>
            <w:tcW w:w="2314" w:type="dxa"/>
            <w:vAlign w:val="center"/>
          </w:tcPr>
          <w:p w14:paraId="57AB1692" w14:textId="77777777" w:rsidR="00A967F4" w:rsidRPr="00375E04" w:rsidRDefault="00A967F4" w:rsidP="00591635">
            <w:pPr>
              <w:pStyle w:val="NoSpacing"/>
              <w:jc w:val="center"/>
            </w:pPr>
            <w:r w:rsidRPr="00375E04">
              <w:t>Skaičius</w:t>
            </w:r>
          </w:p>
        </w:tc>
        <w:tc>
          <w:tcPr>
            <w:tcW w:w="4618" w:type="dxa"/>
            <w:vAlign w:val="center"/>
          </w:tcPr>
          <w:p w14:paraId="598DCD8F" w14:textId="413BA2B4" w:rsidR="00A967F4" w:rsidRPr="00375E04" w:rsidRDefault="0064589C" w:rsidP="00591635">
            <w:pPr>
              <w:pStyle w:val="NoSpacing"/>
              <w:jc w:val="center"/>
            </w:pPr>
            <w:r w:rsidRPr="00375E04">
              <w:t>4</w:t>
            </w:r>
            <w:r w:rsidR="00A967F4" w:rsidRPr="00375E04">
              <w:t xml:space="preserve"> (mokymai</w:t>
            </w:r>
            <w:r w:rsidRPr="00375E04">
              <w:t>, informaciniai, konferencijos</w:t>
            </w:r>
            <w:r w:rsidR="00A967F4" w:rsidRPr="00375E04">
              <w:t>)</w:t>
            </w:r>
          </w:p>
        </w:tc>
      </w:tr>
      <w:tr w:rsidR="00A967F4" w:rsidRPr="00375E04" w14:paraId="27A449F2" w14:textId="77777777" w:rsidTr="00591635">
        <w:trPr>
          <w:trHeight w:val="504"/>
        </w:trPr>
        <w:tc>
          <w:tcPr>
            <w:tcW w:w="2316" w:type="dxa"/>
            <w:vMerge/>
            <w:vAlign w:val="center"/>
          </w:tcPr>
          <w:p w14:paraId="0219C893" w14:textId="77777777" w:rsidR="00A967F4" w:rsidRPr="00375E04" w:rsidRDefault="00A967F4" w:rsidP="00591635">
            <w:pPr>
              <w:pStyle w:val="NoSpacing"/>
              <w:jc w:val="center"/>
            </w:pPr>
          </w:p>
        </w:tc>
        <w:tc>
          <w:tcPr>
            <w:tcW w:w="2314" w:type="dxa"/>
            <w:vAlign w:val="center"/>
          </w:tcPr>
          <w:p w14:paraId="3230613B" w14:textId="77777777" w:rsidR="00A967F4" w:rsidRPr="00375E04" w:rsidRDefault="00A967F4" w:rsidP="00591635">
            <w:pPr>
              <w:pStyle w:val="NoSpacing"/>
              <w:jc w:val="center"/>
            </w:pPr>
            <w:r w:rsidRPr="00375E04">
              <w:t>Vertė</w:t>
            </w:r>
          </w:p>
        </w:tc>
        <w:tc>
          <w:tcPr>
            <w:tcW w:w="4618" w:type="dxa"/>
            <w:vAlign w:val="center"/>
          </w:tcPr>
          <w:p w14:paraId="050EE643" w14:textId="5FE75A18" w:rsidR="00A967F4" w:rsidRPr="00375E04" w:rsidRDefault="0064589C" w:rsidP="00591635">
            <w:pPr>
              <w:pStyle w:val="NoSpacing"/>
              <w:jc w:val="center"/>
            </w:pPr>
            <w:r w:rsidRPr="00375E04">
              <w:t>46508</w:t>
            </w:r>
            <w:r w:rsidR="00A967F4" w:rsidRPr="00375E04">
              <w:t xml:space="preserve"> Eur</w:t>
            </w:r>
          </w:p>
        </w:tc>
      </w:tr>
      <w:tr w:rsidR="00A967F4" w:rsidRPr="00375E04" w14:paraId="6CE24319" w14:textId="77777777" w:rsidTr="00591635">
        <w:trPr>
          <w:trHeight w:val="482"/>
        </w:trPr>
        <w:tc>
          <w:tcPr>
            <w:tcW w:w="2316" w:type="dxa"/>
            <w:vMerge w:val="restart"/>
            <w:vAlign w:val="center"/>
          </w:tcPr>
          <w:p w14:paraId="64B585D4" w14:textId="77777777" w:rsidR="00A967F4" w:rsidRPr="00375E04" w:rsidRDefault="00A967F4" w:rsidP="00591635">
            <w:pPr>
              <w:pStyle w:val="NoSpacing"/>
              <w:jc w:val="center"/>
            </w:pPr>
            <w:r w:rsidRPr="00375E04">
              <w:t>Gruodis</w:t>
            </w:r>
          </w:p>
        </w:tc>
        <w:tc>
          <w:tcPr>
            <w:tcW w:w="2314" w:type="dxa"/>
            <w:vAlign w:val="center"/>
          </w:tcPr>
          <w:p w14:paraId="22DC09B5" w14:textId="77777777" w:rsidR="00A967F4" w:rsidRPr="00375E04" w:rsidRDefault="00A967F4" w:rsidP="00591635">
            <w:pPr>
              <w:pStyle w:val="NoSpacing"/>
              <w:jc w:val="center"/>
            </w:pPr>
            <w:r w:rsidRPr="00375E04">
              <w:t>Skaičius</w:t>
            </w:r>
          </w:p>
        </w:tc>
        <w:tc>
          <w:tcPr>
            <w:tcW w:w="4618" w:type="dxa"/>
            <w:vAlign w:val="center"/>
          </w:tcPr>
          <w:p w14:paraId="6E6D299C" w14:textId="77777777" w:rsidR="00A967F4" w:rsidRPr="00375E04" w:rsidRDefault="00A967F4" w:rsidP="00591635">
            <w:pPr>
              <w:pStyle w:val="NoSpacing"/>
              <w:jc w:val="center"/>
            </w:pPr>
            <w:r w:rsidRPr="00375E04">
              <w:t>-</w:t>
            </w:r>
          </w:p>
        </w:tc>
      </w:tr>
      <w:tr w:rsidR="00A967F4" w:rsidRPr="00375E04" w14:paraId="3ACC645E" w14:textId="77777777" w:rsidTr="00591635">
        <w:trPr>
          <w:trHeight w:val="493"/>
        </w:trPr>
        <w:tc>
          <w:tcPr>
            <w:tcW w:w="2316" w:type="dxa"/>
            <w:vMerge/>
            <w:vAlign w:val="center"/>
          </w:tcPr>
          <w:p w14:paraId="3F3518FB" w14:textId="77777777" w:rsidR="00A967F4" w:rsidRPr="00375E04" w:rsidRDefault="00A967F4" w:rsidP="00591635">
            <w:pPr>
              <w:pStyle w:val="NoSpacing"/>
              <w:jc w:val="center"/>
            </w:pPr>
          </w:p>
        </w:tc>
        <w:tc>
          <w:tcPr>
            <w:tcW w:w="2314" w:type="dxa"/>
            <w:vAlign w:val="center"/>
          </w:tcPr>
          <w:p w14:paraId="730C3B9C" w14:textId="77777777" w:rsidR="00A967F4" w:rsidRPr="00375E04" w:rsidRDefault="00A967F4" w:rsidP="00591635">
            <w:pPr>
              <w:pStyle w:val="NoSpacing"/>
              <w:jc w:val="center"/>
            </w:pPr>
            <w:r w:rsidRPr="00375E04">
              <w:t>Vertė</w:t>
            </w:r>
          </w:p>
        </w:tc>
        <w:tc>
          <w:tcPr>
            <w:tcW w:w="4618" w:type="dxa"/>
            <w:vAlign w:val="center"/>
          </w:tcPr>
          <w:p w14:paraId="3757B520" w14:textId="77777777" w:rsidR="00A967F4" w:rsidRPr="00375E04" w:rsidRDefault="00A967F4" w:rsidP="00591635">
            <w:pPr>
              <w:pStyle w:val="NoSpacing"/>
              <w:jc w:val="center"/>
            </w:pPr>
            <w:r w:rsidRPr="00375E04">
              <w:t>-</w:t>
            </w:r>
          </w:p>
        </w:tc>
      </w:tr>
    </w:tbl>
    <w:p w14:paraId="1E0C465F" w14:textId="159035A7" w:rsidR="00A967F4" w:rsidRPr="00375E04" w:rsidRDefault="00A967F4" w:rsidP="006B2FF3">
      <w:pPr>
        <w:spacing w:before="240" w:afterLines="80" w:after="192" w:line="20" w:lineRule="atLeast"/>
        <w:jc w:val="center"/>
        <w:rPr>
          <w:rFonts w:cstheme="minorHAnsi"/>
          <w:b/>
          <w:kern w:val="24"/>
        </w:rPr>
      </w:pPr>
      <w:r w:rsidRPr="00375E04">
        <w:rPr>
          <w:rFonts w:cstheme="minorHAnsi"/>
          <w:b/>
          <w:kern w:val="24"/>
        </w:rPr>
        <w:t>202</w:t>
      </w:r>
      <w:r w:rsidR="005A7F47" w:rsidRPr="00375E04">
        <w:rPr>
          <w:rFonts w:cstheme="minorHAnsi"/>
          <w:b/>
          <w:kern w:val="24"/>
        </w:rPr>
        <w:t>5</w:t>
      </w:r>
      <w:r w:rsidRPr="00375E04">
        <w:rPr>
          <w:rFonts w:cstheme="minorHAnsi"/>
          <w:b/>
          <w:kern w:val="24"/>
        </w:rPr>
        <w:t xml:space="preserve"> metai</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6"/>
        <w:gridCol w:w="3039"/>
        <w:gridCol w:w="3895"/>
      </w:tblGrid>
      <w:tr w:rsidR="00A967F4" w:rsidRPr="00375E04" w14:paraId="1697B58B" w14:textId="77777777" w:rsidTr="009436C1">
        <w:trPr>
          <w:trHeight w:val="358"/>
        </w:trPr>
        <w:tc>
          <w:tcPr>
            <w:tcW w:w="2286" w:type="dxa"/>
            <w:shd w:val="clear" w:color="auto" w:fill="E7E6E6" w:themeFill="background2"/>
            <w:vAlign w:val="center"/>
          </w:tcPr>
          <w:p w14:paraId="57F46E3F" w14:textId="77777777" w:rsidR="00A967F4" w:rsidRPr="00591635" w:rsidRDefault="00A967F4" w:rsidP="00591635">
            <w:pPr>
              <w:jc w:val="center"/>
              <w:rPr>
                <w:b/>
              </w:rPr>
            </w:pPr>
            <w:r w:rsidRPr="00591635">
              <w:rPr>
                <w:b/>
              </w:rPr>
              <w:t>Laikotarpis</w:t>
            </w:r>
          </w:p>
        </w:tc>
        <w:tc>
          <w:tcPr>
            <w:tcW w:w="3039" w:type="dxa"/>
            <w:shd w:val="clear" w:color="auto" w:fill="E7E6E6" w:themeFill="background2"/>
            <w:vAlign w:val="center"/>
          </w:tcPr>
          <w:p w14:paraId="57364884" w14:textId="77777777" w:rsidR="00A967F4" w:rsidRPr="00591635" w:rsidRDefault="00A967F4" w:rsidP="00591635">
            <w:pPr>
              <w:jc w:val="center"/>
              <w:rPr>
                <w:b/>
              </w:rPr>
            </w:pPr>
            <w:r w:rsidRPr="00591635">
              <w:rPr>
                <w:b/>
              </w:rPr>
              <w:t>Apimties tipas</w:t>
            </w:r>
          </w:p>
        </w:tc>
        <w:tc>
          <w:tcPr>
            <w:tcW w:w="3895" w:type="dxa"/>
            <w:shd w:val="clear" w:color="auto" w:fill="E7E6E6" w:themeFill="background2"/>
            <w:vAlign w:val="center"/>
          </w:tcPr>
          <w:p w14:paraId="5888E3CB" w14:textId="77777777" w:rsidR="00A967F4" w:rsidRPr="00591635" w:rsidRDefault="00A967F4" w:rsidP="00591635">
            <w:pPr>
              <w:jc w:val="center"/>
              <w:rPr>
                <w:b/>
              </w:rPr>
            </w:pPr>
            <w:r w:rsidRPr="00591635">
              <w:rPr>
                <w:b/>
              </w:rPr>
              <w:t>Renginių organizavimo ir aptarnavimo paslaugos</w:t>
            </w:r>
          </w:p>
        </w:tc>
      </w:tr>
      <w:tr w:rsidR="00A967F4" w:rsidRPr="00375E04" w14:paraId="1DC68A7A" w14:textId="77777777" w:rsidTr="009436C1">
        <w:trPr>
          <w:trHeight w:val="358"/>
        </w:trPr>
        <w:tc>
          <w:tcPr>
            <w:tcW w:w="2286" w:type="dxa"/>
            <w:vAlign w:val="center"/>
          </w:tcPr>
          <w:p w14:paraId="551C6452" w14:textId="77777777" w:rsidR="00A967F4" w:rsidRPr="00375E04" w:rsidRDefault="00A967F4" w:rsidP="00591635">
            <w:pPr>
              <w:jc w:val="center"/>
            </w:pPr>
            <w:r w:rsidRPr="00375E04">
              <w:t>Sausis–gruodis</w:t>
            </w:r>
          </w:p>
        </w:tc>
        <w:tc>
          <w:tcPr>
            <w:tcW w:w="3039" w:type="dxa"/>
            <w:vAlign w:val="center"/>
          </w:tcPr>
          <w:p w14:paraId="3D417AED" w14:textId="77777777" w:rsidR="00A967F4" w:rsidRPr="00375E04" w:rsidRDefault="00A967F4" w:rsidP="00591635">
            <w:pPr>
              <w:jc w:val="center"/>
            </w:pPr>
            <w:r w:rsidRPr="00375E04">
              <w:t>31</w:t>
            </w:r>
          </w:p>
        </w:tc>
        <w:tc>
          <w:tcPr>
            <w:tcW w:w="3895" w:type="dxa"/>
            <w:vAlign w:val="center"/>
          </w:tcPr>
          <w:p w14:paraId="1415A779" w14:textId="77777777" w:rsidR="00A967F4" w:rsidRPr="00375E04" w:rsidRDefault="00A967F4" w:rsidP="00591635">
            <w:pPr>
              <w:jc w:val="center"/>
            </w:pPr>
            <w:r w:rsidRPr="00375E04">
              <w:t>391630,00 Eur</w:t>
            </w:r>
          </w:p>
        </w:tc>
      </w:tr>
      <w:tr w:rsidR="00A967F4" w:rsidRPr="00375E04" w14:paraId="72A08DE9" w14:textId="77777777" w:rsidTr="009436C1">
        <w:trPr>
          <w:trHeight w:val="183"/>
        </w:trPr>
        <w:tc>
          <w:tcPr>
            <w:tcW w:w="2286" w:type="dxa"/>
            <w:vMerge w:val="restart"/>
            <w:vAlign w:val="center"/>
          </w:tcPr>
          <w:p w14:paraId="64BB22AA" w14:textId="77777777" w:rsidR="00A967F4" w:rsidRPr="00375E04" w:rsidRDefault="00A967F4" w:rsidP="00591635">
            <w:pPr>
              <w:jc w:val="center"/>
            </w:pPr>
            <w:r w:rsidRPr="00375E04">
              <w:t>Sausis</w:t>
            </w:r>
          </w:p>
        </w:tc>
        <w:tc>
          <w:tcPr>
            <w:tcW w:w="3039" w:type="dxa"/>
            <w:vAlign w:val="center"/>
          </w:tcPr>
          <w:p w14:paraId="7A2DC45F" w14:textId="77777777" w:rsidR="00A967F4" w:rsidRPr="00375E04" w:rsidRDefault="00A967F4" w:rsidP="00591635">
            <w:pPr>
              <w:jc w:val="center"/>
            </w:pPr>
            <w:r w:rsidRPr="00375E04">
              <w:t>Skaičius</w:t>
            </w:r>
          </w:p>
        </w:tc>
        <w:tc>
          <w:tcPr>
            <w:tcW w:w="3895" w:type="dxa"/>
            <w:vAlign w:val="center"/>
          </w:tcPr>
          <w:p w14:paraId="48D370F0" w14:textId="77777777" w:rsidR="00A967F4" w:rsidRPr="00375E04" w:rsidRDefault="00A967F4" w:rsidP="00591635">
            <w:pPr>
              <w:jc w:val="center"/>
            </w:pPr>
            <w:r w:rsidRPr="00375E04">
              <w:t>-</w:t>
            </w:r>
          </w:p>
        </w:tc>
      </w:tr>
      <w:tr w:rsidR="00A967F4" w:rsidRPr="00375E04" w14:paraId="6644FDA9" w14:textId="77777777" w:rsidTr="009436C1">
        <w:trPr>
          <w:trHeight w:val="332"/>
        </w:trPr>
        <w:tc>
          <w:tcPr>
            <w:tcW w:w="2286" w:type="dxa"/>
            <w:vMerge/>
            <w:vAlign w:val="center"/>
          </w:tcPr>
          <w:p w14:paraId="147124F9" w14:textId="77777777" w:rsidR="00A967F4" w:rsidRPr="00375E04" w:rsidRDefault="00A967F4" w:rsidP="00591635">
            <w:pPr>
              <w:jc w:val="center"/>
            </w:pPr>
          </w:p>
        </w:tc>
        <w:tc>
          <w:tcPr>
            <w:tcW w:w="3039" w:type="dxa"/>
            <w:vAlign w:val="center"/>
          </w:tcPr>
          <w:p w14:paraId="53A42BB7" w14:textId="77777777" w:rsidR="00A967F4" w:rsidRPr="00375E04" w:rsidRDefault="00A967F4" w:rsidP="00591635">
            <w:pPr>
              <w:jc w:val="center"/>
            </w:pPr>
            <w:r w:rsidRPr="00375E04">
              <w:t>Vertė</w:t>
            </w:r>
          </w:p>
        </w:tc>
        <w:tc>
          <w:tcPr>
            <w:tcW w:w="3895" w:type="dxa"/>
            <w:vAlign w:val="center"/>
          </w:tcPr>
          <w:p w14:paraId="5C2DDB5A" w14:textId="77777777" w:rsidR="00A967F4" w:rsidRPr="00375E04" w:rsidRDefault="00A967F4" w:rsidP="00591635">
            <w:pPr>
              <w:jc w:val="center"/>
            </w:pPr>
            <w:r w:rsidRPr="00375E04">
              <w:t>-</w:t>
            </w:r>
          </w:p>
        </w:tc>
      </w:tr>
      <w:tr w:rsidR="00A967F4" w:rsidRPr="00375E04" w14:paraId="7ADF973B" w14:textId="77777777" w:rsidTr="009436C1">
        <w:trPr>
          <w:trHeight w:val="280"/>
        </w:trPr>
        <w:tc>
          <w:tcPr>
            <w:tcW w:w="2286" w:type="dxa"/>
            <w:vMerge w:val="restart"/>
            <w:vAlign w:val="center"/>
          </w:tcPr>
          <w:p w14:paraId="7FC420CB" w14:textId="77777777" w:rsidR="00A967F4" w:rsidRPr="00375E04" w:rsidRDefault="00A967F4" w:rsidP="00591635">
            <w:pPr>
              <w:jc w:val="center"/>
            </w:pPr>
            <w:r w:rsidRPr="00375E04">
              <w:t>Vasaris</w:t>
            </w:r>
          </w:p>
        </w:tc>
        <w:tc>
          <w:tcPr>
            <w:tcW w:w="3039" w:type="dxa"/>
            <w:vAlign w:val="center"/>
          </w:tcPr>
          <w:p w14:paraId="222B1B3C" w14:textId="77777777" w:rsidR="00A967F4" w:rsidRPr="00375E04" w:rsidRDefault="00A967F4" w:rsidP="00591635">
            <w:pPr>
              <w:jc w:val="center"/>
            </w:pPr>
            <w:r w:rsidRPr="00375E04">
              <w:t>Skaičius</w:t>
            </w:r>
          </w:p>
        </w:tc>
        <w:tc>
          <w:tcPr>
            <w:tcW w:w="3895" w:type="dxa"/>
            <w:vAlign w:val="center"/>
          </w:tcPr>
          <w:p w14:paraId="6AC0A0A4" w14:textId="50678CF3" w:rsidR="00A967F4" w:rsidRPr="00375E04" w:rsidRDefault="00A967F4" w:rsidP="006B2FF3">
            <w:pPr>
              <w:spacing w:after="0"/>
              <w:jc w:val="center"/>
            </w:pPr>
            <w:r w:rsidRPr="00375E04">
              <w:t xml:space="preserve">5 (mokymai </w:t>
            </w:r>
            <w:r w:rsidR="006B2FF3">
              <w:rPr>
                <w:rFonts w:cstheme="minorHAnsi"/>
              </w:rPr>
              <w:t>×</w:t>
            </w:r>
            <w:r w:rsidRPr="00375E04">
              <w:t>2, konferencija, paroda, informacinis renginys)</w:t>
            </w:r>
          </w:p>
        </w:tc>
      </w:tr>
      <w:tr w:rsidR="00A967F4" w:rsidRPr="00375E04" w14:paraId="20344F28" w14:textId="77777777" w:rsidTr="009436C1">
        <w:trPr>
          <w:trHeight w:val="273"/>
        </w:trPr>
        <w:tc>
          <w:tcPr>
            <w:tcW w:w="2286" w:type="dxa"/>
            <w:vMerge/>
            <w:vAlign w:val="center"/>
          </w:tcPr>
          <w:p w14:paraId="6EB9A299" w14:textId="77777777" w:rsidR="00A967F4" w:rsidRPr="00375E04" w:rsidRDefault="00A967F4" w:rsidP="00591635">
            <w:pPr>
              <w:jc w:val="center"/>
            </w:pPr>
          </w:p>
        </w:tc>
        <w:tc>
          <w:tcPr>
            <w:tcW w:w="3039" w:type="dxa"/>
            <w:vAlign w:val="center"/>
          </w:tcPr>
          <w:p w14:paraId="629FC4A3" w14:textId="77777777" w:rsidR="00A967F4" w:rsidRPr="00375E04" w:rsidRDefault="00A967F4" w:rsidP="00591635">
            <w:pPr>
              <w:jc w:val="center"/>
            </w:pPr>
            <w:r w:rsidRPr="00375E04">
              <w:t>Vertė</w:t>
            </w:r>
          </w:p>
        </w:tc>
        <w:tc>
          <w:tcPr>
            <w:tcW w:w="3895" w:type="dxa"/>
            <w:vAlign w:val="center"/>
          </w:tcPr>
          <w:p w14:paraId="26478133" w14:textId="77777777" w:rsidR="00A967F4" w:rsidRPr="00375E04" w:rsidRDefault="00A967F4" w:rsidP="00591635">
            <w:pPr>
              <w:jc w:val="center"/>
            </w:pPr>
            <w:r w:rsidRPr="00375E04">
              <w:t>26624,00 Eur</w:t>
            </w:r>
          </w:p>
        </w:tc>
      </w:tr>
      <w:tr w:rsidR="00A967F4" w:rsidRPr="00375E04" w14:paraId="2E2C974C" w14:textId="77777777" w:rsidTr="009436C1">
        <w:trPr>
          <w:trHeight w:val="306"/>
        </w:trPr>
        <w:tc>
          <w:tcPr>
            <w:tcW w:w="2286" w:type="dxa"/>
            <w:vMerge w:val="restart"/>
            <w:vAlign w:val="center"/>
          </w:tcPr>
          <w:p w14:paraId="11CD6BE7" w14:textId="77777777" w:rsidR="00A967F4" w:rsidRPr="00375E04" w:rsidRDefault="00A967F4" w:rsidP="00591635">
            <w:pPr>
              <w:jc w:val="center"/>
            </w:pPr>
            <w:r w:rsidRPr="00375E04">
              <w:t>Kovas</w:t>
            </w:r>
          </w:p>
        </w:tc>
        <w:tc>
          <w:tcPr>
            <w:tcW w:w="3039" w:type="dxa"/>
            <w:vAlign w:val="center"/>
          </w:tcPr>
          <w:p w14:paraId="10B14381" w14:textId="77777777" w:rsidR="00A967F4" w:rsidRPr="00375E04" w:rsidRDefault="00A967F4" w:rsidP="00591635">
            <w:pPr>
              <w:jc w:val="center"/>
            </w:pPr>
            <w:r w:rsidRPr="00375E04">
              <w:t>Skaičius</w:t>
            </w:r>
          </w:p>
        </w:tc>
        <w:tc>
          <w:tcPr>
            <w:tcW w:w="3895" w:type="dxa"/>
            <w:vAlign w:val="center"/>
          </w:tcPr>
          <w:p w14:paraId="7B776362" w14:textId="66B2DB81" w:rsidR="00A967F4" w:rsidRPr="00375E04" w:rsidRDefault="00A967F4" w:rsidP="00591635">
            <w:pPr>
              <w:jc w:val="center"/>
            </w:pPr>
            <w:r w:rsidRPr="00375E04">
              <w:t xml:space="preserve">3 (paroda </w:t>
            </w:r>
            <w:r w:rsidR="006B2FF3">
              <w:rPr>
                <w:rFonts w:cstheme="minorHAnsi"/>
              </w:rPr>
              <w:t>×</w:t>
            </w:r>
            <w:r w:rsidRPr="00375E04">
              <w:t>2, seminaras)</w:t>
            </w:r>
          </w:p>
        </w:tc>
      </w:tr>
      <w:tr w:rsidR="00A967F4" w:rsidRPr="00375E04" w14:paraId="7E9CF93C" w14:textId="77777777" w:rsidTr="009436C1">
        <w:trPr>
          <w:trHeight w:val="218"/>
        </w:trPr>
        <w:tc>
          <w:tcPr>
            <w:tcW w:w="2286" w:type="dxa"/>
            <w:vMerge/>
            <w:vAlign w:val="center"/>
          </w:tcPr>
          <w:p w14:paraId="7FB4F946" w14:textId="77777777" w:rsidR="00A967F4" w:rsidRPr="00375E04" w:rsidRDefault="00A967F4" w:rsidP="00591635">
            <w:pPr>
              <w:jc w:val="center"/>
            </w:pPr>
          </w:p>
        </w:tc>
        <w:tc>
          <w:tcPr>
            <w:tcW w:w="3039" w:type="dxa"/>
            <w:vAlign w:val="center"/>
          </w:tcPr>
          <w:p w14:paraId="5CCBFB3F" w14:textId="77777777" w:rsidR="00A967F4" w:rsidRPr="00375E04" w:rsidRDefault="00A967F4" w:rsidP="00591635">
            <w:pPr>
              <w:jc w:val="center"/>
            </w:pPr>
            <w:r w:rsidRPr="00375E04">
              <w:t>Vertė</w:t>
            </w:r>
          </w:p>
        </w:tc>
        <w:tc>
          <w:tcPr>
            <w:tcW w:w="3895" w:type="dxa"/>
            <w:vAlign w:val="center"/>
          </w:tcPr>
          <w:p w14:paraId="187293CE" w14:textId="77777777" w:rsidR="00A967F4" w:rsidRPr="00375E04" w:rsidRDefault="00A967F4" w:rsidP="00591635">
            <w:pPr>
              <w:jc w:val="center"/>
            </w:pPr>
            <w:r w:rsidRPr="00375E04">
              <w:t>27497,00 Eur</w:t>
            </w:r>
          </w:p>
        </w:tc>
      </w:tr>
      <w:tr w:rsidR="00A967F4" w:rsidRPr="00375E04" w14:paraId="60709B88" w14:textId="77777777" w:rsidTr="009436C1">
        <w:trPr>
          <w:trHeight w:val="262"/>
        </w:trPr>
        <w:tc>
          <w:tcPr>
            <w:tcW w:w="2286" w:type="dxa"/>
            <w:vMerge w:val="restart"/>
            <w:vAlign w:val="center"/>
          </w:tcPr>
          <w:p w14:paraId="671263DD" w14:textId="77777777" w:rsidR="00A967F4" w:rsidRPr="00375E04" w:rsidRDefault="00A967F4" w:rsidP="00591635">
            <w:pPr>
              <w:jc w:val="center"/>
            </w:pPr>
            <w:r w:rsidRPr="00375E04">
              <w:t>Balandis</w:t>
            </w:r>
          </w:p>
        </w:tc>
        <w:tc>
          <w:tcPr>
            <w:tcW w:w="3039" w:type="dxa"/>
            <w:vAlign w:val="center"/>
          </w:tcPr>
          <w:p w14:paraId="478DF2DF" w14:textId="77777777" w:rsidR="00A967F4" w:rsidRPr="00375E04" w:rsidRDefault="00A967F4" w:rsidP="00591635">
            <w:pPr>
              <w:jc w:val="center"/>
            </w:pPr>
            <w:r w:rsidRPr="00375E04">
              <w:t>Skaičius</w:t>
            </w:r>
          </w:p>
        </w:tc>
        <w:tc>
          <w:tcPr>
            <w:tcW w:w="3895" w:type="dxa"/>
            <w:vAlign w:val="center"/>
          </w:tcPr>
          <w:p w14:paraId="2BAB29D5" w14:textId="77777777" w:rsidR="00A967F4" w:rsidRPr="00375E04" w:rsidRDefault="00A967F4" w:rsidP="00591635">
            <w:pPr>
              <w:jc w:val="center"/>
            </w:pPr>
            <w:r w:rsidRPr="00375E04">
              <w:t>2 (konferencija, reprezentacinis)</w:t>
            </w:r>
          </w:p>
        </w:tc>
      </w:tr>
      <w:tr w:rsidR="00A967F4" w:rsidRPr="00375E04" w14:paraId="40A6EA18" w14:textId="77777777" w:rsidTr="009436C1">
        <w:trPr>
          <w:trHeight w:val="235"/>
        </w:trPr>
        <w:tc>
          <w:tcPr>
            <w:tcW w:w="2286" w:type="dxa"/>
            <w:vMerge/>
            <w:vAlign w:val="center"/>
          </w:tcPr>
          <w:p w14:paraId="5B0B915D" w14:textId="77777777" w:rsidR="00A967F4" w:rsidRPr="00375E04" w:rsidRDefault="00A967F4" w:rsidP="00591635">
            <w:pPr>
              <w:jc w:val="center"/>
            </w:pPr>
          </w:p>
        </w:tc>
        <w:tc>
          <w:tcPr>
            <w:tcW w:w="3039" w:type="dxa"/>
            <w:vAlign w:val="center"/>
          </w:tcPr>
          <w:p w14:paraId="65D47845" w14:textId="77777777" w:rsidR="00A967F4" w:rsidRPr="00375E04" w:rsidRDefault="00A967F4" w:rsidP="00591635">
            <w:pPr>
              <w:jc w:val="center"/>
            </w:pPr>
            <w:r w:rsidRPr="00375E04">
              <w:t>Vertė</w:t>
            </w:r>
          </w:p>
        </w:tc>
        <w:tc>
          <w:tcPr>
            <w:tcW w:w="3895" w:type="dxa"/>
            <w:vAlign w:val="center"/>
          </w:tcPr>
          <w:p w14:paraId="2316E6F4" w14:textId="77777777" w:rsidR="00A967F4" w:rsidRPr="00375E04" w:rsidRDefault="00A967F4" w:rsidP="00591635">
            <w:pPr>
              <w:jc w:val="center"/>
            </w:pPr>
            <w:r w:rsidRPr="00375E04">
              <w:t>6100,00 Eur</w:t>
            </w:r>
          </w:p>
        </w:tc>
      </w:tr>
      <w:tr w:rsidR="00A967F4" w:rsidRPr="00375E04" w14:paraId="72DD2144" w14:textId="77777777" w:rsidTr="009436C1">
        <w:trPr>
          <w:trHeight w:val="270"/>
        </w:trPr>
        <w:tc>
          <w:tcPr>
            <w:tcW w:w="2286" w:type="dxa"/>
            <w:vMerge w:val="restart"/>
            <w:vAlign w:val="center"/>
          </w:tcPr>
          <w:p w14:paraId="5E6F712F" w14:textId="77777777" w:rsidR="00A967F4" w:rsidRPr="00375E04" w:rsidRDefault="00A967F4" w:rsidP="00591635">
            <w:pPr>
              <w:jc w:val="center"/>
            </w:pPr>
            <w:r w:rsidRPr="00375E04">
              <w:t>Gegužė</w:t>
            </w:r>
          </w:p>
        </w:tc>
        <w:tc>
          <w:tcPr>
            <w:tcW w:w="3039" w:type="dxa"/>
            <w:vAlign w:val="center"/>
          </w:tcPr>
          <w:p w14:paraId="74560970" w14:textId="77777777" w:rsidR="00A967F4" w:rsidRPr="00375E04" w:rsidRDefault="00A967F4" w:rsidP="00591635">
            <w:pPr>
              <w:jc w:val="center"/>
            </w:pPr>
            <w:r w:rsidRPr="00375E04">
              <w:t>Skaičius</w:t>
            </w:r>
          </w:p>
        </w:tc>
        <w:tc>
          <w:tcPr>
            <w:tcW w:w="3895" w:type="dxa"/>
            <w:vAlign w:val="center"/>
          </w:tcPr>
          <w:p w14:paraId="23B50713" w14:textId="6B69B027" w:rsidR="00A967F4" w:rsidRPr="00375E04" w:rsidRDefault="00A967F4" w:rsidP="006B2FF3">
            <w:pPr>
              <w:spacing w:after="0"/>
              <w:jc w:val="center"/>
            </w:pPr>
            <w:r w:rsidRPr="00375E04">
              <w:t xml:space="preserve">4 (mokymai, konferencija, reprezentaciniai </w:t>
            </w:r>
            <w:r w:rsidR="006B2FF3">
              <w:rPr>
                <w:rFonts w:cstheme="minorHAnsi"/>
              </w:rPr>
              <w:t>×</w:t>
            </w:r>
            <w:r w:rsidRPr="00375E04">
              <w:t>2)</w:t>
            </w:r>
          </w:p>
        </w:tc>
      </w:tr>
      <w:tr w:rsidR="00A967F4" w:rsidRPr="00375E04" w14:paraId="57584C87" w14:textId="77777777" w:rsidTr="009436C1">
        <w:trPr>
          <w:trHeight w:val="280"/>
        </w:trPr>
        <w:tc>
          <w:tcPr>
            <w:tcW w:w="2286" w:type="dxa"/>
            <w:vMerge/>
            <w:vAlign w:val="center"/>
          </w:tcPr>
          <w:p w14:paraId="285224D7" w14:textId="77777777" w:rsidR="00A967F4" w:rsidRPr="00375E04" w:rsidRDefault="00A967F4" w:rsidP="00591635">
            <w:pPr>
              <w:jc w:val="center"/>
            </w:pPr>
          </w:p>
        </w:tc>
        <w:tc>
          <w:tcPr>
            <w:tcW w:w="3039" w:type="dxa"/>
            <w:vAlign w:val="center"/>
          </w:tcPr>
          <w:p w14:paraId="725C1EC0" w14:textId="77777777" w:rsidR="00A967F4" w:rsidRPr="00375E04" w:rsidRDefault="00A967F4" w:rsidP="00591635">
            <w:pPr>
              <w:jc w:val="center"/>
            </w:pPr>
            <w:r w:rsidRPr="00375E04">
              <w:t>Vertė</w:t>
            </w:r>
          </w:p>
        </w:tc>
        <w:tc>
          <w:tcPr>
            <w:tcW w:w="3895" w:type="dxa"/>
            <w:vAlign w:val="center"/>
          </w:tcPr>
          <w:p w14:paraId="53149300" w14:textId="77777777" w:rsidR="00A967F4" w:rsidRPr="00375E04" w:rsidRDefault="00A967F4" w:rsidP="00591635">
            <w:pPr>
              <w:jc w:val="center"/>
            </w:pPr>
            <w:r w:rsidRPr="00375E04">
              <w:t>94340,00 Eur</w:t>
            </w:r>
          </w:p>
        </w:tc>
      </w:tr>
      <w:tr w:rsidR="00A967F4" w:rsidRPr="00375E04" w14:paraId="29DDDCA9" w14:textId="77777777" w:rsidTr="009436C1">
        <w:trPr>
          <w:trHeight w:val="305"/>
        </w:trPr>
        <w:tc>
          <w:tcPr>
            <w:tcW w:w="2286" w:type="dxa"/>
            <w:vMerge w:val="restart"/>
            <w:vAlign w:val="center"/>
          </w:tcPr>
          <w:p w14:paraId="717CB59A" w14:textId="77777777" w:rsidR="00A967F4" w:rsidRPr="00375E04" w:rsidRDefault="00A967F4" w:rsidP="00591635">
            <w:pPr>
              <w:jc w:val="center"/>
            </w:pPr>
            <w:r w:rsidRPr="00375E04">
              <w:t>Birželis</w:t>
            </w:r>
          </w:p>
        </w:tc>
        <w:tc>
          <w:tcPr>
            <w:tcW w:w="3039" w:type="dxa"/>
            <w:vAlign w:val="center"/>
          </w:tcPr>
          <w:p w14:paraId="584FB7A0" w14:textId="77777777" w:rsidR="00A967F4" w:rsidRPr="00375E04" w:rsidRDefault="00A967F4" w:rsidP="00591635">
            <w:pPr>
              <w:jc w:val="center"/>
            </w:pPr>
            <w:r w:rsidRPr="00375E04">
              <w:t>Skaičius</w:t>
            </w:r>
          </w:p>
        </w:tc>
        <w:tc>
          <w:tcPr>
            <w:tcW w:w="3895" w:type="dxa"/>
            <w:vAlign w:val="center"/>
          </w:tcPr>
          <w:p w14:paraId="05445782" w14:textId="79380123" w:rsidR="00A967F4" w:rsidRPr="00375E04" w:rsidRDefault="00A967F4" w:rsidP="00591635">
            <w:pPr>
              <w:jc w:val="center"/>
            </w:pPr>
            <w:r w:rsidRPr="00375E04">
              <w:t xml:space="preserve">4 (mokymai </w:t>
            </w:r>
            <w:r w:rsidR="006B2FF3">
              <w:rPr>
                <w:rFonts w:cstheme="minorHAnsi"/>
              </w:rPr>
              <w:t>×</w:t>
            </w:r>
            <w:r w:rsidRPr="00375E04">
              <w:t xml:space="preserve">2, konferencija </w:t>
            </w:r>
            <w:r w:rsidR="006B2FF3">
              <w:rPr>
                <w:rFonts w:cstheme="minorHAnsi"/>
              </w:rPr>
              <w:t>×</w:t>
            </w:r>
            <w:r w:rsidRPr="00375E04">
              <w:t>2)</w:t>
            </w:r>
          </w:p>
        </w:tc>
      </w:tr>
      <w:tr w:rsidR="00A967F4" w:rsidRPr="00375E04" w14:paraId="08023F16" w14:textId="77777777" w:rsidTr="009436C1">
        <w:trPr>
          <w:trHeight w:val="253"/>
        </w:trPr>
        <w:tc>
          <w:tcPr>
            <w:tcW w:w="2286" w:type="dxa"/>
            <w:vMerge/>
            <w:vAlign w:val="center"/>
          </w:tcPr>
          <w:p w14:paraId="3F670F58" w14:textId="77777777" w:rsidR="00A967F4" w:rsidRPr="00375E04" w:rsidRDefault="00A967F4" w:rsidP="00591635">
            <w:pPr>
              <w:jc w:val="center"/>
            </w:pPr>
          </w:p>
        </w:tc>
        <w:tc>
          <w:tcPr>
            <w:tcW w:w="3039" w:type="dxa"/>
            <w:vAlign w:val="center"/>
          </w:tcPr>
          <w:p w14:paraId="6FC4758A" w14:textId="77777777" w:rsidR="00A967F4" w:rsidRPr="00375E04" w:rsidRDefault="00A967F4" w:rsidP="00591635">
            <w:pPr>
              <w:jc w:val="center"/>
            </w:pPr>
            <w:r w:rsidRPr="00375E04">
              <w:t>Vertė</w:t>
            </w:r>
          </w:p>
        </w:tc>
        <w:tc>
          <w:tcPr>
            <w:tcW w:w="3895" w:type="dxa"/>
            <w:vAlign w:val="center"/>
          </w:tcPr>
          <w:p w14:paraId="5EDE0F6A" w14:textId="77777777" w:rsidR="00A967F4" w:rsidRPr="00375E04" w:rsidRDefault="00A967F4" w:rsidP="00591635">
            <w:pPr>
              <w:jc w:val="center"/>
            </w:pPr>
            <w:r w:rsidRPr="00375E04">
              <w:t>45334,00 Eur</w:t>
            </w:r>
          </w:p>
        </w:tc>
      </w:tr>
      <w:tr w:rsidR="00A967F4" w:rsidRPr="00375E04" w14:paraId="6ABA70D8" w14:textId="77777777" w:rsidTr="009436C1">
        <w:trPr>
          <w:trHeight w:val="323"/>
        </w:trPr>
        <w:tc>
          <w:tcPr>
            <w:tcW w:w="2286" w:type="dxa"/>
            <w:vMerge w:val="restart"/>
            <w:vAlign w:val="center"/>
          </w:tcPr>
          <w:p w14:paraId="593ADFD8" w14:textId="77777777" w:rsidR="00A967F4" w:rsidRPr="00375E04" w:rsidRDefault="00A967F4" w:rsidP="00591635">
            <w:pPr>
              <w:jc w:val="center"/>
            </w:pPr>
            <w:r w:rsidRPr="00375E04">
              <w:t>Liepa</w:t>
            </w:r>
          </w:p>
        </w:tc>
        <w:tc>
          <w:tcPr>
            <w:tcW w:w="3039" w:type="dxa"/>
            <w:vAlign w:val="center"/>
          </w:tcPr>
          <w:p w14:paraId="42AA4BCB" w14:textId="77777777" w:rsidR="00A967F4" w:rsidRPr="00375E04" w:rsidRDefault="00A967F4" w:rsidP="00591635">
            <w:pPr>
              <w:jc w:val="center"/>
            </w:pPr>
            <w:r w:rsidRPr="00375E04">
              <w:t>Skaičius</w:t>
            </w:r>
          </w:p>
        </w:tc>
        <w:tc>
          <w:tcPr>
            <w:tcW w:w="3895" w:type="dxa"/>
            <w:vAlign w:val="center"/>
          </w:tcPr>
          <w:p w14:paraId="1A2A7AEC" w14:textId="77777777" w:rsidR="00A967F4" w:rsidRPr="00375E04" w:rsidRDefault="00A967F4" w:rsidP="00591635">
            <w:pPr>
              <w:jc w:val="center"/>
            </w:pPr>
            <w:r w:rsidRPr="00375E04">
              <w:t>-</w:t>
            </w:r>
          </w:p>
        </w:tc>
      </w:tr>
      <w:tr w:rsidR="00A967F4" w:rsidRPr="00375E04" w14:paraId="088324F2" w14:textId="77777777" w:rsidTr="009436C1">
        <w:trPr>
          <w:trHeight w:val="262"/>
        </w:trPr>
        <w:tc>
          <w:tcPr>
            <w:tcW w:w="2286" w:type="dxa"/>
            <w:vMerge/>
            <w:vAlign w:val="center"/>
          </w:tcPr>
          <w:p w14:paraId="0D8808C1" w14:textId="77777777" w:rsidR="00A967F4" w:rsidRPr="00375E04" w:rsidRDefault="00A967F4" w:rsidP="00591635">
            <w:pPr>
              <w:jc w:val="center"/>
            </w:pPr>
          </w:p>
        </w:tc>
        <w:tc>
          <w:tcPr>
            <w:tcW w:w="3039" w:type="dxa"/>
            <w:vAlign w:val="center"/>
          </w:tcPr>
          <w:p w14:paraId="36C49860" w14:textId="77777777" w:rsidR="00A967F4" w:rsidRPr="00375E04" w:rsidRDefault="00A967F4" w:rsidP="00591635">
            <w:pPr>
              <w:jc w:val="center"/>
            </w:pPr>
            <w:r w:rsidRPr="00375E04">
              <w:t>Vertė</w:t>
            </w:r>
          </w:p>
        </w:tc>
        <w:tc>
          <w:tcPr>
            <w:tcW w:w="3895" w:type="dxa"/>
            <w:vAlign w:val="center"/>
          </w:tcPr>
          <w:p w14:paraId="2F16608F" w14:textId="77777777" w:rsidR="00A967F4" w:rsidRPr="00375E04" w:rsidRDefault="00A967F4" w:rsidP="00591635">
            <w:pPr>
              <w:jc w:val="center"/>
            </w:pPr>
            <w:r w:rsidRPr="00375E04">
              <w:t>-</w:t>
            </w:r>
          </w:p>
        </w:tc>
      </w:tr>
      <w:tr w:rsidR="00A967F4" w:rsidRPr="00375E04" w14:paraId="2ACA1897" w14:textId="77777777" w:rsidTr="009436C1">
        <w:trPr>
          <w:trHeight w:val="262"/>
        </w:trPr>
        <w:tc>
          <w:tcPr>
            <w:tcW w:w="2286" w:type="dxa"/>
            <w:vMerge w:val="restart"/>
            <w:vAlign w:val="center"/>
          </w:tcPr>
          <w:p w14:paraId="2A2D06F8" w14:textId="77777777" w:rsidR="00A967F4" w:rsidRPr="00375E04" w:rsidRDefault="00A967F4" w:rsidP="00591635">
            <w:pPr>
              <w:jc w:val="center"/>
            </w:pPr>
            <w:r w:rsidRPr="00375E04">
              <w:t>Rugpjūtis</w:t>
            </w:r>
          </w:p>
        </w:tc>
        <w:tc>
          <w:tcPr>
            <w:tcW w:w="3039" w:type="dxa"/>
            <w:vAlign w:val="center"/>
          </w:tcPr>
          <w:p w14:paraId="1C7134A2" w14:textId="77777777" w:rsidR="00A967F4" w:rsidRPr="00375E04" w:rsidRDefault="00A967F4" w:rsidP="00591635">
            <w:pPr>
              <w:jc w:val="center"/>
            </w:pPr>
            <w:r w:rsidRPr="00375E04">
              <w:t>Skaičius</w:t>
            </w:r>
          </w:p>
        </w:tc>
        <w:tc>
          <w:tcPr>
            <w:tcW w:w="3895" w:type="dxa"/>
            <w:vAlign w:val="center"/>
          </w:tcPr>
          <w:p w14:paraId="3DFCEAD7" w14:textId="77777777" w:rsidR="00A967F4" w:rsidRPr="00375E04" w:rsidRDefault="00A967F4" w:rsidP="00591635">
            <w:pPr>
              <w:jc w:val="center"/>
            </w:pPr>
            <w:r w:rsidRPr="00375E04">
              <w:t>1 (konferencija)</w:t>
            </w:r>
          </w:p>
        </w:tc>
      </w:tr>
      <w:tr w:rsidR="00A967F4" w:rsidRPr="00375E04" w14:paraId="1F891E4C" w14:textId="77777777" w:rsidTr="009436C1">
        <w:trPr>
          <w:trHeight w:val="262"/>
        </w:trPr>
        <w:tc>
          <w:tcPr>
            <w:tcW w:w="2286" w:type="dxa"/>
            <w:vMerge/>
            <w:vAlign w:val="center"/>
          </w:tcPr>
          <w:p w14:paraId="261E3492" w14:textId="77777777" w:rsidR="00A967F4" w:rsidRPr="00375E04" w:rsidRDefault="00A967F4" w:rsidP="00591635">
            <w:pPr>
              <w:jc w:val="center"/>
            </w:pPr>
          </w:p>
        </w:tc>
        <w:tc>
          <w:tcPr>
            <w:tcW w:w="3039" w:type="dxa"/>
            <w:vAlign w:val="center"/>
          </w:tcPr>
          <w:p w14:paraId="6FD3851A" w14:textId="77777777" w:rsidR="00A967F4" w:rsidRPr="00375E04" w:rsidRDefault="00A967F4" w:rsidP="00591635">
            <w:pPr>
              <w:jc w:val="center"/>
            </w:pPr>
            <w:r w:rsidRPr="00375E04">
              <w:t>Vertė</w:t>
            </w:r>
          </w:p>
        </w:tc>
        <w:tc>
          <w:tcPr>
            <w:tcW w:w="3895" w:type="dxa"/>
            <w:vAlign w:val="center"/>
          </w:tcPr>
          <w:p w14:paraId="20A61BE7" w14:textId="77777777" w:rsidR="00A967F4" w:rsidRPr="00375E04" w:rsidRDefault="00A967F4" w:rsidP="00591635">
            <w:pPr>
              <w:jc w:val="center"/>
            </w:pPr>
            <w:r w:rsidRPr="00375E04">
              <w:t>24081,00 Eur</w:t>
            </w:r>
          </w:p>
        </w:tc>
      </w:tr>
      <w:tr w:rsidR="00A967F4" w:rsidRPr="00375E04" w14:paraId="08D8D5D4" w14:textId="77777777" w:rsidTr="009436C1">
        <w:trPr>
          <w:trHeight w:val="270"/>
        </w:trPr>
        <w:tc>
          <w:tcPr>
            <w:tcW w:w="2286" w:type="dxa"/>
            <w:vMerge w:val="restart"/>
            <w:shd w:val="clear" w:color="auto" w:fill="auto"/>
            <w:vAlign w:val="center"/>
          </w:tcPr>
          <w:p w14:paraId="6A5C17FB" w14:textId="77777777" w:rsidR="00A967F4" w:rsidRPr="00375E04" w:rsidRDefault="00A967F4" w:rsidP="00591635">
            <w:pPr>
              <w:jc w:val="center"/>
              <w:rPr>
                <w:color w:val="FF0000"/>
              </w:rPr>
            </w:pPr>
            <w:r w:rsidRPr="00375E04">
              <w:t>Rugsėjis</w:t>
            </w:r>
          </w:p>
        </w:tc>
        <w:tc>
          <w:tcPr>
            <w:tcW w:w="3039" w:type="dxa"/>
            <w:shd w:val="clear" w:color="auto" w:fill="auto"/>
            <w:vAlign w:val="center"/>
          </w:tcPr>
          <w:p w14:paraId="6A10F83C" w14:textId="77777777" w:rsidR="00A967F4" w:rsidRPr="00375E04" w:rsidRDefault="00A967F4" w:rsidP="00591635">
            <w:pPr>
              <w:jc w:val="center"/>
            </w:pPr>
            <w:r w:rsidRPr="00375E04">
              <w:t>Skaičius</w:t>
            </w:r>
          </w:p>
        </w:tc>
        <w:tc>
          <w:tcPr>
            <w:tcW w:w="3895" w:type="dxa"/>
            <w:shd w:val="clear" w:color="auto" w:fill="auto"/>
            <w:vAlign w:val="center"/>
          </w:tcPr>
          <w:p w14:paraId="280FFFE6" w14:textId="77777777" w:rsidR="00A967F4" w:rsidRPr="00375E04" w:rsidRDefault="00A967F4" w:rsidP="00591635">
            <w:pPr>
              <w:jc w:val="center"/>
            </w:pPr>
            <w:r w:rsidRPr="00375E04">
              <w:t>3 (mokymai)</w:t>
            </w:r>
          </w:p>
        </w:tc>
      </w:tr>
      <w:tr w:rsidR="00A967F4" w:rsidRPr="00375E04" w14:paraId="4A91451A" w14:textId="77777777" w:rsidTr="009436C1">
        <w:trPr>
          <w:trHeight w:val="270"/>
        </w:trPr>
        <w:tc>
          <w:tcPr>
            <w:tcW w:w="2286" w:type="dxa"/>
            <w:vMerge/>
            <w:shd w:val="clear" w:color="auto" w:fill="auto"/>
            <w:vAlign w:val="center"/>
          </w:tcPr>
          <w:p w14:paraId="018FCD22" w14:textId="77777777" w:rsidR="00A967F4" w:rsidRPr="00375E04" w:rsidRDefault="00A967F4" w:rsidP="00591635">
            <w:pPr>
              <w:jc w:val="center"/>
              <w:rPr>
                <w:color w:val="FF0000"/>
              </w:rPr>
            </w:pPr>
          </w:p>
        </w:tc>
        <w:tc>
          <w:tcPr>
            <w:tcW w:w="3039" w:type="dxa"/>
            <w:shd w:val="clear" w:color="auto" w:fill="auto"/>
            <w:vAlign w:val="center"/>
          </w:tcPr>
          <w:p w14:paraId="04BD3DCA" w14:textId="77777777" w:rsidR="00A967F4" w:rsidRPr="00375E04" w:rsidRDefault="00A967F4" w:rsidP="00591635">
            <w:pPr>
              <w:jc w:val="center"/>
            </w:pPr>
            <w:r w:rsidRPr="00375E04">
              <w:t>Vertė</w:t>
            </w:r>
          </w:p>
        </w:tc>
        <w:tc>
          <w:tcPr>
            <w:tcW w:w="3895" w:type="dxa"/>
            <w:shd w:val="clear" w:color="auto" w:fill="auto"/>
            <w:vAlign w:val="center"/>
          </w:tcPr>
          <w:p w14:paraId="6AF816D8" w14:textId="77777777" w:rsidR="00A967F4" w:rsidRPr="00375E04" w:rsidRDefault="00A967F4" w:rsidP="00591635">
            <w:pPr>
              <w:jc w:val="center"/>
            </w:pPr>
            <w:r w:rsidRPr="00375E04">
              <w:t>27890,00 Eur</w:t>
            </w:r>
          </w:p>
        </w:tc>
      </w:tr>
      <w:tr w:rsidR="00A967F4" w:rsidRPr="00375E04" w14:paraId="401BB160" w14:textId="77777777" w:rsidTr="009436C1">
        <w:trPr>
          <w:trHeight w:val="288"/>
        </w:trPr>
        <w:tc>
          <w:tcPr>
            <w:tcW w:w="2286" w:type="dxa"/>
            <w:vMerge w:val="restart"/>
            <w:shd w:val="clear" w:color="auto" w:fill="auto"/>
            <w:vAlign w:val="center"/>
          </w:tcPr>
          <w:p w14:paraId="4214CEF0" w14:textId="77777777" w:rsidR="00A967F4" w:rsidRPr="00375E04" w:rsidRDefault="00A967F4" w:rsidP="00591635">
            <w:pPr>
              <w:jc w:val="center"/>
            </w:pPr>
            <w:r w:rsidRPr="00375E04">
              <w:t>Spalis</w:t>
            </w:r>
          </w:p>
        </w:tc>
        <w:tc>
          <w:tcPr>
            <w:tcW w:w="3039" w:type="dxa"/>
            <w:shd w:val="clear" w:color="auto" w:fill="auto"/>
            <w:vAlign w:val="center"/>
          </w:tcPr>
          <w:p w14:paraId="33539485" w14:textId="77777777" w:rsidR="00A967F4" w:rsidRPr="00375E04" w:rsidRDefault="00A967F4" w:rsidP="00591635">
            <w:pPr>
              <w:jc w:val="center"/>
            </w:pPr>
            <w:r w:rsidRPr="00375E04">
              <w:t>Skaičius</w:t>
            </w:r>
          </w:p>
        </w:tc>
        <w:tc>
          <w:tcPr>
            <w:tcW w:w="3895" w:type="dxa"/>
            <w:shd w:val="clear" w:color="auto" w:fill="auto"/>
            <w:vAlign w:val="center"/>
          </w:tcPr>
          <w:p w14:paraId="28758929" w14:textId="77777777" w:rsidR="00A967F4" w:rsidRPr="00375E04" w:rsidRDefault="00A967F4" w:rsidP="00591635">
            <w:pPr>
              <w:jc w:val="center"/>
            </w:pPr>
            <w:r w:rsidRPr="00375E04">
              <w:t>2 (konferencija, reprezentacinis)</w:t>
            </w:r>
          </w:p>
        </w:tc>
      </w:tr>
      <w:tr w:rsidR="00A967F4" w:rsidRPr="00375E04" w14:paraId="4051AD3E" w14:textId="77777777" w:rsidTr="009436C1">
        <w:trPr>
          <w:trHeight w:val="227"/>
        </w:trPr>
        <w:tc>
          <w:tcPr>
            <w:tcW w:w="2286" w:type="dxa"/>
            <w:vMerge/>
            <w:shd w:val="clear" w:color="auto" w:fill="auto"/>
            <w:vAlign w:val="center"/>
          </w:tcPr>
          <w:p w14:paraId="017094A8" w14:textId="77777777" w:rsidR="00A967F4" w:rsidRPr="00375E04" w:rsidRDefault="00A967F4" w:rsidP="00591635">
            <w:pPr>
              <w:jc w:val="center"/>
            </w:pPr>
          </w:p>
        </w:tc>
        <w:tc>
          <w:tcPr>
            <w:tcW w:w="3039" w:type="dxa"/>
            <w:shd w:val="clear" w:color="auto" w:fill="auto"/>
            <w:vAlign w:val="center"/>
          </w:tcPr>
          <w:p w14:paraId="5703B045" w14:textId="77777777" w:rsidR="00A967F4" w:rsidRPr="00375E04" w:rsidRDefault="00A967F4" w:rsidP="00591635">
            <w:pPr>
              <w:jc w:val="center"/>
            </w:pPr>
            <w:r w:rsidRPr="00375E04">
              <w:t>Vertė</w:t>
            </w:r>
          </w:p>
        </w:tc>
        <w:tc>
          <w:tcPr>
            <w:tcW w:w="3895" w:type="dxa"/>
            <w:shd w:val="clear" w:color="auto" w:fill="auto"/>
            <w:vAlign w:val="center"/>
          </w:tcPr>
          <w:p w14:paraId="438E2C98" w14:textId="77777777" w:rsidR="00A967F4" w:rsidRPr="00375E04" w:rsidRDefault="00A967F4" w:rsidP="00591635">
            <w:pPr>
              <w:jc w:val="center"/>
            </w:pPr>
            <w:r w:rsidRPr="00375E04">
              <w:t>Eur 9632,00 Eur</w:t>
            </w:r>
          </w:p>
        </w:tc>
      </w:tr>
      <w:tr w:rsidR="00A967F4" w:rsidRPr="00375E04" w14:paraId="223C48A6" w14:textId="77777777" w:rsidTr="009436C1">
        <w:trPr>
          <w:trHeight w:val="375"/>
        </w:trPr>
        <w:tc>
          <w:tcPr>
            <w:tcW w:w="2286" w:type="dxa"/>
            <w:vMerge w:val="restart"/>
            <w:shd w:val="clear" w:color="auto" w:fill="auto"/>
            <w:vAlign w:val="center"/>
          </w:tcPr>
          <w:p w14:paraId="186FFE30" w14:textId="77777777" w:rsidR="00A967F4" w:rsidRPr="00375E04" w:rsidRDefault="00A967F4" w:rsidP="00591635">
            <w:pPr>
              <w:jc w:val="center"/>
            </w:pPr>
            <w:r w:rsidRPr="00375E04">
              <w:t>Lapkritis</w:t>
            </w:r>
          </w:p>
        </w:tc>
        <w:tc>
          <w:tcPr>
            <w:tcW w:w="3039" w:type="dxa"/>
            <w:shd w:val="clear" w:color="auto" w:fill="auto"/>
            <w:vAlign w:val="center"/>
          </w:tcPr>
          <w:p w14:paraId="1B774909" w14:textId="77777777" w:rsidR="00A967F4" w:rsidRPr="00375E04" w:rsidRDefault="00A967F4" w:rsidP="00591635">
            <w:pPr>
              <w:jc w:val="center"/>
            </w:pPr>
            <w:r w:rsidRPr="00375E04">
              <w:t>Skaičius</w:t>
            </w:r>
          </w:p>
        </w:tc>
        <w:tc>
          <w:tcPr>
            <w:tcW w:w="3895" w:type="dxa"/>
            <w:vAlign w:val="center"/>
          </w:tcPr>
          <w:p w14:paraId="4A39B0B1" w14:textId="15F3D7F3" w:rsidR="00A967F4" w:rsidRPr="00375E04" w:rsidRDefault="00A967F4" w:rsidP="006B2FF3">
            <w:pPr>
              <w:spacing w:after="0"/>
              <w:jc w:val="center"/>
            </w:pPr>
            <w:r w:rsidRPr="00375E04">
              <w:t xml:space="preserve">7 (seminarai </w:t>
            </w:r>
            <w:r w:rsidR="006B2FF3">
              <w:rPr>
                <w:rFonts w:cstheme="minorHAnsi"/>
              </w:rPr>
              <w:t>×</w:t>
            </w:r>
            <w:r w:rsidRPr="00375E04">
              <w:t xml:space="preserve">2, konferencija </w:t>
            </w:r>
            <w:r w:rsidR="006B2FF3">
              <w:rPr>
                <w:rFonts w:cstheme="minorHAnsi"/>
              </w:rPr>
              <w:t>×</w:t>
            </w:r>
            <w:r w:rsidRPr="00375E04">
              <w:t xml:space="preserve">2, mokymai </w:t>
            </w:r>
            <w:r w:rsidR="006B2FF3">
              <w:rPr>
                <w:rFonts w:cstheme="minorHAnsi"/>
              </w:rPr>
              <w:t>×</w:t>
            </w:r>
            <w:r w:rsidRPr="00375E04">
              <w:t>2, reprezentacinis)</w:t>
            </w:r>
          </w:p>
        </w:tc>
      </w:tr>
      <w:tr w:rsidR="00A967F4" w:rsidRPr="00375E04" w14:paraId="377EF70F" w14:textId="77777777" w:rsidTr="009436C1">
        <w:trPr>
          <w:trHeight w:val="402"/>
        </w:trPr>
        <w:tc>
          <w:tcPr>
            <w:tcW w:w="2286" w:type="dxa"/>
            <w:vMerge/>
            <w:shd w:val="clear" w:color="auto" w:fill="auto"/>
            <w:vAlign w:val="center"/>
          </w:tcPr>
          <w:p w14:paraId="7DBBD3AE" w14:textId="77777777" w:rsidR="00A967F4" w:rsidRPr="00375E04" w:rsidRDefault="00A967F4" w:rsidP="00591635">
            <w:pPr>
              <w:jc w:val="center"/>
            </w:pPr>
          </w:p>
        </w:tc>
        <w:tc>
          <w:tcPr>
            <w:tcW w:w="3039" w:type="dxa"/>
            <w:shd w:val="clear" w:color="auto" w:fill="auto"/>
            <w:vAlign w:val="center"/>
          </w:tcPr>
          <w:p w14:paraId="29B4B013" w14:textId="77777777" w:rsidR="00A967F4" w:rsidRPr="00375E04" w:rsidRDefault="00A967F4" w:rsidP="00591635">
            <w:pPr>
              <w:jc w:val="center"/>
            </w:pPr>
            <w:r w:rsidRPr="00375E04">
              <w:t>Vertė</w:t>
            </w:r>
          </w:p>
        </w:tc>
        <w:tc>
          <w:tcPr>
            <w:tcW w:w="3895" w:type="dxa"/>
            <w:vAlign w:val="center"/>
          </w:tcPr>
          <w:p w14:paraId="13D3981B" w14:textId="77777777" w:rsidR="00A967F4" w:rsidRPr="00375E04" w:rsidRDefault="00A967F4" w:rsidP="00591635">
            <w:pPr>
              <w:jc w:val="center"/>
            </w:pPr>
            <w:r w:rsidRPr="00375E04">
              <w:t>130132,00 Eur</w:t>
            </w:r>
          </w:p>
        </w:tc>
      </w:tr>
      <w:tr w:rsidR="00A967F4" w:rsidRPr="00375E04" w14:paraId="56380A30" w14:textId="77777777" w:rsidTr="009436C1">
        <w:trPr>
          <w:trHeight w:val="277"/>
        </w:trPr>
        <w:tc>
          <w:tcPr>
            <w:tcW w:w="2286" w:type="dxa"/>
            <w:vMerge w:val="restart"/>
            <w:vAlign w:val="center"/>
          </w:tcPr>
          <w:p w14:paraId="1CD8DD95" w14:textId="77777777" w:rsidR="00A967F4" w:rsidRPr="00375E04" w:rsidRDefault="00A967F4" w:rsidP="00591635">
            <w:pPr>
              <w:jc w:val="center"/>
            </w:pPr>
            <w:r w:rsidRPr="00375E04">
              <w:t>Gruodis</w:t>
            </w:r>
          </w:p>
        </w:tc>
        <w:tc>
          <w:tcPr>
            <w:tcW w:w="3039" w:type="dxa"/>
            <w:vAlign w:val="center"/>
          </w:tcPr>
          <w:p w14:paraId="46B95C85" w14:textId="77777777" w:rsidR="00A967F4" w:rsidRPr="00375E04" w:rsidRDefault="00A967F4" w:rsidP="00591635">
            <w:pPr>
              <w:jc w:val="center"/>
            </w:pPr>
            <w:r w:rsidRPr="00375E04">
              <w:t>Skaičius</w:t>
            </w:r>
          </w:p>
        </w:tc>
        <w:tc>
          <w:tcPr>
            <w:tcW w:w="3895" w:type="dxa"/>
            <w:vAlign w:val="center"/>
          </w:tcPr>
          <w:p w14:paraId="501F276B" w14:textId="77777777" w:rsidR="00A967F4" w:rsidRPr="00375E04" w:rsidRDefault="00A967F4" w:rsidP="00591635">
            <w:pPr>
              <w:jc w:val="center"/>
            </w:pPr>
            <w:r w:rsidRPr="00375E04">
              <w:t>-</w:t>
            </w:r>
          </w:p>
        </w:tc>
      </w:tr>
      <w:tr w:rsidR="00A967F4" w:rsidRPr="00375E04" w14:paraId="7BD43003" w14:textId="77777777" w:rsidTr="009436C1">
        <w:trPr>
          <w:trHeight w:val="88"/>
        </w:trPr>
        <w:tc>
          <w:tcPr>
            <w:tcW w:w="2286" w:type="dxa"/>
            <w:vMerge/>
            <w:vAlign w:val="center"/>
          </w:tcPr>
          <w:p w14:paraId="3EEBB6DE" w14:textId="77777777" w:rsidR="00A967F4" w:rsidRPr="00375E04" w:rsidRDefault="00A967F4" w:rsidP="00591635">
            <w:pPr>
              <w:jc w:val="center"/>
            </w:pPr>
          </w:p>
        </w:tc>
        <w:tc>
          <w:tcPr>
            <w:tcW w:w="3039" w:type="dxa"/>
            <w:vAlign w:val="center"/>
          </w:tcPr>
          <w:p w14:paraId="73D33DE9" w14:textId="77777777" w:rsidR="00A967F4" w:rsidRPr="00375E04" w:rsidRDefault="00A967F4" w:rsidP="00591635">
            <w:pPr>
              <w:jc w:val="center"/>
            </w:pPr>
            <w:r w:rsidRPr="00375E04">
              <w:t>Vertė</w:t>
            </w:r>
          </w:p>
        </w:tc>
        <w:tc>
          <w:tcPr>
            <w:tcW w:w="3895" w:type="dxa"/>
            <w:vAlign w:val="center"/>
          </w:tcPr>
          <w:p w14:paraId="09FAF6A1" w14:textId="77777777" w:rsidR="00A967F4" w:rsidRPr="00375E04" w:rsidRDefault="00A967F4" w:rsidP="00591635">
            <w:pPr>
              <w:jc w:val="center"/>
            </w:pPr>
            <w:r w:rsidRPr="00375E04">
              <w:t>-</w:t>
            </w:r>
          </w:p>
        </w:tc>
      </w:tr>
    </w:tbl>
    <w:p w14:paraId="1F7561A7" w14:textId="0577E12E" w:rsidR="00A967F4" w:rsidRPr="00375E04" w:rsidRDefault="00A967F4" w:rsidP="006B2FF3">
      <w:pPr>
        <w:spacing w:before="240" w:afterLines="80" w:after="192" w:line="20" w:lineRule="atLeast"/>
        <w:jc w:val="center"/>
        <w:rPr>
          <w:rFonts w:cstheme="minorHAnsi"/>
          <w:b/>
          <w:kern w:val="24"/>
        </w:rPr>
      </w:pPr>
      <w:r w:rsidRPr="00375E04">
        <w:rPr>
          <w:rFonts w:cstheme="minorHAnsi"/>
          <w:b/>
          <w:kern w:val="24"/>
        </w:rPr>
        <w:t>202</w:t>
      </w:r>
      <w:r w:rsidR="005A7F47" w:rsidRPr="00375E04">
        <w:rPr>
          <w:rFonts w:cstheme="minorHAnsi"/>
          <w:b/>
          <w:kern w:val="24"/>
        </w:rPr>
        <w:t>4</w:t>
      </w:r>
      <w:r w:rsidRPr="00375E04">
        <w:rPr>
          <w:rFonts w:cstheme="minorHAnsi"/>
          <w:b/>
          <w:kern w:val="24"/>
        </w:rPr>
        <w:t xml:space="preserve"> m.</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3026"/>
        <w:gridCol w:w="3920"/>
      </w:tblGrid>
      <w:tr w:rsidR="00A967F4" w:rsidRPr="00375E04" w14:paraId="755EF538" w14:textId="77777777" w:rsidTr="009436C1">
        <w:trPr>
          <w:trHeight w:val="392"/>
        </w:trPr>
        <w:tc>
          <w:tcPr>
            <w:tcW w:w="2274" w:type="dxa"/>
            <w:shd w:val="clear" w:color="auto" w:fill="E7E6E6" w:themeFill="background2"/>
            <w:vAlign w:val="center"/>
          </w:tcPr>
          <w:p w14:paraId="75300826" w14:textId="77777777" w:rsidR="00A967F4" w:rsidRPr="00591635" w:rsidRDefault="00A967F4" w:rsidP="00591635">
            <w:pPr>
              <w:pStyle w:val="NoSpacing"/>
              <w:jc w:val="center"/>
              <w:rPr>
                <w:b/>
              </w:rPr>
            </w:pPr>
            <w:r w:rsidRPr="00591635">
              <w:rPr>
                <w:b/>
              </w:rPr>
              <w:t>Laikotarpis</w:t>
            </w:r>
          </w:p>
        </w:tc>
        <w:tc>
          <w:tcPr>
            <w:tcW w:w="3026" w:type="dxa"/>
            <w:shd w:val="clear" w:color="auto" w:fill="E7E6E6" w:themeFill="background2"/>
            <w:vAlign w:val="center"/>
          </w:tcPr>
          <w:p w14:paraId="4EB59AC1" w14:textId="77777777" w:rsidR="00A967F4" w:rsidRPr="00591635" w:rsidRDefault="00A967F4" w:rsidP="00591635">
            <w:pPr>
              <w:pStyle w:val="NoSpacing"/>
              <w:jc w:val="center"/>
              <w:rPr>
                <w:b/>
              </w:rPr>
            </w:pPr>
            <w:r w:rsidRPr="00591635">
              <w:rPr>
                <w:b/>
              </w:rPr>
              <w:t>Apimties tipas</w:t>
            </w:r>
          </w:p>
        </w:tc>
        <w:tc>
          <w:tcPr>
            <w:tcW w:w="3920" w:type="dxa"/>
            <w:shd w:val="clear" w:color="auto" w:fill="E7E6E6" w:themeFill="background2"/>
            <w:vAlign w:val="center"/>
          </w:tcPr>
          <w:p w14:paraId="27FECF2F" w14:textId="77777777" w:rsidR="00A967F4" w:rsidRPr="00591635" w:rsidRDefault="00A967F4" w:rsidP="00591635">
            <w:pPr>
              <w:pStyle w:val="NoSpacing"/>
              <w:jc w:val="center"/>
              <w:rPr>
                <w:b/>
              </w:rPr>
            </w:pPr>
            <w:r w:rsidRPr="00591635">
              <w:rPr>
                <w:b/>
              </w:rPr>
              <w:t>Renginių organizavimo ir aptarnavimo paslaugos</w:t>
            </w:r>
          </w:p>
        </w:tc>
      </w:tr>
      <w:tr w:rsidR="00A967F4" w:rsidRPr="00375E04" w14:paraId="0936E0C9" w14:textId="77777777" w:rsidTr="009436C1">
        <w:trPr>
          <w:trHeight w:val="392"/>
        </w:trPr>
        <w:tc>
          <w:tcPr>
            <w:tcW w:w="2274" w:type="dxa"/>
            <w:vAlign w:val="center"/>
          </w:tcPr>
          <w:p w14:paraId="56F2598E" w14:textId="77777777" w:rsidR="00A967F4" w:rsidRPr="00375E04" w:rsidRDefault="00A967F4" w:rsidP="00591635">
            <w:pPr>
              <w:pStyle w:val="NoSpacing"/>
              <w:jc w:val="center"/>
            </w:pPr>
            <w:r w:rsidRPr="00375E04">
              <w:t>Sausis–gruodis</w:t>
            </w:r>
          </w:p>
        </w:tc>
        <w:tc>
          <w:tcPr>
            <w:tcW w:w="3026" w:type="dxa"/>
            <w:vAlign w:val="center"/>
          </w:tcPr>
          <w:p w14:paraId="2A62924D" w14:textId="77777777" w:rsidR="00A967F4" w:rsidRPr="00375E04" w:rsidRDefault="00A967F4" w:rsidP="00591635">
            <w:pPr>
              <w:pStyle w:val="NoSpacing"/>
              <w:jc w:val="center"/>
              <w:rPr>
                <w:color w:val="FF0000"/>
              </w:rPr>
            </w:pPr>
            <w:r w:rsidRPr="00375E04">
              <w:t>23</w:t>
            </w:r>
          </w:p>
        </w:tc>
        <w:tc>
          <w:tcPr>
            <w:tcW w:w="3920" w:type="dxa"/>
            <w:vAlign w:val="center"/>
          </w:tcPr>
          <w:p w14:paraId="2293552A" w14:textId="77777777" w:rsidR="00A967F4" w:rsidRPr="00375E04" w:rsidRDefault="00A967F4" w:rsidP="00591635">
            <w:pPr>
              <w:pStyle w:val="NoSpacing"/>
              <w:jc w:val="center"/>
              <w:rPr>
                <w:color w:val="FF0000"/>
              </w:rPr>
            </w:pPr>
            <w:r w:rsidRPr="00375E04">
              <w:t>200212,00 Eur</w:t>
            </w:r>
          </w:p>
        </w:tc>
      </w:tr>
      <w:tr w:rsidR="00A967F4" w:rsidRPr="00375E04" w14:paraId="0C71625A" w14:textId="77777777" w:rsidTr="009436C1">
        <w:trPr>
          <w:trHeight w:val="200"/>
        </w:trPr>
        <w:tc>
          <w:tcPr>
            <w:tcW w:w="2274" w:type="dxa"/>
            <w:vMerge w:val="restart"/>
            <w:vAlign w:val="center"/>
          </w:tcPr>
          <w:p w14:paraId="195A3F29" w14:textId="77777777" w:rsidR="00A967F4" w:rsidRPr="00375E04" w:rsidRDefault="00A967F4" w:rsidP="00591635">
            <w:pPr>
              <w:pStyle w:val="NoSpacing"/>
              <w:jc w:val="center"/>
            </w:pPr>
            <w:r w:rsidRPr="00375E04">
              <w:t>Sausis</w:t>
            </w:r>
          </w:p>
        </w:tc>
        <w:tc>
          <w:tcPr>
            <w:tcW w:w="3026" w:type="dxa"/>
            <w:vAlign w:val="center"/>
          </w:tcPr>
          <w:p w14:paraId="3635CDF4" w14:textId="77777777" w:rsidR="00A967F4" w:rsidRPr="00375E04" w:rsidRDefault="00A967F4" w:rsidP="00591635">
            <w:pPr>
              <w:pStyle w:val="NoSpacing"/>
              <w:jc w:val="center"/>
            </w:pPr>
            <w:r w:rsidRPr="00375E04">
              <w:t>Skaičius</w:t>
            </w:r>
          </w:p>
        </w:tc>
        <w:tc>
          <w:tcPr>
            <w:tcW w:w="3920" w:type="dxa"/>
            <w:vAlign w:val="center"/>
          </w:tcPr>
          <w:p w14:paraId="492ADD1C" w14:textId="77777777" w:rsidR="00A967F4" w:rsidRPr="00375E04" w:rsidRDefault="00A967F4" w:rsidP="00591635">
            <w:pPr>
              <w:pStyle w:val="NoSpacing"/>
              <w:jc w:val="center"/>
            </w:pPr>
            <w:r w:rsidRPr="00375E04">
              <w:t>1 (seminaras)</w:t>
            </w:r>
          </w:p>
        </w:tc>
      </w:tr>
      <w:tr w:rsidR="00A967F4" w:rsidRPr="00375E04" w14:paraId="67C78AC6" w14:textId="77777777" w:rsidTr="009436C1">
        <w:trPr>
          <w:trHeight w:val="364"/>
        </w:trPr>
        <w:tc>
          <w:tcPr>
            <w:tcW w:w="2274" w:type="dxa"/>
            <w:vMerge/>
            <w:vAlign w:val="center"/>
          </w:tcPr>
          <w:p w14:paraId="74D6CEBD" w14:textId="77777777" w:rsidR="00A967F4" w:rsidRPr="00375E04" w:rsidRDefault="00A967F4" w:rsidP="00591635">
            <w:pPr>
              <w:pStyle w:val="NoSpacing"/>
              <w:jc w:val="center"/>
            </w:pPr>
          </w:p>
        </w:tc>
        <w:tc>
          <w:tcPr>
            <w:tcW w:w="3026" w:type="dxa"/>
            <w:vAlign w:val="center"/>
          </w:tcPr>
          <w:p w14:paraId="6FC623C4" w14:textId="77777777" w:rsidR="00A967F4" w:rsidRPr="00375E04" w:rsidRDefault="00A967F4" w:rsidP="00591635">
            <w:pPr>
              <w:pStyle w:val="NoSpacing"/>
              <w:jc w:val="center"/>
            </w:pPr>
            <w:r w:rsidRPr="00375E04">
              <w:t>Vertė</w:t>
            </w:r>
          </w:p>
        </w:tc>
        <w:tc>
          <w:tcPr>
            <w:tcW w:w="3920" w:type="dxa"/>
            <w:vAlign w:val="center"/>
          </w:tcPr>
          <w:p w14:paraId="1F5700D4" w14:textId="77777777" w:rsidR="00A967F4" w:rsidRPr="00375E04" w:rsidRDefault="00A967F4" w:rsidP="00591635">
            <w:pPr>
              <w:pStyle w:val="NoSpacing"/>
              <w:jc w:val="center"/>
            </w:pPr>
            <w:r w:rsidRPr="00375E04">
              <w:t>4823,00 Eur</w:t>
            </w:r>
          </w:p>
        </w:tc>
      </w:tr>
      <w:tr w:rsidR="00A967F4" w:rsidRPr="00375E04" w14:paraId="0BB88579" w14:textId="77777777" w:rsidTr="009436C1">
        <w:trPr>
          <w:trHeight w:val="306"/>
        </w:trPr>
        <w:tc>
          <w:tcPr>
            <w:tcW w:w="2274" w:type="dxa"/>
            <w:vMerge w:val="restart"/>
            <w:vAlign w:val="center"/>
          </w:tcPr>
          <w:p w14:paraId="6D23ABE3" w14:textId="77777777" w:rsidR="00A967F4" w:rsidRPr="00375E04" w:rsidRDefault="00A967F4" w:rsidP="00591635">
            <w:pPr>
              <w:pStyle w:val="NoSpacing"/>
              <w:jc w:val="center"/>
            </w:pPr>
            <w:r w:rsidRPr="00375E04">
              <w:t>Vasaris</w:t>
            </w:r>
          </w:p>
        </w:tc>
        <w:tc>
          <w:tcPr>
            <w:tcW w:w="3026" w:type="dxa"/>
            <w:vAlign w:val="center"/>
          </w:tcPr>
          <w:p w14:paraId="0C861B21" w14:textId="77777777" w:rsidR="00A967F4" w:rsidRPr="00375E04" w:rsidRDefault="00A967F4" w:rsidP="00591635">
            <w:pPr>
              <w:pStyle w:val="NoSpacing"/>
              <w:jc w:val="center"/>
            </w:pPr>
            <w:r w:rsidRPr="00375E04">
              <w:t>Skaičius</w:t>
            </w:r>
          </w:p>
        </w:tc>
        <w:tc>
          <w:tcPr>
            <w:tcW w:w="3920" w:type="dxa"/>
            <w:vAlign w:val="center"/>
          </w:tcPr>
          <w:p w14:paraId="0FCB779D" w14:textId="75C90300" w:rsidR="00A967F4" w:rsidRPr="00375E04" w:rsidRDefault="00A967F4" w:rsidP="00591635">
            <w:pPr>
              <w:pStyle w:val="NoSpacing"/>
              <w:jc w:val="center"/>
            </w:pPr>
            <w:r w:rsidRPr="00375E04">
              <w:t xml:space="preserve">2 (konferencijos </w:t>
            </w:r>
            <w:r w:rsidR="006B2FF3">
              <w:rPr>
                <w:rFonts w:cstheme="minorHAnsi"/>
              </w:rPr>
              <w:t>×</w:t>
            </w:r>
            <w:r w:rsidRPr="00375E04">
              <w:t>2)</w:t>
            </w:r>
          </w:p>
        </w:tc>
      </w:tr>
      <w:tr w:rsidR="00A967F4" w:rsidRPr="00375E04" w14:paraId="26E7253F" w14:textId="77777777" w:rsidTr="009436C1">
        <w:trPr>
          <w:trHeight w:val="300"/>
        </w:trPr>
        <w:tc>
          <w:tcPr>
            <w:tcW w:w="2274" w:type="dxa"/>
            <w:vMerge/>
            <w:vAlign w:val="center"/>
          </w:tcPr>
          <w:p w14:paraId="40E538B7" w14:textId="77777777" w:rsidR="00A967F4" w:rsidRPr="00375E04" w:rsidRDefault="00A967F4" w:rsidP="00591635">
            <w:pPr>
              <w:pStyle w:val="NoSpacing"/>
              <w:jc w:val="center"/>
            </w:pPr>
          </w:p>
        </w:tc>
        <w:tc>
          <w:tcPr>
            <w:tcW w:w="3026" w:type="dxa"/>
            <w:vAlign w:val="center"/>
          </w:tcPr>
          <w:p w14:paraId="34BDA271" w14:textId="77777777" w:rsidR="00A967F4" w:rsidRPr="00375E04" w:rsidRDefault="00A967F4" w:rsidP="00591635">
            <w:pPr>
              <w:pStyle w:val="NoSpacing"/>
              <w:jc w:val="center"/>
            </w:pPr>
            <w:r w:rsidRPr="00375E04">
              <w:t>Vertė</w:t>
            </w:r>
          </w:p>
        </w:tc>
        <w:tc>
          <w:tcPr>
            <w:tcW w:w="3920" w:type="dxa"/>
            <w:vAlign w:val="center"/>
          </w:tcPr>
          <w:p w14:paraId="6A0D9A59" w14:textId="77777777" w:rsidR="00A967F4" w:rsidRPr="00375E04" w:rsidRDefault="00A967F4" w:rsidP="00591635">
            <w:pPr>
              <w:pStyle w:val="NoSpacing"/>
              <w:jc w:val="center"/>
            </w:pPr>
            <w:r w:rsidRPr="00375E04">
              <w:t>9600,00 Eur</w:t>
            </w:r>
          </w:p>
        </w:tc>
      </w:tr>
      <w:tr w:rsidR="00A967F4" w:rsidRPr="00375E04" w14:paraId="6D0966BF" w14:textId="77777777" w:rsidTr="009436C1">
        <w:trPr>
          <w:trHeight w:val="335"/>
        </w:trPr>
        <w:tc>
          <w:tcPr>
            <w:tcW w:w="2274" w:type="dxa"/>
            <w:vMerge w:val="restart"/>
            <w:vAlign w:val="center"/>
          </w:tcPr>
          <w:p w14:paraId="0C8C9E5B" w14:textId="77777777" w:rsidR="00A967F4" w:rsidRPr="00375E04" w:rsidRDefault="00A967F4" w:rsidP="00591635">
            <w:pPr>
              <w:pStyle w:val="NoSpacing"/>
              <w:jc w:val="center"/>
            </w:pPr>
            <w:r w:rsidRPr="00375E04">
              <w:t>Kovas</w:t>
            </w:r>
          </w:p>
        </w:tc>
        <w:tc>
          <w:tcPr>
            <w:tcW w:w="3026" w:type="dxa"/>
            <w:vAlign w:val="center"/>
          </w:tcPr>
          <w:p w14:paraId="09A3D2F1" w14:textId="77777777" w:rsidR="00A967F4" w:rsidRPr="00375E04" w:rsidRDefault="00A967F4" w:rsidP="00591635">
            <w:pPr>
              <w:pStyle w:val="NoSpacing"/>
              <w:jc w:val="center"/>
            </w:pPr>
            <w:r w:rsidRPr="00375E04">
              <w:t>Skaičius</w:t>
            </w:r>
          </w:p>
        </w:tc>
        <w:tc>
          <w:tcPr>
            <w:tcW w:w="3920" w:type="dxa"/>
            <w:vAlign w:val="center"/>
          </w:tcPr>
          <w:p w14:paraId="6CE01EC5" w14:textId="77777777" w:rsidR="00A967F4" w:rsidRPr="00375E04" w:rsidRDefault="00A967F4" w:rsidP="00591635">
            <w:pPr>
              <w:pStyle w:val="NoSpacing"/>
              <w:jc w:val="center"/>
            </w:pPr>
            <w:r w:rsidRPr="00375E04">
              <w:t>1 (reprezentacinis)</w:t>
            </w:r>
          </w:p>
        </w:tc>
      </w:tr>
      <w:tr w:rsidR="00A967F4" w:rsidRPr="00375E04" w14:paraId="74AF99B2" w14:textId="77777777" w:rsidTr="009436C1">
        <w:trPr>
          <w:trHeight w:val="239"/>
        </w:trPr>
        <w:tc>
          <w:tcPr>
            <w:tcW w:w="2274" w:type="dxa"/>
            <w:vMerge/>
            <w:vAlign w:val="center"/>
          </w:tcPr>
          <w:p w14:paraId="1CB79EE8" w14:textId="77777777" w:rsidR="00A967F4" w:rsidRPr="00375E04" w:rsidRDefault="00A967F4" w:rsidP="00591635">
            <w:pPr>
              <w:pStyle w:val="NoSpacing"/>
              <w:jc w:val="center"/>
            </w:pPr>
          </w:p>
        </w:tc>
        <w:tc>
          <w:tcPr>
            <w:tcW w:w="3026" w:type="dxa"/>
            <w:vAlign w:val="center"/>
          </w:tcPr>
          <w:p w14:paraId="4B57E4F3" w14:textId="77777777" w:rsidR="00A967F4" w:rsidRPr="00375E04" w:rsidRDefault="00A967F4" w:rsidP="00591635">
            <w:pPr>
              <w:pStyle w:val="NoSpacing"/>
              <w:jc w:val="center"/>
            </w:pPr>
            <w:r w:rsidRPr="00375E04">
              <w:t>Vertė</w:t>
            </w:r>
          </w:p>
        </w:tc>
        <w:tc>
          <w:tcPr>
            <w:tcW w:w="3920" w:type="dxa"/>
            <w:vAlign w:val="center"/>
          </w:tcPr>
          <w:p w14:paraId="05F720BD" w14:textId="77777777" w:rsidR="00A967F4" w:rsidRPr="00375E04" w:rsidRDefault="00A967F4" w:rsidP="00591635">
            <w:pPr>
              <w:pStyle w:val="NoSpacing"/>
              <w:jc w:val="center"/>
            </w:pPr>
            <w:r w:rsidRPr="00375E04">
              <w:t>19486,00 Eur</w:t>
            </w:r>
          </w:p>
        </w:tc>
      </w:tr>
      <w:tr w:rsidR="00A967F4" w:rsidRPr="00375E04" w14:paraId="61275F04" w14:textId="77777777" w:rsidTr="009436C1">
        <w:trPr>
          <w:trHeight w:val="286"/>
        </w:trPr>
        <w:tc>
          <w:tcPr>
            <w:tcW w:w="2274" w:type="dxa"/>
            <w:vMerge w:val="restart"/>
            <w:vAlign w:val="center"/>
          </w:tcPr>
          <w:p w14:paraId="0FA833DC" w14:textId="77777777" w:rsidR="00A967F4" w:rsidRPr="00375E04" w:rsidRDefault="00A967F4" w:rsidP="00591635">
            <w:pPr>
              <w:pStyle w:val="NoSpacing"/>
              <w:jc w:val="center"/>
            </w:pPr>
            <w:r w:rsidRPr="00375E04">
              <w:t>Balandis</w:t>
            </w:r>
          </w:p>
        </w:tc>
        <w:tc>
          <w:tcPr>
            <w:tcW w:w="3026" w:type="dxa"/>
            <w:vAlign w:val="center"/>
          </w:tcPr>
          <w:p w14:paraId="42DA2B81" w14:textId="77777777" w:rsidR="00A967F4" w:rsidRPr="00375E04" w:rsidRDefault="00A967F4" w:rsidP="00591635">
            <w:pPr>
              <w:pStyle w:val="NoSpacing"/>
              <w:jc w:val="center"/>
            </w:pPr>
            <w:r w:rsidRPr="00375E04">
              <w:t>Skaičius</w:t>
            </w:r>
          </w:p>
        </w:tc>
        <w:tc>
          <w:tcPr>
            <w:tcW w:w="3920" w:type="dxa"/>
            <w:vAlign w:val="center"/>
          </w:tcPr>
          <w:p w14:paraId="46C3D0A0" w14:textId="77777777" w:rsidR="00A967F4" w:rsidRPr="00375E04" w:rsidRDefault="00A967F4" w:rsidP="00591635">
            <w:pPr>
              <w:pStyle w:val="NoSpacing"/>
              <w:jc w:val="center"/>
            </w:pPr>
            <w:r w:rsidRPr="00375E04">
              <w:t>-</w:t>
            </w:r>
          </w:p>
        </w:tc>
      </w:tr>
      <w:tr w:rsidR="00A967F4" w:rsidRPr="00375E04" w14:paraId="379DC5FF" w14:textId="77777777" w:rsidTr="009436C1">
        <w:trPr>
          <w:trHeight w:val="258"/>
        </w:trPr>
        <w:tc>
          <w:tcPr>
            <w:tcW w:w="2274" w:type="dxa"/>
            <w:vMerge/>
            <w:vAlign w:val="center"/>
          </w:tcPr>
          <w:p w14:paraId="3E7514F0" w14:textId="77777777" w:rsidR="00A967F4" w:rsidRPr="00375E04" w:rsidRDefault="00A967F4" w:rsidP="00591635">
            <w:pPr>
              <w:pStyle w:val="NoSpacing"/>
              <w:jc w:val="center"/>
            </w:pPr>
          </w:p>
        </w:tc>
        <w:tc>
          <w:tcPr>
            <w:tcW w:w="3026" w:type="dxa"/>
            <w:vAlign w:val="center"/>
          </w:tcPr>
          <w:p w14:paraId="2CB11806" w14:textId="77777777" w:rsidR="00A967F4" w:rsidRPr="00375E04" w:rsidRDefault="00A967F4" w:rsidP="00591635">
            <w:pPr>
              <w:pStyle w:val="NoSpacing"/>
              <w:jc w:val="center"/>
            </w:pPr>
            <w:r w:rsidRPr="00375E04">
              <w:t>Vertė</w:t>
            </w:r>
          </w:p>
        </w:tc>
        <w:tc>
          <w:tcPr>
            <w:tcW w:w="3920" w:type="dxa"/>
            <w:vAlign w:val="center"/>
          </w:tcPr>
          <w:p w14:paraId="20F37A0B" w14:textId="77777777" w:rsidR="00A967F4" w:rsidRPr="00375E04" w:rsidRDefault="00A967F4" w:rsidP="00591635">
            <w:pPr>
              <w:pStyle w:val="NoSpacing"/>
              <w:jc w:val="center"/>
            </w:pPr>
            <w:r w:rsidRPr="00375E04">
              <w:t>-</w:t>
            </w:r>
          </w:p>
        </w:tc>
      </w:tr>
      <w:tr w:rsidR="00A967F4" w:rsidRPr="00375E04" w14:paraId="2614CC1C" w14:textId="77777777" w:rsidTr="009436C1">
        <w:trPr>
          <w:trHeight w:val="297"/>
        </w:trPr>
        <w:tc>
          <w:tcPr>
            <w:tcW w:w="2274" w:type="dxa"/>
            <w:vMerge w:val="restart"/>
            <w:vAlign w:val="center"/>
          </w:tcPr>
          <w:p w14:paraId="3AC1A4D9" w14:textId="77777777" w:rsidR="00A967F4" w:rsidRPr="00375E04" w:rsidRDefault="00A967F4" w:rsidP="00591635">
            <w:pPr>
              <w:pStyle w:val="NoSpacing"/>
              <w:jc w:val="center"/>
            </w:pPr>
            <w:r w:rsidRPr="00375E04">
              <w:t>Gegužė</w:t>
            </w:r>
          </w:p>
        </w:tc>
        <w:tc>
          <w:tcPr>
            <w:tcW w:w="3026" w:type="dxa"/>
            <w:vAlign w:val="center"/>
          </w:tcPr>
          <w:p w14:paraId="31DDF12C" w14:textId="77777777" w:rsidR="00A967F4" w:rsidRPr="00375E04" w:rsidRDefault="00A967F4" w:rsidP="00591635">
            <w:pPr>
              <w:pStyle w:val="NoSpacing"/>
              <w:jc w:val="center"/>
            </w:pPr>
            <w:r w:rsidRPr="00375E04">
              <w:t>Skaičius</w:t>
            </w:r>
          </w:p>
        </w:tc>
        <w:tc>
          <w:tcPr>
            <w:tcW w:w="3920" w:type="dxa"/>
            <w:vAlign w:val="center"/>
          </w:tcPr>
          <w:p w14:paraId="2A7A04BF" w14:textId="77777777" w:rsidR="00A967F4" w:rsidRPr="00375E04" w:rsidRDefault="00A967F4" w:rsidP="00591635">
            <w:pPr>
              <w:pStyle w:val="NoSpacing"/>
              <w:jc w:val="center"/>
            </w:pPr>
            <w:r w:rsidRPr="00375E04">
              <w:t>3 (konferencija, seminaras, reprezentacinis)</w:t>
            </w:r>
          </w:p>
        </w:tc>
      </w:tr>
      <w:tr w:rsidR="00A967F4" w:rsidRPr="00375E04" w14:paraId="656877F4" w14:textId="77777777" w:rsidTr="009436C1">
        <w:trPr>
          <w:trHeight w:val="306"/>
        </w:trPr>
        <w:tc>
          <w:tcPr>
            <w:tcW w:w="2274" w:type="dxa"/>
            <w:vMerge/>
            <w:vAlign w:val="center"/>
          </w:tcPr>
          <w:p w14:paraId="06E714E8" w14:textId="77777777" w:rsidR="00A967F4" w:rsidRPr="00375E04" w:rsidRDefault="00A967F4" w:rsidP="00591635">
            <w:pPr>
              <w:pStyle w:val="NoSpacing"/>
              <w:jc w:val="center"/>
            </w:pPr>
          </w:p>
        </w:tc>
        <w:tc>
          <w:tcPr>
            <w:tcW w:w="3026" w:type="dxa"/>
            <w:vAlign w:val="center"/>
          </w:tcPr>
          <w:p w14:paraId="6A19CDBD" w14:textId="77777777" w:rsidR="00A967F4" w:rsidRPr="00375E04" w:rsidRDefault="00A967F4" w:rsidP="00591635">
            <w:pPr>
              <w:pStyle w:val="NoSpacing"/>
              <w:jc w:val="center"/>
            </w:pPr>
            <w:r w:rsidRPr="00375E04">
              <w:t>Vertė</w:t>
            </w:r>
          </w:p>
        </w:tc>
        <w:tc>
          <w:tcPr>
            <w:tcW w:w="3920" w:type="dxa"/>
            <w:vAlign w:val="center"/>
          </w:tcPr>
          <w:p w14:paraId="7AF6B41B" w14:textId="77777777" w:rsidR="00A967F4" w:rsidRPr="00375E04" w:rsidRDefault="00A967F4" w:rsidP="00591635">
            <w:pPr>
              <w:pStyle w:val="NoSpacing"/>
              <w:jc w:val="center"/>
            </w:pPr>
            <w:r w:rsidRPr="00375E04">
              <w:t>19953,00 Eur</w:t>
            </w:r>
          </w:p>
        </w:tc>
      </w:tr>
      <w:tr w:rsidR="00A967F4" w:rsidRPr="00375E04" w14:paraId="7B6E7376" w14:textId="77777777" w:rsidTr="009436C1">
        <w:trPr>
          <w:trHeight w:val="335"/>
        </w:trPr>
        <w:tc>
          <w:tcPr>
            <w:tcW w:w="2274" w:type="dxa"/>
            <w:vMerge w:val="restart"/>
            <w:vAlign w:val="center"/>
          </w:tcPr>
          <w:p w14:paraId="73CEA720" w14:textId="77777777" w:rsidR="00A967F4" w:rsidRPr="00375E04" w:rsidRDefault="00A967F4" w:rsidP="00591635">
            <w:pPr>
              <w:pStyle w:val="NoSpacing"/>
              <w:jc w:val="center"/>
            </w:pPr>
            <w:r w:rsidRPr="00375E04">
              <w:t>Birželis</w:t>
            </w:r>
          </w:p>
        </w:tc>
        <w:tc>
          <w:tcPr>
            <w:tcW w:w="3026" w:type="dxa"/>
            <w:vAlign w:val="center"/>
          </w:tcPr>
          <w:p w14:paraId="59EE6E82" w14:textId="77777777" w:rsidR="00A967F4" w:rsidRPr="00375E04" w:rsidRDefault="00A967F4" w:rsidP="00591635">
            <w:pPr>
              <w:pStyle w:val="NoSpacing"/>
              <w:jc w:val="center"/>
            </w:pPr>
            <w:r w:rsidRPr="00375E04">
              <w:t>Skaičius</w:t>
            </w:r>
          </w:p>
        </w:tc>
        <w:tc>
          <w:tcPr>
            <w:tcW w:w="3920" w:type="dxa"/>
            <w:vAlign w:val="center"/>
          </w:tcPr>
          <w:p w14:paraId="2B12630B" w14:textId="77777777" w:rsidR="00A967F4" w:rsidRPr="00375E04" w:rsidRDefault="00A967F4" w:rsidP="00591635">
            <w:pPr>
              <w:pStyle w:val="NoSpacing"/>
              <w:jc w:val="center"/>
            </w:pPr>
            <w:r w:rsidRPr="00375E04">
              <w:t>1 (seminaras)</w:t>
            </w:r>
          </w:p>
        </w:tc>
      </w:tr>
      <w:tr w:rsidR="00A967F4" w:rsidRPr="00375E04" w14:paraId="7113FBB1" w14:textId="77777777" w:rsidTr="009436C1">
        <w:trPr>
          <w:trHeight w:val="278"/>
        </w:trPr>
        <w:tc>
          <w:tcPr>
            <w:tcW w:w="2274" w:type="dxa"/>
            <w:vMerge/>
            <w:vAlign w:val="center"/>
          </w:tcPr>
          <w:p w14:paraId="5750673C" w14:textId="77777777" w:rsidR="00A967F4" w:rsidRPr="00375E04" w:rsidRDefault="00A967F4" w:rsidP="00591635">
            <w:pPr>
              <w:pStyle w:val="NoSpacing"/>
              <w:jc w:val="center"/>
            </w:pPr>
          </w:p>
        </w:tc>
        <w:tc>
          <w:tcPr>
            <w:tcW w:w="3026" w:type="dxa"/>
            <w:vAlign w:val="center"/>
          </w:tcPr>
          <w:p w14:paraId="42953BE4" w14:textId="77777777" w:rsidR="00A967F4" w:rsidRPr="00375E04" w:rsidRDefault="00A967F4" w:rsidP="00591635">
            <w:pPr>
              <w:pStyle w:val="NoSpacing"/>
              <w:jc w:val="center"/>
            </w:pPr>
            <w:r w:rsidRPr="00375E04">
              <w:t>Vertė</w:t>
            </w:r>
          </w:p>
        </w:tc>
        <w:tc>
          <w:tcPr>
            <w:tcW w:w="3920" w:type="dxa"/>
            <w:vAlign w:val="center"/>
          </w:tcPr>
          <w:p w14:paraId="72278486" w14:textId="77777777" w:rsidR="00A967F4" w:rsidRPr="00375E04" w:rsidRDefault="00A967F4" w:rsidP="00591635">
            <w:pPr>
              <w:pStyle w:val="NoSpacing"/>
              <w:jc w:val="center"/>
            </w:pPr>
            <w:r w:rsidRPr="00375E04">
              <w:t>10550,00 Eur</w:t>
            </w:r>
          </w:p>
        </w:tc>
      </w:tr>
      <w:tr w:rsidR="00A967F4" w:rsidRPr="00375E04" w14:paraId="2181265C" w14:textId="77777777" w:rsidTr="009436C1">
        <w:trPr>
          <w:trHeight w:val="356"/>
        </w:trPr>
        <w:tc>
          <w:tcPr>
            <w:tcW w:w="2274" w:type="dxa"/>
            <w:vMerge w:val="restart"/>
            <w:vAlign w:val="center"/>
          </w:tcPr>
          <w:p w14:paraId="26ABAE9D" w14:textId="77777777" w:rsidR="00A967F4" w:rsidRPr="00375E04" w:rsidRDefault="00A967F4" w:rsidP="00591635">
            <w:pPr>
              <w:pStyle w:val="NoSpacing"/>
              <w:jc w:val="center"/>
            </w:pPr>
            <w:r w:rsidRPr="00375E04">
              <w:t>Liepa</w:t>
            </w:r>
          </w:p>
        </w:tc>
        <w:tc>
          <w:tcPr>
            <w:tcW w:w="3026" w:type="dxa"/>
            <w:vAlign w:val="center"/>
          </w:tcPr>
          <w:p w14:paraId="23567383" w14:textId="77777777" w:rsidR="00A967F4" w:rsidRPr="00375E04" w:rsidRDefault="00A967F4" w:rsidP="00591635">
            <w:pPr>
              <w:pStyle w:val="NoSpacing"/>
              <w:jc w:val="center"/>
            </w:pPr>
            <w:r w:rsidRPr="00375E04">
              <w:t>Skaičius</w:t>
            </w:r>
          </w:p>
        </w:tc>
        <w:tc>
          <w:tcPr>
            <w:tcW w:w="3920" w:type="dxa"/>
            <w:vAlign w:val="center"/>
          </w:tcPr>
          <w:p w14:paraId="469A1E17" w14:textId="77777777" w:rsidR="00A967F4" w:rsidRPr="00375E04" w:rsidRDefault="00A967F4" w:rsidP="00591635">
            <w:pPr>
              <w:pStyle w:val="NoSpacing"/>
              <w:jc w:val="center"/>
            </w:pPr>
            <w:r w:rsidRPr="00375E04">
              <w:t>-</w:t>
            </w:r>
          </w:p>
        </w:tc>
      </w:tr>
      <w:tr w:rsidR="00A967F4" w:rsidRPr="00375E04" w14:paraId="6DFE5B16" w14:textId="77777777" w:rsidTr="009436C1">
        <w:trPr>
          <w:trHeight w:val="286"/>
        </w:trPr>
        <w:tc>
          <w:tcPr>
            <w:tcW w:w="2274" w:type="dxa"/>
            <w:vMerge/>
            <w:vAlign w:val="center"/>
          </w:tcPr>
          <w:p w14:paraId="72A94E44" w14:textId="77777777" w:rsidR="00A967F4" w:rsidRPr="00375E04" w:rsidRDefault="00A967F4" w:rsidP="00591635">
            <w:pPr>
              <w:pStyle w:val="NoSpacing"/>
              <w:jc w:val="center"/>
            </w:pPr>
          </w:p>
        </w:tc>
        <w:tc>
          <w:tcPr>
            <w:tcW w:w="3026" w:type="dxa"/>
            <w:vAlign w:val="center"/>
          </w:tcPr>
          <w:p w14:paraId="642C8568" w14:textId="77777777" w:rsidR="00A967F4" w:rsidRPr="00375E04" w:rsidRDefault="00A967F4" w:rsidP="00591635">
            <w:pPr>
              <w:pStyle w:val="NoSpacing"/>
              <w:jc w:val="center"/>
            </w:pPr>
            <w:r w:rsidRPr="00375E04">
              <w:t>Vertė</w:t>
            </w:r>
          </w:p>
        </w:tc>
        <w:tc>
          <w:tcPr>
            <w:tcW w:w="3920" w:type="dxa"/>
            <w:vAlign w:val="center"/>
          </w:tcPr>
          <w:p w14:paraId="1B06C69E" w14:textId="77777777" w:rsidR="00A967F4" w:rsidRPr="00375E04" w:rsidRDefault="00A967F4" w:rsidP="00591635">
            <w:pPr>
              <w:pStyle w:val="NoSpacing"/>
              <w:jc w:val="center"/>
            </w:pPr>
            <w:r w:rsidRPr="00375E04">
              <w:t>-</w:t>
            </w:r>
          </w:p>
        </w:tc>
      </w:tr>
      <w:tr w:rsidR="00A967F4" w:rsidRPr="00375E04" w14:paraId="315E5E9C" w14:textId="77777777" w:rsidTr="009436C1">
        <w:trPr>
          <w:trHeight w:val="286"/>
        </w:trPr>
        <w:tc>
          <w:tcPr>
            <w:tcW w:w="2274" w:type="dxa"/>
            <w:vMerge w:val="restart"/>
            <w:vAlign w:val="center"/>
          </w:tcPr>
          <w:p w14:paraId="51F943F7" w14:textId="77777777" w:rsidR="00A967F4" w:rsidRPr="00375E04" w:rsidRDefault="00A967F4" w:rsidP="00591635">
            <w:pPr>
              <w:pStyle w:val="NoSpacing"/>
              <w:jc w:val="center"/>
            </w:pPr>
            <w:r w:rsidRPr="00375E04">
              <w:t>Rugpjūtis</w:t>
            </w:r>
          </w:p>
        </w:tc>
        <w:tc>
          <w:tcPr>
            <w:tcW w:w="3026" w:type="dxa"/>
            <w:vAlign w:val="center"/>
          </w:tcPr>
          <w:p w14:paraId="62B14700" w14:textId="77777777" w:rsidR="00A967F4" w:rsidRPr="00375E04" w:rsidRDefault="00A967F4" w:rsidP="00591635">
            <w:pPr>
              <w:pStyle w:val="NoSpacing"/>
              <w:jc w:val="center"/>
            </w:pPr>
            <w:r w:rsidRPr="00375E04">
              <w:t>Skaičius</w:t>
            </w:r>
          </w:p>
        </w:tc>
        <w:tc>
          <w:tcPr>
            <w:tcW w:w="3920" w:type="dxa"/>
            <w:vAlign w:val="center"/>
          </w:tcPr>
          <w:p w14:paraId="45FDB6E6" w14:textId="77777777" w:rsidR="00A967F4" w:rsidRPr="00375E04" w:rsidRDefault="00A967F4" w:rsidP="00591635">
            <w:pPr>
              <w:pStyle w:val="NoSpacing"/>
              <w:jc w:val="center"/>
            </w:pPr>
            <w:r w:rsidRPr="00375E04">
              <w:t>2 (konferencija, seminaras)</w:t>
            </w:r>
          </w:p>
        </w:tc>
      </w:tr>
      <w:tr w:rsidR="00A967F4" w:rsidRPr="00375E04" w14:paraId="37A27080" w14:textId="77777777" w:rsidTr="009436C1">
        <w:trPr>
          <w:trHeight w:val="286"/>
        </w:trPr>
        <w:tc>
          <w:tcPr>
            <w:tcW w:w="2274" w:type="dxa"/>
            <w:vMerge/>
            <w:vAlign w:val="center"/>
          </w:tcPr>
          <w:p w14:paraId="0C606456" w14:textId="77777777" w:rsidR="00A967F4" w:rsidRPr="00375E04" w:rsidRDefault="00A967F4" w:rsidP="00591635">
            <w:pPr>
              <w:pStyle w:val="NoSpacing"/>
              <w:jc w:val="center"/>
            </w:pPr>
          </w:p>
        </w:tc>
        <w:tc>
          <w:tcPr>
            <w:tcW w:w="3026" w:type="dxa"/>
            <w:vAlign w:val="center"/>
          </w:tcPr>
          <w:p w14:paraId="68F5ECAA" w14:textId="77777777" w:rsidR="00A967F4" w:rsidRPr="00375E04" w:rsidRDefault="00A967F4" w:rsidP="00591635">
            <w:pPr>
              <w:pStyle w:val="NoSpacing"/>
              <w:jc w:val="center"/>
            </w:pPr>
            <w:r w:rsidRPr="00375E04">
              <w:t>Vertė</w:t>
            </w:r>
          </w:p>
        </w:tc>
        <w:tc>
          <w:tcPr>
            <w:tcW w:w="3920" w:type="dxa"/>
            <w:vAlign w:val="center"/>
          </w:tcPr>
          <w:p w14:paraId="3D852327" w14:textId="77777777" w:rsidR="00A967F4" w:rsidRPr="00375E04" w:rsidRDefault="00A967F4" w:rsidP="00591635">
            <w:pPr>
              <w:pStyle w:val="NoSpacing"/>
              <w:jc w:val="center"/>
            </w:pPr>
            <w:r w:rsidRPr="00375E04">
              <w:t>39142,00 Eur</w:t>
            </w:r>
          </w:p>
        </w:tc>
      </w:tr>
      <w:tr w:rsidR="00A967F4" w:rsidRPr="00375E04" w14:paraId="4C42D81A" w14:textId="77777777" w:rsidTr="009436C1">
        <w:trPr>
          <w:trHeight w:val="297"/>
        </w:trPr>
        <w:tc>
          <w:tcPr>
            <w:tcW w:w="2274" w:type="dxa"/>
            <w:vMerge w:val="restart"/>
            <w:vAlign w:val="center"/>
          </w:tcPr>
          <w:p w14:paraId="6DC2B677" w14:textId="77777777" w:rsidR="00A967F4" w:rsidRPr="00375E04" w:rsidRDefault="00A967F4" w:rsidP="00591635">
            <w:pPr>
              <w:pStyle w:val="NoSpacing"/>
              <w:jc w:val="center"/>
            </w:pPr>
            <w:r w:rsidRPr="00375E04">
              <w:t>Rugsėjis</w:t>
            </w:r>
          </w:p>
        </w:tc>
        <w:tc>
          <w:tcPr>
            <w:tcW w:w="3026" w:type="dxa"/>
            <w:vAlign w:val="center"/>
          </w:tcPr>
          <w:p w14:paraId="61DED682" w14:textId="77777777" w:rsidR="00A967F4" w:rsidRPr="00375E04" w:rsidRDefault="00A967F4" w:rsidP="00591635">
            <w:pPr>
              <w:pStyle w:val="NoSpacing"/>
              <w:jc w:val="center"/>
            </w:pPr>
            <w:r w:rsidRPr="00375E04">
              <w:t>Skaičius</w:t>
            </w:r>
          </w:p>
        </w:tc>
        <w:tc>
          <w:tcPr>
            <w:tcW w:w="3920" w:type="dxa"/>
            <w:vAlign w:val="center"/>
          </w:tcPr>
          <w:p w14:paraId="3CD82CFE" w14:textId="11852D85" w:rsidR="00A967F4" w:rsidRPr="00375E04" w:rsidRDefault="00A967F4" w:rsidP="00591635">
            <w:pPr>
              <w:pStyle w:val="NoSpacing"/>
              <w:jc w:val="center"/>
            </w:pPr>
            <w:r w:rsidRPr="00375E04">
              <w:t xml:space="preserve">5 (seminarai </w:t>
            </w:r>
            <w:r w:rsidR="006B2FF3">
              <w:rPr>
                <w:rFonts w:cstheme="minorHAnsi"/>
              </w:rPr>
              <w:t>×</w:t>
            </w:r>
            <w:r w:rsidRPr="00375E04">
              <w:t xml:space="preserve">2, konferencijos </w:t>
            </w:r>
            <w:r w:rsidR="006B2FF3">
              <w:rPr>
                <w:rFonts w:cstheme="minorHAnsi"/>
              </w:rPr>
              <w:t>×</w:t>
            </w:r>
            <w:r w:rsidRPr="00375E04">
              <w:t>2, reprezentacinis)</w:t>
            </w:r>
          </w:p>
        </w:tc>
      </w:tr>
      <w:tr w:rsidR="00A967F4" w:rsidRPr="00375E04" w14:paraId="002A8560" w14:textId="77777777" w:rsidTr="009436C1">
        <w:trPr>
          <w:trHeight w:val="297"/>
        </w:trPr>
        <w:tc>
          <w:tcPr>
            <w:tcW w:w="2274" w:type="dxa"/>
            <w:vMerge/>
            <w:vAlign w:val="center"/>
          </w:tcPr>
          <w:p w14:paraId="3B693064" w14:textId="77777777" w:rsidR="00A967F4" w:rsidRPr="00375E04" w:rsidRDefault="00A967F4" w:rsidP="00591635">
            <w:pPr>
              <w:pStyle w:val="NoSpacing"/>
              <w:jc w:val="center"/>
            </w:pPr>
          </w:p>
        </w:tc>
        <w:tc>
          <w:tcPr>
            <w:tcW w:w="3026" w:type="dxa"/>
            <w:vAlign w:val="center"/>
          </w:tcPr>
          <w:p w14:paraId="4D724917" w14:textId="77777777" w:rsidR="00A967F4" w:rsidRPr="00375E04" w:rsidRDefault="00A967F4" w:rsidP="00591635">
            <w:pPr>
              <w:pStyle w:val="NoSpacing"/>
              <w:jc w:val="center"/>
            </w:pPr>
            <w:r w:rsidRPr="00375E04">
              <w:t>Vertė</w:t>
            </w:r>
          </w:p>
        </w:tc>
        <w:tc>
          <w:tcPr>
            <w:tcW w:w="3920" w:type="dxa"/>
            <w:vAlign w:val="center"/>
          </w:tcPr>
          <w:p w14:paraId="346ACC40" w14:textId="77777777" w:rsidR="00A967F4" w:rsidRPr="00375E04" w:rsidRDefault="00A967F4" w:rsidP="00591635">
            <w:pPr>
              <w:pStyle w:val="NoSpacing"/>
              <w:jc w:val="center"/>
            </w:pPr>
            <w:r w:rsidRPr="00375E04">
              <w:t>59698,00 Eur</w:t>
            </w:r>
          </w:p>
        </w:tc>
      </w:tr>
      <w:tr w:rsidR="00A967F4" w:rsidRPr="00375E04" w14:paraId="0FA6FFA4" w14:textId="77777777" w:rsidTr="009436C1">
        <w:trPr>
          <w:trHeight w:val="316"/>
        </w:trPr>
        <w:tc>
          <w:tcPr>
            <w:tcW w:w="2274" w:type="dxa"/>
            <w:vMerge w:val="restart"/>
            <w:vAlign w:val="center"/>
          </w:tcPr>
          <w:p w14:paraId="7A4B6A58" w14:textId="77777777" w:rsidR="00A967F4" w:rsidRPr="00375E04" w:rsidRDefault="00A967F4" w:rsidP="00591635">
            <w:pPr>
              <w:pStyle w:val="NoSpacing"/>
              <w:jc w:val="center"/>
            </w:pPr>
            <w:r w:rsidRPr="00375E04">
              <w:t>Spalis</w:t>
            </w:r>
          </w:p>
        </w:tc>
        <w:tc>
          <w:tcPr>
            <w:tcW w:w="3026" w:type="dxa"/>
            <w:vAlign w:val="center"/>
          </w:tcPr>
          <w:p w14:paraId="3A3BB432" w14:textId="77777777" w:rsidR="00A967F4" w:rsidRPr="00375E04" w:rsidRDefault="00A967F4" w:rsidP="00591635">
            <w:pPr>
              <w:pStyle w:val="NoSpacing"/>
              <w:jc w:val="center"/>
            </w:pPr>
            <w:r w:rsidRPr="00375E04">
              <w:t>Skaičius</w:t>
            </w:r>
          </w:p>
        </w:tc>
        <w:tc>
          <w:tcPr>
            <w:tcW w:w="3920" w:type="dxa"/>
            <w:vAlign w:val="center"/>
          </w:tcPr>
          <w:p w14:paraId="1F7CBE8E" w14:textId="77777777" w:rsidR="00A967F4" w:rsidRPr="00375E04" w:rsidRDefault="00A967F4" w:rsidP="00591635">
            <w:pPr>
              <w:pStyle w:val="NoSpacing"/>
              <w:jc w:val="center"/>
            </w:pPr>
            <w:r w:rsidRPr="00375E04">
              <w:t>1 (konferencija)</w:t>
            </w:r>
          </w:p>
        </w:tc>
      </w:tr>
      <w:tr w:rsidR="00A967F4" w:rsidRPr="00375E04" w14:paraId="4529A0C0" w14:textId="77777777" w:rsidTr="009436C1">
        <w:trPr>
          <w:trHeight w:val="350"/>
        </w:trPr>
        <w:tc>
          <w:tcPr>
            <w:tcW w:w="2274" w:type="dxa"/>
            <w:vMerge/>
            <w:vAlign w:val="center"/>
          </w:tcPr>
          <w:p w14:paraId="14A9F6F2" w14:textId="77777777" w:rsidR="00A967F4" w:rsidRPr="00375E04" w:rsidRDefault="00A967F4" w:rsidP="00591635">
            <w:pPr>
              <w:pStyle w:val="NoSpacing"/>
              <w:jc w:val="center"/>
            </w:pPr>
          </w:p>
        </w:tc>
        <w:tc>
          <w:tcPr>
            <w:tcW w:w="3026" w:type="dxa"/>
            <w:vAlign w:val="center"/>
          </w:tcPr>
          <w:p w14:paraId="57735683" w14:textId="77777777" w:rsidR="00A967F4" w:rsidRPr="00375E04" w:rsidRDefault="00A967F4" w:rsidP="00591635">
            <w:pPr>
              <w:pStyle w:val="NoSpacing"/>
              <w:jc w:val="center"/>
            </w:pPr>
            <w:r w:rsidRPr="00375E04">
              <w:t>Vertė</w:t>
            </w:r>
          </w:p>
        </w:tc>
        <w:tc>
          <w:tcPr>
            <w:tcW w:w="3920" w:type="dxa"/>
            <w:vAlign w:val="center"/>
          </w:tcPr>
          <w:p w14:paraId="7ECACD0E" w14:textId="77777777" w:rsidR="00A967F4" w:rsidRPr="00375E04" w:rsidRDefault="00A967F4" w:rsidP="00591635">
            <w:pPr>
              <w:pStyle w:val="NoSpacing"/>
              <w:jc w:val="center"/>
            </w:pPr>
            <w:r w:rsidRPr="00375E04">
              <w:t>10675,00</w:t>
            </w:r>
          </w:p>
        </w:tc>
      </w:tr>
      <w:tr w:rsidR="00A967F4" w:rsidRPr="00375E04" w14:paraId="2EA2E154" w14:textId="77777777" w:rsidTr="009436C1">
        <w:trPr>
          <w:trHeight w:val="411"/>
        </w:trPr>
        <w:tc>
          <w:tcPr>
            <w:tcW w:w="2274" w:type="dxa"/>
            <w:vMerge w:val="restart"/>
            <w:vAlign w:val="center"/>
          </w:tcPr>
          <w:p w14:paraId="6908B998" w14:textId="77777777" w:rsidR="00A967F4" w:rsidRPr="00375E04" w:rsidRDefault="00A967F4" w:rsidP="00591635">
            <w:pPr>
              <w:pStyle w:val="NoSpacing"/>
              <w:jc w:val="center"/>
            </w:pPr>
            <w:r w:rsidRPr="00375E04">
              <w:t>Lapkriti</w:t>
            </w:r>
          </w:p>
        </w:tc>
        <w:tc>
          <w:tcPr>
            <w:tcW w:w="3026" w:type="dxa"/>
            <w:vAlign w:val="center"/>
          </w:tcPr>
          <w:p w14:paraId="0EC4DFE0" w14:textId="77777777" w:rsidR="00A967F4" w:rsidRPr="00375E04" w:rsidRDefault="00A967F4" w:rsidP="00591635">
            <w:pPr>
              <w:pStyle w:val="NoSpacing"/>
              <w:jc w:val="center"/>
            </w:pPr>
            <w:r w:rsidRPr="00375E04">
              <w:t>Skaičius</w:t>
            </w:r>
          </w:p>
        </w:tc>
        <w:tc>
          <w:tcPr>
            <w:tcW w:w="3920" w:type="dxa"/>
            <w:vAlign w:val="center"/>
          </w:tcPr>
          <w:p w14:paraId="31CD5E2E" w14:textId="548DB7D9" w:rsidR="00A967F4" w:rsidRPr="00375E04" w:rsidRDefault="00A967F4" w:rsidP="00591635">
            <w:pPr>
              <w:pStyle w:val="NoSpacing"/>
              <w:jc w:val="center"/>
            </w:pPr>
            <w:r w:rsidRPr="00375E04">
              <w:t xml:space="preserve">6 (seminarai </w:t>
            </w:r>
            <w:r w:rsidR="006B2FF3">
              <w:rPr>
                <w:rFonts w:cstheme="minorHAnsi"/>
              </w:rPr>
              <w:t>×</w:t>
            </w:r>
            <w:r w:rsidRPr="00375E04">
              <w:t xml:space="preserve">3, konferencijos </w:t>
            </w:r>
            <w:r w:rsidR="006B2FF3">
              <w:rPr>
                <w:rFonts w:cstheme="minorHAnsi"/>
              </w:rPr>
              <w:t>×</w:t>
            </w:r>
            <w:r w:rsidRPr="00375E04">
              <w:t>3)</w:t>
            </w:r>
          </w:p>
        </w:tc>
      </w:tr>
      <w:tr w:rsidR="00A967F4" w:rsidRPr="00375E04" w14:paraId="30617405" w14:textId="77777777" w:rsidTr="009436C1">
        <w:trPr>
          <w:trHeight w:val="441"/>
        </w:trPr>
        <w:tc>
          <w:tcPr>
            <w:tcW w:w="2274" w:type="dxa"/>
            <w:vMerge/>
            <w:vAlign w:val="center"/>
          </w:tcPr>
          <w:p w14:paraId="39AB2C75" w14:textId="77777777" w:rsidR="00A967F4" w:rsidRPr="00375E04" w:rsidRDefault="00A967F4" w:rsidP="00591635">
            <w:pPr>
              <w:pStyle w:val="NoSpacing"/>
              <w:jc w:val="center"/>
            </w:pPr>
          </w:p>
        </w:tc>
        <w:tc>
          <w:tcPr>
            <w:tcW w:w="3026" w:type="dxa"/>
            <w:vAlign w:val="center"/>
          </w:tcPr>
          <w:p w14:paraId="76D54F48" w14:textId="77777777" w:rsidR="00A967F4" w:rsidRPr="00375E04" w:rsidRDefault="00A967F4" w:rsidP="00591635">
            <w:pPr>
              <w:pStyle w:val="NoSpacing"/>
              <w:jc w:val="center"/>
            </w:pPr>
            <w:r w:rsidRPr="00375E04">
              <w:t>Vertė</w:t>
            </w:r>
          </w:p>
        </w:tc>
        <w:tc>
          <w:tcPr>
            <w:tcW w:w="3920" w:type="dxa"/>
            <w:vAlign w:val="center"/>
          </w:tcPr>
          <w:p w14:paraId="704F61A2" w14:textId="77777777" w:rsidR="00A967F4" w:rsidRPr="00375E04" w:rsidRDefault="00A967F4" w:rsidP="00591635">
            <w:pPr>
              <w:pStyle w:val="NoSpacing"/>
              <w:jc w:val="center"/>
            </w:pPr>
            <w:r w:rsidRPr="00375E04">
              <w:t>23285,00 Eur</w:t>
            </w:r>
          </w:p>
        </w:tc>
      </w:tr>
      <w:tr w:rsidR="00A967F4" w:rsidRPr="00375E04" w14:paraId="2DAB0771" w14:textId="77777777" w:rsidTr="009436C1">
        <w:trPr>
          <w:trHeight w:val="422"/>
        </w:trPr>
        <w:tc>
          <w:tcPr>
            <w:tcW w:w="2274" w:type="dxa"/>
            <w:vMerge w:val="restart"/>
            <w:vAlign w:val="center"/>
          </w:tcPr>
          <w:p w14:paraId="25ACBA83" w14:textId="77777777" w:rsidR="00A967F4" w:rsidRPr="00375E04" w:rsidRDefault="00A967F4" w:rsidP="00591635">
            <w:pPr>
              <w:pStyle w:val="NoSpacing"/>
              <w:jc w:val="center"/>
            </w:pPr>
            <w:r w:rsidRPr="00375E04">
              <w:t>Gruodis</w:t>
            </w:r>
          </w:p>
        </w:tc>
        <w:tc>
          <w:tcPr>
            <w:tcW w:w="3026" w:type="dxa"/>
            <w:vAlign w:val="center"/>
          </w:tcPr>
          <w:p w14:paraId="6E7BED22" w14:textId="77777777" w:rsidR="00A967F4" w:rsidRPr="00375E04" w:rsidRDefault="00A967F4" w:rsidP="00591635">
            <w:pPr>
              <w:pStyle w:val="NoSpacing"/>
              <w:jc w:val="center"/>
            </w:pPr>
            <w:r w:rsidRPr="00375E04">
              <w:t>Skaičius</w:t>
            </w:r>
          </w:p>
        </w:tc>
        <w:tc>
          <w:tcPr>
            <w:tcW w:w="3920" w:type="dxa"/>
            <w:vAlign w:val="center"/>
          </w:tcPr>
          <w:p w14:paraId="23451E60" w14:textId="77777777" w:rsidR="00A967F4" w:rsidRPr="00375E04" w:rsidRDefault="00A967F4" w:rsidP="00591635">
            <w:pPr>
              <w:pStyle w:val="NoSpacing"/>
              <w:jc w:val="center"/>
            </w:pPr>
            <w:r w:rsidRPr="00375E04">
              <w:t>1 (reprezentacinis)</w:t>
            </w:r>
          </w:p>
        </w:tc>
      </w:tr>
      <w:tr w:rsidR="00A967F4" w:rsidRPr="00375E04" w14:paraId="31B10CC9" w14:textId="77777777" w:rsidTr="009436C1">
        <w:trPr>
          <w:trHeight w:val="433"/>
        </w:trPr>
        <w:tc>
          <w:tcPr>
            <w:tcW w:w="2274" w:type="dxa"/>
            <w:vMerge/>
            <w:vAlign w:val="center"/>
          </w:tcPr>
          <w:p w14:paraId="1549473B" w14:textId="77777777" w:rsidR="00A967F4" w:rsidRPr="00375E04" w:rsidRDefault="00A967F4" w:rsidP="00591635">
            <w:pPr>
              <w:pStyle w:val="NoSpacing"/>
              <w:jc w:val="center"/>
            </w:pPr>
          </w:p>
        </w:tc>
        <w:tc>
          <w:tcPr>
            <w:tcW w:w="3026" w:type="dxa"/>
            <w:vAlign w:val="center"/>
          </w:tcPr>
          <w:p w14:paraId="373E595B" w14:textId="77777777" w:rsidR="00A967F4" w:rsidRPr="00375E04" w:rsidRDefault="00A967F4" w:rsidP="00591635">
            <w:pPr>
              <w:pStyle w:val="NoSpacing"/>
              <w:jc w:val="center"/>
            </w:pPr>
            <w:r w:rsidRPr="00375E04">
              <w:t>Vertė</w:t>
            </w:r>
          </w:p>
        </w:tc>
        <w:tc>
          <w:tcPr>
            <w:tcW w:w="3920" w:type="dxa"/>
            <w:vAlign w:val="center"/>
          </w:tcPr>
          <w:p w14:paraId="6DF6D75D" w14:textId="77777777" w:rsidR="00A967F4" w:rsidRPr="00375E04" w:rsidRDefault="00A967F4" w:rsidP="00591635">
            <w:pPr>
              <w:pStyle w:val="NoSpacing"/>
              <w:jc w:val="center"/>
            </w:pPr>
            <w:r w:rsidRPr="00375E04">
              <w:t>3000,00 Eur</w:t>
            </w:r>
          </w:p>
        </w:tc>
      </w:tr>
    </w:tbl>
    <w:p w14:paraId="70445A8D" w14:textId="77777777" w:rsidR="00A967F4" w:rsidRPr="00375E04" w:rsidRDefault="00A967F4" w:rsidP="00A967F4">
      <w:pPr>
        <w:spacing w:after="0" w:line="240" w:lineRule="auto"/>
        <w:jc w:val="center"/>
        <w:rPr>
          <w:rFonts w:cstheme="minorHAnsi"/>
          <w:b/>
          <w:bCs/>
          <w:smallCaps/>
        </w:rPr>
      </w:pPr>
      <w:r w:rsidRPr="00375E04">
        <w:rPr>
          <w:rFonts w:eastAsiaTheme="minorHAnsi" w:cstheme="minorHAnsi"/>
          <w:lang w:eastAsia="en-US"/>
        </w:rPr>
        <w:t>__________</w:t>
      </w:r>
    </w:p>
    <w:p w14:paraId="1796E4D3" w14:textId="77777777" w:rsidR="00591635" w:rsidRDefault="00A967F4" w:rsidP="00C8166C">
      <w:pPr>
        <w:pStyle w:val="ListParagraph"/>
        <w:numPr>
          <w:ilvl w:val="0"/>
          <w:numId w:val="4"/>
        </w:numPr>
        <w:spacing w:line="259" w:lineRule="auto"/>
        <w:rPr>
          <w:rFonts w:cstheme="minorHAnsi"/>
          <w:bCs/>
          <w:sz w:val="21"/>
          <w:szCs w:val="21"/>
        </w:rPr>
        <w:sectPr w:rsidR="00591635">
          <w:pgSz w:w="11906" w:h="16838"/>
          <w:pgMar w:top="1701" w:right="567" w:bottom="1134" w:left="1701" w:header="567" w:footer="567" w:gutter="0"/>
          <w:cols w:space="1296"/>
          <w:docGrid w:linePitch="360"/>
        </w:sectPr>
      </w:pPr>
      <w:r w:rsidRPr="00375E04">
        <w:rPr>
          <w:rFonts w:cstheme="minorHAnsi"/>
          <w:bCs/>
          <w:sz w:val="21"/>
          <w:szCs w:val="21"/>
        </w:rPr>
        <w:br w:type="page"/>
      </w:r>
    </w:p>
    <w:p w14:paraId="25D0530D" w14:textId="77777777" w:rsidR="00A967F4" w:rsidRPr="00375E04" w:rsidRDefault="00A967F4" w:rsidP="00A967F4">
      <w:pPr>
        <w:spacing w:after="0" w:line="360" w:lineRule="auto"/>
        <w:jc w:val="center"/>
        <w:rPr>
          <w:rFonts w:cstheme="minorHAnsi"/>
          <w:b/>
        </w:rPr>
      </w:pPr>
      <w:r w:rsidRPr="00375E04">
        <w:rPr>
          <w:rFonts w:cstheme="minorHAnsi"/>
          <w:b/>
        </w:rPr>
        <w:lastRenderedPageBreak/>
        <w:t>Švietimo mainų paramos fondo organizuojami renginių tipai:</w:t>
      </w:r>
    </w:p>
    <w:p w14:paraId="440EDE22" w14:textId="77777777" w:rsidR="00A967F4" w:rsidRPr="00375E04" w:rsidRDefault="00A967F4" w:rsidP="00A967F4">
      <w:pPr>
        <w:spacing w:after="0" w:line="360" w:lineRule="auto"/>
        <w:jc w:val="both"/>
        <w:rPr>
          <w:rFonts w:cstheme="minorHAnsi"/>
          <w:b/>
        </w:rPr>
      </w:pPr>
    </w:p>
    <w:p w14:paraId="096C91FA" w14:textId="77777777" w:rsidR="00A967F4" w:rsidRPr="00375E04" w:rsidRDefault="00A967F4" w:rsidP="00375E04">
      <w:pPr>
        <w:pStyle w:val="ListParagraph"/>
        <w:numPr>
          <w:ilvl w:val="0"/>
          <w:numId w:val="3"/>
        </w:numPr>
        <w:spacing w:after="0"/>
        <w:jc w:val="both"/>
        <w:rPr>
          <w:rFonts w:cstheme="minorHAnsi"/>
          <w:sz w:val="21"/>
          <w:szCs w:val="21"/>
        </w:rPr>
      </w:pPr>
      <w:r w:rsidRPr="00375E04">
        <w:rPr>
          <w:rFonts w:cstheme="minorHAnsi"/>
          <w:b/>
          <w:sz w:val="21"/>
          <w:szCs w:val="21"/>
        </w:rPr>
        <w:t xml:space="preserve">Parodos </w:t>
      </w:r>
      <w:r w:rsidRPr="00375E04">
        <w:rPr>
          <w:rFonts w:cstheme="minorHAnsi"/>
          <w:sz w:val="21"/>
          <w:szCs w:val="21"/>
        </w:rPr>
        <w:t>–</w:t>
      </w:r>
      <w:r w:rsidRPr="00375E04">
        <w:rPr>
          <w:rFonts w:cstheme="minorHAnsi"/>
          <w:b/>
          <w:sz w:val="21"/>
          <w:szCs w:val="21"/>
        </w:rPr>
        <w:t xml:space="preserve"> </w:t>
      </w:r>
      <w:r w:rsidRPr="00375E04">
        <w:rPr>
          <w:rFonts w:cstheme="minorHAnsi"/>
          <w:sz w:val="21"/>
          <w:szCs w:val="21"/>
        </w:rPr>
        <w:t>vieši, Lietuvoje vykstantys renginiai, kurių metų renginio organizatorius ne tik pristato idėją, bet ir suderinęs su PO sukuria koncepciją, rūpinasi pilnu techniniu ir kūrybiniu išpildymu, rūpinasi renginio eiga, prezentuoja organizacijos prekinį ženklą. Parodų metu pristatomos naujos švietimo programos tikslinei auditorijai.</w:t>
      </w:r>
    </w:p>
    <w:p w14:paraId="2528CC35" w14:textId="60710419" w:rsidR="00A967F4" w:rsidRPr="00375E04" w:rsidRDefault="00A967F4" w:rsidP="00375E04">
      <w:pPr>
        <w:pStyle w:val="ListParagraph"/>
        <w:numPr>
          <w:ilvl w:val="0"/>
          <w:numId w:val="3"/>
        </w:numPr>
        <w:spacing w:after="0"/>
        <w:jc w:val="both"/>
        <w:rPr>
          <w:rFonts w:cstheme="minorHAnsi"/>
          <w:sz w:val="21"/>
          <w:szCs w:val="21"/>
        </w:rPr>
      </w:pPr>
      <w:r w:rsidRPr="00375E04">
        <w:rPr>
          <w:rFonts w:cstheme="minorHAnsi"/>
          <w:b/>
          <w:sz w:val="21"/>
          <w:szCs w:val="21"/>
        </w:rPr>
        <w:t>Reprezentaciniai</w:t>
      </w:r>
      <w:r w:rsidRPr="00375E04">
        <w:rPr>
          <w:rFonts w:cstheme="minorHAnsi"/>
          <w:sz w:val="21"/>
          <w:szCs w:val="21"/>
        </w:rPr>
        <w:t xml:space="preserve"> – oficialūs, iškilmingi, dažniausiai vienos dienos iki 200 asmenų renginiai, vykstantys netradicinėje erdvėje, kurių metu atstovaujama organizacija</w:t>
      </w:r>
      <w:r w:rsidR="00E17621" w:rsidRPr="00375E04">
        <w:rPr>
          <w:rFonts w:cstheme="minorHAnsi"/>
          <w:sz w:val="21"/>
          <w:szCs w:val="21"/>
        </w:rPr>
        <w:t>, šalis</w:t>
      </w:r>
      <w:r w:rsidRPr="00375E04">
        <w:rPr>
          <w:rFonts w:cstheme="minorHAnsi"/>
          <w:sz w:val="21"/>
          <w:szCs w:val="21"/>
        </w:rPr>
        <w:t>. Tokiems renginiams reikalingas vedėjas, įkvepiantys pranešėjai, rengiama kultūrinė programa, užsakomos maitinimo</w:t>
      </w:r>
      <w:r w:rsidR="00E17621" w:rsidRPr="00375E04">
        <w:rPr>
          <w:rFonts w:cstheme="minorHAnsi"/>
          <w:sz w:val="21"/>
          <w:szCs w:val="21"/>
        </w:rPr>
        <w:t>, logistikos</w:t>
      </w:r>
      <w:r w:rsidRPr="00375E04">
        <w:rPr>
          <w:rFonts w:cstheme="minorHAnsi"/>
          <w:sz w:val="21"/>
          <w:szCs w:val="21"/>
        </w:rPr>
        <w:t xml:space="preserve"> ir kitos su renginio įgyvendinimu susijusios paslaugos.</w:t>
      </w:r>
      <w:r w:rsidR="002C7238" w:rsidRPr="00375E04">
        <w:rPr>
          <w:rFonts w:cstheme="minorHAnsi"/>
          <w:sz w:val="21"/>
          <w:szCs w:val="21"/>
        </w:rPr>
        <w:t xml:space="preserve"> Į šią kategoriją patenka ir pirmininkavimo renginiai, kurie planuojami 2027 m pirmame pusmetyje. </w:t>
      </w:r>
    </w:p>
    <w:p w14:paraId="292EE36C" w14:textId="77777777" w:rsidR="00A967F4" w:rsidRPr="00375E04" w:rsidRDefault="00A967F4" w:rsidP="00375E04">
      <w:pPr>
        <w:pStyle w:val="ListParagraph"/>
        <w:numPr>
          <w:ilvl w:val="0"/>
          <w:numId w:val="3"/>
        </w:numPr>
        <w:spacing w:after="0"/>
        <w:jc w:val="both"/>
        <w:rPr>
          <w:rFonts w:cstheme="minorHAnsi"/>
          <w:sz w:val="21"/>
          <w:szCs w:val="21"/>
        </w:rPr>
      </w:pPr>
      <w:r w:rsidRPr="00375E04">
        <w:rPr>
          <w:rFonts w:cstheme="minorHAnsi"/>
          <w:b/>
          <w:sz w:val="21"/>
          <w:szCs w:val="21"/>
        </w:rPr>
        <w:t xml:space="preserve">Konferencijos </w:t>
      </w:r>
      <w:r w:rsidRPr="00375E04">
        <w:rPr>
          <w:rFonts w:cstheme="minorHAnsi"/>
          <w:sz w:val="21"/>
          <w:szCs w:val="21"/>
        </w:rPr>
        <w:t xml:space="preserve">– vienos arba kelių dienų renginys iki 200 asmenų, organizuojamas viešbutyje arba kitoje erdvėje, kurio metu reikalingas maitinimas, užsakomi renginio vedėjai, pranešėjai, kuriama renginio koncepcija, užsakoma reikalinga įranga pilnam renginio išpildymui. </w:t>
      </w:r>
    </w:p>
    <w:p w14:paraId="06D77BBB" w14:textId="77777777" w:rsidR="00A967F4" w:rsidRPr="00375E04" w:rsidRDefault="00A967F4" w:rsidP="00375E04">
      <w:pPr>
        <w:pStyle w:val="ListParagraph"/>
        <w:numPr>
          <w:ilvl w:val="0"/>
          <w:numId w:val="2"/>
        </w:numPr>
        <w:spacing w:after="0"/>
        <w:jc w:val="both"/>
        <w:rPr>
          <w:rFonts w:cstheme="minorHAnsi"/>
          <w:sz w:val="21"/>
          <w:szCs w:val="21"/>
        </w:rPr>
      </w:pPr>
      <w:r w:rsidRPr="00375E04">
        <w:rPr>
          <w:rFonts w:cstheme="minorHAnsi"/>
          <w:b/>
          <w:sz w:val="21"/>
          <w:szCs w:val="21"/>
        </w:rPr>
        <w:t>Seminarai, mokymai</w:t>
      </w:r>
      <w:r w:rsidRPr="00375E04">
        <w:rPr>
          <w:rFonts w:cstheme="minorHAnsi"/>
          <w:sz w:val="21"/>
          <w:szCs w:val="21"/>
        </w:rPr>
        <w:t xml:space="preserve"> – mažesnės apimties iki 100 asmenų renginiai, dažniausiai vykstantys vieną arba dvi dienas, kurių metų reikalingas maitinimas, techninės paslaugos, nakvynės rezervacijos, pranešėjų ir renginio vedėjų paieška ir kitos renginio įgyvendinimui reikiamos paslaugos (tiesioginės transliacijos paslaugos, vertimas į lietuvių kalbą, maketavimo, spaudos darbai ir kt.)</w:t>
      </w:r>
    </w:p>
    <w:p w14:paraId="13B27214" w14:textId="77777777" w:rsidR="00A967F4" w:rsidRPr="00375E04" w:rsidRDefault="00A967F4" w:rsidP="00375E04">
      <w:pPr>
        <w:pStyle w:val="ListParagraph"/>
        <w:numPr>
          <w:ilvl w:val="0"/>
          <w:numId w:val="2"/>
        </w:numPr>
        <w:spacing w:after="0"/>
        <w:jc w:val="both"/>
        <w:rPr>
          <w:rFonts w:cstheme="minorHAnsi"/>
          <w:sz w:val="21"/>
          <w:szCs w:val="21"/>
        </w:rPr>
      </w:pPr>
      <w:r w:rsidRPr="00375E04">
        <w:rPr>
          <w:rFonts w:cstheme="minorHAnsi"/>
          <w:b/>
          <w:sz w:val="21"/>
          <w:szCs w:val="21"/>
        </w:rPr>
        <w:t xml:space="preserve">ŠMPF partnerių organizuojami renginiai </w:t>
      </w:r>
      <w:r w:rsidRPr="00375E04">
        <w:rPr>
          <w:rFonts w:cstheme="minorHAnsi"/>
          <w:sz w:val="21"/>
          <w:szCs w:val="21"/>
        </w:rPr>
        <w:t>– tai tokie renginiai, kuriuos organizuoja ŠMPF partnerinės organizacijos, o ŠMPF prie renginio įgyvendinimo ir organizavimo prisideda finansiškai (sąskaitų išrašymas).</w:t>
      </w:r>
    </w:p>
    <w:p w14:paraId="08D06837" w14:textId="1A6C136F" w:rsidR="00A967F4" w:rsidRPr="00591635" w:rsidRDefault="00A967F4" w:rsidP="00591635">
      <w:pPr>
        <w:pStyle w:val="ListParagraph"/>
        <w:numPr>
          <w:ilvl w:val="0"/>
          <w:numId w:val="2"/>
        </w:numPr>
        <w:spacing w:after="0"/>
        <w:jc w:val="both"/>
        <w:rPr>
          <w:rFonts w:cstheme="minorHAnsi"/>
          <w:sz w:val="21"/>
          <w:szCs w:val="21"/>
        </w:rPr>
      </w:pPr>
      <w:r w:rsidRPr="00375E04">
        <w:rPr>
          <w:rFonts w:cstheme="minorHAnsi"/>
          <w:sz w:val="21"/>
          <w:szCs w:val="21"/>
        </w:rPr>
        <w:t>Kitas iš anksto su Perkančiąja organizacija suderintas tipas.</w:t>
      </w:r>
    </w:p>
    <w:p w14:paraId="3E3AB7CF" w14:textId="77777777" w:rsidR="00A967F4" w:rsidRPr="00375E04" w:rsidRDefault="00A967F4" w:rsidP="00A967F4">
      <w:pPr>
        <w:pStyle w:val="ListParagraph"/>
        <w:spacing w:after="0" w:line="360" w:lineRule="auto"/>
        <w:jc w:val="center"/>
        <w:rPr>
          <w:rFonts w:cstheme="minorHAnsi"/>
          <w:b/>
          <w:sz w:val="21"/>
          <w:szCs w:val="21"/>
        </w:rPr>
      </w:pPr>
      <w:r w:rsidRPr="00375E04">
        <w:rPr>
          <w:rFonts w:cstheme="minorHAnsi"/>
          <w:b/>
          <w:sz w:val="21"/>
          <w:szCs w:val="21"/>
        </w:rPr>
        <w:t>A KATEGORIJOS RENGINIAI</w:t>
      </w:r>
    </w:p>
    <w:tbl>
      <w:tblPr>
        <w:tblW w:w="1502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2"/>
        <w:gridCol w:w="2268"/>
        <w:gridCol w:w="2117"/>
        <w:gridCol w:w="2135"/>
        <w:gridCol w:w="2268"/>
        <w:gridCol w:w="2693"/>
      </w:tblGrid>
      <w:tr w:rsidR="00A967F4" w:rsidRPr="00375E04" w14:paraId="792442D6" w14:textId="77777777" w:rsidTr="004A023D">
        <w:trPr>
          <w:trHeight w:val="600"/>
        </w:trPr>
        <w:tc>
          <w:tcPr>
            <w:tcW w:w="988" w:type="dxa"/>
            <w:shd w:val="clear" w:color="auto" w:fill="E7E6E6" w:themeFill="background2"/>
            <w:noWrap/>
            <w:vAlign w:val="bottom"/>
            <w:hideMark/>
          </w:tcPr>
          <w:p w14:paraId="6DAA5205" w14:textId="77777777" w:rsidR="00A967F4" w:rsidRPr="00375E04" w:rsidRDefault="00A967F4" w:rsidP="001F75A5">
            <w:pPr>
              <w:spacing w:after="0" w:line="240" w:lineRule="auto"/>
              <w:rPr>
                <w:rFonts w:eastAsia="Times New Roman" w:cstheme="minorHAnsi"/>
              </w:rPr>
            </w:pPr>
          </w:p>
        </w:tc>
        <w:tc>
          <w:tcPr>
            <w:tcW w:w="2552" w:type="dxa"/>
            <w:shd w:val="clear" w:color="auto" w:fill="E7E6E6" w:themeFill="background2"/>
            <w:vAlign w:val="center"/>
            <w:hideMark/>
          </w:tcPr>
          <w:p w14:paraId="3A197125" w14:textId="77777777"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Kokybės konkursas</w:t>
            </w:r>
          </w:p>
        </w:tc>
        <w:tc>
          <w:tcPr>
            <w:tcW w:w="2268" w:type="dxa"/>
            <w:shd w:val="clear" w:color="auto" w:fill="E7E6E6" w:themeFill="background2"/>
            <w:vAlign w:val="center"/>
            <w:hideMark/>
          </w:tcPr>
          <w:p w14:paraId="7D165E7F" w14:textId="77777777"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eTwinning apdovanojimai</w:t>
            </w:r>
          </w:p>
        </w:tc>
        <w:tc>
          <w:tcPr>
            <w:tcW w:w="2117" w:type="dxa"/>
            <w:shd w:val="clear" w:color="auto" w:fill="E7E6E6" w:themeFill="background2"/>
            <w:vAlign w:val="center"/>
            <w:hideMark/>
          </w:tcPr>
          <w:p w14:paraId="5E3427F8" w14:textId="77777777"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Studijų paroda</w:t>
            </w:r>
          </w:p>
        </w:tc>
        <w:tc>
          <w:tcPr>
            <w:tcW w:w="2135" w:type="dxa"/>
            <w:shd w:val="clear" w:color="auto" w:fill="E7E6E6" w:themeFill="background2"/>
            <w:vAlign w:val="center"/>
            <w:hideMark/>
          </w:tcPr>
          <w:p w14:paraId="11EE3C6C" w14:textId="5BC40C0B" w:rsidR="00A967F4" w:rsidRPr="00375E04" w:rsidRDefault="00E17621" w:rsidP="001F75A5">
            <w:pPr>
              <w:spacing w:after="0" w:line="240" w:lineRule="auto"/>
              <w:jc w:val="center"/>
              <w:rPr>
                <w:rFonts w:eastAsia="Times New Roman" w:cstheme="minorHAnsi"/>
                <w:b/>
                <w:bCs/>
                <w:color w:val="000000"/>
              </w:rPr>
            </w:pPr>
            <w:r w:rsidRPr="00375E04">
              <w:rPr>
                <w:rFonts w:eastAsia="Times New Roman" w:cstheme="minorHAnsi"/>
                <w:b/>
                <w:bCs/>
                <w:color w:val="000000"/>
              </w:rPr>
              <w:t>Pirmininkavimo renginiai</w:t>
            </w:r>
          </w:p>
        </w:tc>
        <w:tc>
          <w:tcPr>
            <w:tcW w:w="2268" w:type="dxa"/>
            <w:shd w:val="clear" w:color="auto" w:fill="E7E6E6" w:themeFill="background2"/>
            <w:vAlign w:val="center"/>
            <w:hideMark/>
          </w:tcPr>
          <w:p w14:paraId="7B90C137" w14:textId="12C76984"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 xml:space="preserve">Nacionalinis Baltijos agentūrų susitikimas </w:t>
            </w:r>
          </w:p>
        </w:tc>
        <w:tc>
          <w:tcPr>
            <w:tcW w:w="2693" w:type="dxa"/>
            <w:shd w:val="clear" w:color="auto" w:fill="E7E6E6" w:themeFill="background2"/>
            <w:vAlign w:val="center"/>
            <w:hideMark/>
          </w:tcPr>
          <w:p w14:paraId="7B514DD8" w14:textId="77777777"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Tarptautiniai kontaktiniai renginiai</w:t>
            </w:r>
          </w:p>
        </w:tc>
      </w:tr>
      <w:tr w:rsidR="00A967F4" w:rsidRPr="00375E04" w14:paraId="30542BC9" w14:textId="77777777" w:rsidTr="004A023D">
        <w:trPr>
          <w:trHeight w:val="2399"/>
        </w:trPr>
        <w:tc>
          <w:tcPr>
            <w:tcW w:w="988" w:type="dxa"/>
            <w:shd w:val="clear" w:color="auto" w:fill="auto"/>
            <w:noWrap/>
            <w:vAlign w:val="center"/>
            <w:hideMark/>
          </w:tcPr>
          <w:p w14:paraId="7F25172E" w14:textId="77777777" w:rsidR="00A967F4" w:rsidRPr="00375E04" w:rsidRDefault="00A967F4" w:rsidP="001F75A5">
            <w:pPr>
              <w:spacing w:after="0" w:line="240" w:lineRule="auto"/>
              <w:jc w:val="center"/>
              <w:rPr>
                <w:rFonts w:eastAsia="Times New Roman" w:cstheme="minorHAnsi"/>
                <w:b/>
                <w:bCs/>
                <w:color w:val="000000"/>
              </w:rPr>
            </w:pPr>
            <w:r w:rsidRPr="00375E04">
              <w:rPr>
                <w:rFonts w:eastAsia="Times New Roman" w:cstheme="minorHAnsi"/>
                <w:b/>
                <w:bCs/>
                <w:color w:val="000000"/>
              </w:rPr>
              <w:t>Aprašymas</w:t>
            </w:r>
          </w:p>
        </w:tc>
        <w:tc>
          <w:tcPr>
            <w:tcW w:w="2552" w:type="dxa"/>
            <w:shd w:val="clear" w:color="auto" w:fill="auto"/>
            <w:hideMark/>
          </w:tcPr>
          <w:p w14:paraId="4CF74143" w14:textId="27AACDCB"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 xml:space="preserve">Kasmetinis, iškilmingas apdovanojimų renginys, skirtas apdovanoti geriausius projektų vykdytojus. Renginys dažniausiai vyksta </w:t>
            </w:r>
            <w:r w:rsidR="002C7238" w:rsidRPr="00375E04">
              <w:rPr>
                <w:rFonts w:eastAsia="Times New Roman" w:cstheme="minorHAnsi"/>
                <w:color w:val="000000"/>
              </w:rPr>
              <w:t>metų pradžioje</w:t>
            </w:r>
            <w:r w:rsidRPr="00375E04">
              <w:rPr>
                <w:rFonts w:eastAsia="Times New Roman" w:cstheme="minorHAnsi"/>
                <w:color w:val="000000"/>
              </w:rPr>
              <w:t>. Dalyvių skaičius iki 1</w:t>
            </w:r>
            <w:r w:rsidR="002C7238" w:rsidRPr="00375E04">
              <w:rPr>
                <w:rFonts w:eastAsia="Times New Roman" w:cstheme="minorHAnsi"/>
                <w:color w:val="000000"/>
              </w:rPr>
              <w:t>00</w:t>
            </w:r>
            <w:r w:rsidRPr="00375E04">
              <w:rPr>
                <w:rFonts w:eastAsia="Times New Roman" w:cstheme="minorHAnsi"/>
                <w:color w:val="000000"/>
              </w:rPr>
              <w:t xml:space="preserve"> asmenų, renginio trukmė apie 3 val. Renginys vyksta Vilniuje, išskirtinėje, kasmet naujoje vietoje. </w:t>
            </w:r>
          </w:p>
        </w:tc>
        <w:tc>
          <w:tcPr>
            <w:tcW w:w="2268" w:type="dxa"/>
            <w:shd w:val="clear" w:color="auto" w:fill="auto"/>
            <w:hideMark/>
          </w:tcPr>
          <w:p w14:paraId="448F836D" w14:textId="3252A5AE"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 xml:space="preserve">Kasmetinis, iškilmingas apdovanojimų renginys, skirtas apdovanoti geriausius projektų vykdytojus (dalyviai yra mokytojai iš visos Lietuvos). Renginys dažniausiai vyksta rugpjūčio mėnesį. Dalyvių skaičius iki 150 asmenų, renginio trukmė iki 3 ar 4 valandų. Renginys vyksta Vilniuje, </w:t>
            </w:r>
            <w:r w:rsidRPr="00375E04">
              <w:rPr>
                <w:rFonts w:eastAsia="Times New Roman" w:cstheme="minorHAnsi"/>
                <w:color w:val="000000"/>
              </w:rPr>
              <w:lastRenderedPageBreak/>
              <w:t>viešbučio salėje ar kitoje, neįprastoje, estetiškoje vietoje.</w:t>
            </w:r>
          </w:p>
        </w:tc>
        <w:tc>
          <w:tcPr>
            <w:tcW w:w="2117" w:type="dxa"/>
            <w:shd w:val="clear" w:color="auto" w:fill="auto"/>
            <w:hideMark/>
          </w:tcPr>
          <w:p w14:paraId="50B1CF81" w14:textId="36ABA274"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lastRenderedPageBreak/>
              <w:t xml:space="preserve">Kasmet vyksta </w:t>
            </w:r>
            <w:r w:rsidR="00375E04">
              <w:rPr>
                <w:rFonts w:eastAsia="Times New Roman" w:cstheme="minorHAnsi"/>
                <w:color w:val="000000"/>
              </w:rPr>
              <w:t>K</w:t>
            </w:r>
            <w:r w:rsidR="002C7238" w:rsidRPr="00375E04">
              <w:rPr>
                <w:rFonts w:eastAsia="Times New Roman" w:cstheme="minorHAnsi"/>
                <w:color w:val="000000"/>
              </w:rPr>
              <w:t>auno Žalgirio arenoje</w:t>
            </w:r>
            <w:r w:rsidRPr="00375E04">
              <w:rPr>
                <w:rFonts w:eastAsia="Times New Roman" w:cstheme="minorHAnsi"/>
                <w:color w:val="000000"/>
              </w:rPr>
              <w:t xml:space="preserve">, pirmame ketvirtyje, paroda vyksta </w:t>
            </w:r>
            <w:r w:rsidR="002C7238" w:rsidRPr="00375E04">
              <w:rPr>
                <w:rFonts w:eastAsia="Times New Roman" w:cstheme="minorHAnsi"/>
                <w:color w:val="000000"/>
              </w:rPr>
              <w:t>vieną dieną</w:t>
            </w:r>
            <w:r w:rsidRPr="00375E04">
              <w:rPr>
                <w:rFonts w:eastAsia="Times New Roman" w:cstheme="minorHAnsi"/>
                <w:color w:val="000000"/>
              </w:rPr>
              <w:t xml:space="preserve">. Sulaukiama gausaus būrio interesantų (mokiniai, mokytojai). Tiekėjų prašome sukurti ir įgyvendinti reprezentatyvų, konceptualų parodos stendo dizainą, kuriame galėtume </w:t>
            </w:r>
            <w:r w:rsidRPr="00375E04">
              <w:rPr>
                <w:rFonts w:eastAsia="Times New Roman" w:cstheme="minorHAnsi"/>
                <w:color w:val="000000"/>
              </w:rPr>
              <w:lastRenderedPageBreak/>
              <w:t>ats</w:t>
            </w:r>
            <w:r w:rsidR="002C7238" w:rsidRPr="00375E04">
              <w:rPr>
                <w:rFonts w:eastAsia="Times New Roman" w:cstheme="minorHAnsi"/>
                <w:color w:val="000000"/>
              </w:rPr>
              <w:t>t</w:t>
            </w:r>
            <w:r w:rsidRPr="00375E04">
              <w:rPr>
                <w:rFonts w:eastAsia="Times New Roman" w:cstheme="minorHAnsi"/>
                <w:color w:val="000000"/>
              </w:rPr>
              <w:t>ovauti savo organizaciją ir administruojamus projektus.</w:t>
            </w:r>
          </w:p>
        </w:tc>
        <w:tc>
          <w:tcPr>
            <w:tcW w:w="2135" w:type="dxa"/>
            <w:shd w:val="clear" w:color="auto" w:fill="auto"/>
            <w:hideMark/>
          </w:tcPr>
          <w:p w14:paraId="27724A23" w14:textId="77777777" w:rsidR="00A967F4" w:rsidRPr="00375E04" w:rsidRDefault="00E17621" w:rsidP="001F75A5">
            <w:pPr>
              <w:spacing w:after="0" w:line="240" w:lineRule="auto"/>
              <w:rPr>
                <w:rFonts w:eastAsia="Times New Roman" w:cstheme="minorHAnsi"/>
                <w:color w:val="000000"/>
              </w:rPr>
            </w:pPr>
            <w:r w:rsidRPr="00375E04">
              <w:rPr>
                <w:rFonts w:eastAsia="Times New Roman" w:cstheme="minorHAnsi"/>
                <w:color w:val="000000"/>
              </w:rPr>
              <w:lastRenderedPageBreak/>
              <w:t>2027 m pirmame pusmetyje Lietuva pirmininkauja ES tarybai. Švietimo mainų paramos fondui pavesta organizuoti vieną (Erasmus + programos konferencija) renginį iš oficialių pirmininkavimo renginių</w:t>
            </w:r>
            <w:r w:rsidR="00A967F4" w:rsidRPr="00375E04">
              <w:rPr>
                <w:rFonts w:eastAsia="Times New Roman" w:cstheme="minorHAnsi"/>
                <w:color w:val="000000"/>
              </w:rPr>
              <w:t xml:space="preserve">. </w:t>
            </w:r>
            <w:r w:rsidRPr="00375E04">
              <w:rPr>
                <w:rFonts w:eastAsia="Times New Roman" w:cstheme="minorHAnsi"/>
                <w:color w:val="000000"/>
              </w:rPr>
              <w:t xml:space="preserve">Taip pat du renginiai: direktorių susitikimas bei </w:t>
            </w:r>
            <w:r w:rsidRPr="00375E04">
              <w:rPr>
                <w:rFonts w:eastAsia="Times New Roman" w:cstheme="minorHAnsi"/>
                <w:color w:val="000000"/>
              </w:rPr>
              <w:lastRenderedPageBreak/>
              <w:t xml:space="preserve">Euroguidance tinklo susitikimas bus organizuojami po pirmininkavimo ženklu, tačiau tai mažesnės kategorijos renginiai nei pirmasis. </w:t>
            </w:r>
          </w:p>
          <w:p w14:paraId="507258B6" w14:textId="6AB70D12" w:rsidR="00E17621" w:rsidRPr="00375E04" w:rsidRDefault="00E17621" w:rsidP="001F75A5">
            <w:pPr>
              <w:spacing w:after="0" w:line="240" w:lineRule="auto"/>
              <w:rPr>
                <w:rFonts w:eastAsia="Times New Roman" w:cstheme="minorHAnsi"/>
                <w:color w:val="000000"/>
              </w:rPr>
            </w:pPr>
            <w:r w:rsidRPr="00375E04">
              <w:rPr>
                <w:rFonts w:eastAsia="Times New Roman" w:cstheme="minorHAnsi"/>
                <w:color w:val="000000"/>
              </w:rPr>
              <w:t>Erasmus+ konferencija - vienos dienos, iškilmingas, reprezentacinis ir protokolinis renginys, 200 dalyvių</w:t>
            </w:r>
            <w:r w:rsidR="00FF381B" w:rsidRPr="00375E04">
              <w:rPr>
                <w:rFonts w:eastAsia="Times New Roman" w:cstheme="minorHAnsi"/>
                <w:color w:val="000000"/>
              </w:rPr>
              <w:t>.</w:t>
            </w:r>
            <w:r w:rsidRPr="00375E04">
              <w:rPr>
                <w:rFonts w:eastAsia="Times New Roman" w:cstheme="minorHAnsi"/>
                <w:color w:val="000000"/>
              </w:rPr>
              <w:t xml:space="preserve"> </w:t>
            </w:r>
          </w:p>
        </w:tc>
        <w:tc>
          <w:tcPr>
            <w:tcW w:w="2268" w:type="dxa"/>
            <w:shd w:val="clear" w:color="auto" w:fill="auto"/>
            <w:hideMark/>
          </w:tcPr>
          <w:p w14:paraId="4DC21795" w14:textId="77777777"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lastRenderedPageBreak/>
              <w:t xml:space="preserve">Rotacijos būdu, kas trejus metus Lietuvoje organizuojamas renginys, kurio metu su kolegomis diskutuojame bei aptariame projektų veiklas ir iššūkius, pristatome kasmetines ataskaitas, nuveiktus darbus, dalijamės patirtimi. Renginyje dalyvauja EE, LV ir LT nacionalinių agentūrų </w:t>
            </w:r>
            <w:r w:rsidRPr="00375E04">
              <w:rPr>
                <w:rFonts w:eastAsia="Times New Roman" w:cstheme="minorHAnsi"/>
                <w:color w:val="000000"/>
              </w:rPr>
              <w:lastRenderedPageBreak/>
              <w:t>darbuotojai. Renginio trukmė 2-3 dienos, jis organizuojamas netradicinėje vietoje (pvz. dvare) ir nebūtinai Vilniaus mieste, dalyvių skaičius apie 100 asm. Gali turėti dalyvio mokestį.</w:t>
            </w:r>
          </w:p>
        </w:tc>
        <w:tc>
          <w:tcPr>
            <w:tcW w:w="2693" w:type="dxa"/>
            <w:shd w:val="clear" w:color="auto" w:fill="auto"/>
            <w:hideMark/>
          </w:tcPr>
          <w:p w14:paraId="2A0F8453" w14:textId="77777777"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lastRenderedPageBreak/>
              <w:t xml:space="preserve">Tokio tipo renginiai dažniausiai vyksta Vilniuje, strategiškai patogioje vietoje, Vilniaus centre, kad būtų patogus susisiekimas. Renginys dažniausiai būna organizuojamas 2-3 dienas, asmenys apgyvendinami vienviečiuose kambariuose. Renginio dalyviai atvyksta iš įvairių Europos šalių, dalyvaujančiųjų skaičius yra iki 80 asmenų. Tokio tipo renginiai organizuojami 1-3 </w:t>
            </w:r>
            <w:r w:rsidRPr="00375E04">
              <w:rPr>
                <w:rFonts w:eastAsia="Times New Roman" w:cstheme="minorHAnsi"/>
                <w:color w:val="000000"/>
              </w:rPr>
              <w:lastRenderedPageBreak/>
              <w:t xml:space="preserve">metų ketvirčiuose. Renginio metu dalijamasi gerąja patirtimi, vyksta diskusijos, mokymai, intensyvus darbas grupėse. Šio tipo renginiuose yra dalyvio mokestis (tiekėjas yra atsakingas už sąskaitų išrašymą dalyviams po renginio ir mokesčio surinkimą, kuris iš dalies padengs renginio paslaugų išlaidas. </w:t>
            </w:r>
          </w:p>
        </w:tc>
      </w:tr>
      <w:tr w:rsidR="00A967F4" w:rsidRPr="00375E04" w14:paraId="1673F04C" w14:textId="77777777" w:rsidTr="004A023D">
        <w:trPr>
          <w:trHeight w:val="1412"/>
        </w:trPr>
        <w:tc>
          <w:tcPr>
            <w:tcW w:w="988" w:type="dxa"/>
            <w:shd w:val="clear" w:color="auto" w:fill="auto"/>
            <w:vAlign w:val="center"/>
            <w:hideMark/>
          </w:tcPr>
          <w:p w14:paraId="28208A60" w14:textId="0B4D2A05" w:rsidR="00A967F4" w:rsidRPr="00375E04" w:rsidRDefault="00A967F4" w:rsidP="001F75A5">
            <w:pPr>
              <w:spacing w:after="0" w:line="240" w:lineRule="auto"/>
              <w:rPr>
                <w:rFonts w:eastAsia="Times New Roman" w:cstheme="minorHAnsi"/>
                <w:b/>
                <w:bCs/>
                <w:color w:val="000000"/>
              </w:rPr>
            </w:pPr>
            <w:r w:rsidRPr="00375E04">
              <w:rPr>
                <w:rFonts w:eastAsia="Times New Roman" w:cstheme="minorHAnsi"/>
                <w:b/>
                <w:bCs/>
                <w:color w:val="000000"/>
              </w:rPr>
              <w:lastRenderedPageBreak/>
              <w:t>Reikia</w:t>
            </w:r>
            <w:r w:rsidR="004A023D">
              <w:rPr>
                <w:rFonts w:eastAsia="Times New Roman" w:cstheme="minorHAnsi"/>
                <w:b/>
                <w:bCs/>
                <w:color w:val="000000"/>
              </w:rPr>
              <w:t>-</w:t>
            </w:r>
            <w:r w:rsidRPr="00375E04">
              <w:rPr>
                <w:rFonts w:eastAsia="Times New Roman" w:cstheme="minorHAnsi"/>
                <w:b/>
                <w:bCs/>
                <w:color w:val="000000"/>
              </w:rPr>
              <w:t>mos paslau</w:t>
            </w:r>
            <w:r w:rsidR="004A023D">
              <w:rPr>
                <w:rFonts w:eastAsia="Times New Roman" w:cstheme="minorHAnsi"/>
                <w:b/>
                <w:bCs/>
                <w:color w:val="000000"/>
              </w:rPr>
              <w:t>-</w:t>
            </w:r>
            <w:r w:rsidRPr="00375E04">
              <w:rPr>
                <w:rFonts w:eastAsia="Times New Roman" w:cstheme="minorHAnsi"/>
                <w:b/>
                <w:bCs/>
                <w:color w:val="000000"/>
              </w:rPr>
              <w:t>gos renginio įgyvendinimui</w:t>
            </w:r>
          </w:p>
        </w:tc>
        <w:tc>
          <w:tcPr>
            <w:tcW w:w="2552" w:type="dxa"/>
            <w:shd w:val="clear" w:color="auto" w:fill="auto"/>
            <w:hideMark/>
          </w:tcPr>
          <w:p w14:paraId="03693BE0" w14:textId="77777777"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 xml:space="preserve">Renginiui įgyvendinti reikalingos paslaugos: renginio koncepcija ir scenarijus, fotografas, konceptualiai parenkama renginio vieta, maitinimo paslaugos, renginio vedėjas, pranešėjas/lektorius, reikalingos maketų dizaino paslaugos, spaudos darbai, scenos apšvietimas, įgarsinimas, vietos papuošimas/dekoravimas, kultūrinė, meninė programa, renginio koncepcijai išpildyti reikalingos papildomos paslaugos (inovatyvios technologinės naujovės). Projektų nugalėtojams dovanojamos statulėlės (užsakymas ir gamyba), scenos nuoma, LED ekranai </w:t>
            </w:r>
            <w:r w:rsidRPr="00375E04">
              <w:rPr>
                <w:rFonts w:eastAsia="Times New Roman" w:cstheme="minorHAnsi"/>
                <w:color w:val="000000"/>
              </w:rPr>
              <w:lastRenderedPageBreak/>
              <w:t>ir kt. Renginio metu reikalingas papildomas personalas užtikrinantis nepriekaištingą renginio eigą.</w:t>
            </w:r>
          </w:p>
        </w:tc>
        <w:tc>
          <w:tcPr>
            <w:tcW w:w="2268" w:type="dxa"/>
            <w:shd w:val="clear" w:color="auto" w:fill="auto"/>
            <w:hideMark/>
          </w:tcPr>
          <w:p w14:paraId="772AC049" w14:textId="16A166FB"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lastRenderedPageBreak/>
              <w:t>Renginio koncepcija, scenarijus, fotografas, renginio vietos nuoma, maitinimo paslaugos (pietūs ir kelios kavos pertraukos), renginio vedėjas, pranešėjas/</w:t>
            </w:r>
            <w:r w:rsidR="004A023D">
              <w:rPr>
                <w:rFonts w:eastAsia="Times New Roman" w:cstheme="minorHAnsi"/>
                <w:color w:val="000000"/>
              </w:rPr>
              <w:t xml:space="preserve"> </w:t>
            </w:r>
            <w:r w:rsidRPr="00375E04">
              <w:rPr>
                <w:rFonts w:eastAsia="Times New Roman" w:cstheme="minorHAnsi"/>
                <w:color w:val="000000"/>
              </w:rPr>
              <w:t>lektorius, maketų dizaino paslaugos, spaudos darbai, scenos apšvietimas, įgarsinimas, vietos papuošimas/</w:t>
            </w:r>
            <w:r w:rsidR="004A023D">
              <w:rPr>
                <w:rFonts w:eastAsia="Times New Roman" w:cstheme="minorHAnsi"/>
                <w:color w:val="000000"/>
              </w:rPr>
              <w:t xml:space="preserve"> </w:t>
            </w:r>
            <w:r w:rsidRPr="00375E04">
              <w:rPr>
                <w:rFonts w:eastAsia="Times New Roman" w:cstheme="minorHAnsi"/>
                <w:color w:val="000000"/>
              </w:rPr>
              <w:t>dekoravimas, kultūrinė, meninė programa, renginio koncepcijai išpildyti reikalingos papildomos paslaugos (inovatyvios technolo</w:t>
            </w:r>
            <w:r w:rsidR="004A023D">
              <w:rPr>
                <w:rFonts w:eastAsia="Times New Roman" w:cstheme="minorHAnsi"/>
                <w:color w:val="000000"/>
              </w:rPr>
              <w:t>g</w:t>
            </w:r>
            <w:r w:rsidRPr="00375E04">
              <w:rPr>
                <w:rFonts w:eastAsia="Times New Roman" w:cstheme="minorHAnsi"/>
                <w:color w:val="000000"/>
              </w:rPr>
              <w:t xml:space="preserve">inės naujovės). Ženkliukų gamyba, LED ekranai ir kt. Renginio metu reikalingas papildomas </w:t>
            </w:r>
            <w:r w:rsidRPr="00375E04">
              <w:rPr>
                <w:rFonts w:eastAsia="Times New Roman" w:cstheme="minorHAnsi"/>
                <w:color w:val="000000"/>
              </w:rPr>
              <w:lastRenderedPageBreak/>
              <w:t>personalas užtikrinantis nepriekaištingą renginio eigą.</w:t>
            </w:r>
          </w:p>
        </w:tc>
        <w:tc>
          <w:tcPr>
            <w:tcW w:w="2117" w:type="dxa"/>
            <w:shd w:val="clear" w:color="auto" w:fill="auto"/>
            <w:hideMark/>
          </w:tcPr>
          <w:p w14:paraId="3E1FAE66" w14:textId="04AF7D85"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lastRenderedPageBreak/>
              <w:t xml:space="preserve">Parodos stendų koncepcijos sukūrimas, įgyvendinimas, </w:t>
            </w:r>
            <w:r w:rsidR="00591635" w:rsidRPr="00375E04">
              <w:rPr>
                <w:rFonts w:eastAsia="Times New Roman" w:cstheme="minorHAnsi"/>
                <w:color w:val="000000"/>
              </w:rPr>
              <w:t>pristatymas</w:t>
            </w:r>
            <w:r w:rsidRPr="00375E04">
              <w:rPr>
                <w:rFonts w:eastAsia="Times New Roman" w:cstheme="minorHAnsi"/>
                <w:color w:val="000000"/>
              </w:rPr>
              <w:t xml:space="preserve"> į renginio vietą. Spaudos darbai, reprezentatyvių gaminių pirkimas parodos dalyviams.</w:t>
            </w:r>
          </w:p>
        </w:tc>
        <w:tc>
          <w:tcPr>
            <w:tcW w:w="2135" w:type="dxa"/>
            <w:shd w:val="clear" w:color="auto" w:fill="auto"/>
            <w:hideMark/>
          </w:tcPr>
          <w:p w14:paraId="60725EE3" w14:textId="09A5FAC1"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 xml:space="preserve">Vietos nuoma, </w:t>
            </w:r>
            <w:r w:rsidR="00FF381B" w:rsidRPr="00375E04">
              <w:rPr>
                <w:rFonts w:eastAsia="Times New Roman" w:cstheme="minorHAnsi"/>
                <w:color w:val="000000"/>
              </w:rPr>
              <w:t xml:space="preserve">maitinimas, logistika, </w:t>
            </w:r>
            <w:r w:rsidRPr="00375E04">
              <w:rPr>
                <w:rFonts w:eastAsia="Times New Roman" w:cstheme="minorHAnsi"/>
                <w:color w:val="000000"/>
              </w:rPr>
              <w:t>pašnekovų ar lektorių paieška ir k</w:t>
            </w:r>
            <w:r w:rsidR="00FF381B" w:rsidRPr="00375E04">
              <w:rPr>
                <w:rFonts w:eastAsia="Times New Roman" w:cstheme="minorHAnsi"/>
                <w:color w:val="000000"/>
              </w:rPr>
              <w:t>u</w:t>
            </w:r>
            <w:r w:rsidRPr="00375E04">
              <w:rPr>
                <w:rFonts w:eastAsia="Times New Roman" w:cstheme="minorHAnsi"/>
                <w:color w:val="000000"/>
              </w:rPr>
              <w:t>ravimas, įgarsinimo įranga, scena, leidimų suderinimai, vizualizacijos išpildymas</w:t>
            </w:r>
            <w:r w:rsidR="00FF381B" w:rsidRPr="00375E04">
              <w:rPr>
                <w:rFonts w:eastAsia="Times New Roman" w:cstheme="minorHAnsi"/>
                <w:color w:val="000000"/>
              </w:rPr>
              <w:t>.</w:t>
            </w:r>
            <w:r w:rsidR="00061515" w:rsidRPr="00375E04">
              <w:rPr>
                <w:rFonts w:eastAsia="Times New Roman" w:cstheme="minorHAnsi"/>
                <w:color w:val="000000"/>
              </w:rPr>
              <w:t xml:space="preserve"> </w:t>
            </w:r>
          </w:p>
        </w:tc>
        <w:tc>
          <w:tcPr>
            <w:tcW w:w="2268" w:type="dxa"/>
            <w:shd w:val="clear" w:color="auto" w:fill="auto"/>
            <w:hideMark/>
          </w:tcPr>
          <w:p w14:paraId="1EAF1085" w14:textId="7F0040C6"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Renginio įgyvendinimui reikalingos dažniausiai dvi nakvynės, po daugiausiai du asmenis kambaryje, reikalinga sa</w:t>
            </w:r>
            <w:r w:rsidR="004A023D">
              <w:rPr>
                <w:rFonts w:eastAsia="Times New Roman" w:cstheme="minorHAnsi"/>
                <w:color w:val="000000"/>
              </w:rPr>
              <w:t>l</w:t>
            </w:r>
            <w:r w:rsidRPr="00375E04">
              <w:rPr>
                <w:rFonts w:eastAsia="Times New Roman" w:cstheme="minorHAnsi"/>
                <w:color w:val="000000"/>
              </w:rPr>
              <w:t>ė visiems renginio dalyviams, taip pat kelios salės da</w:t>
            </w:r>
            <w:r w:rsidR="00061515" w:rsidRPr="00375E04">
              <w:rPr>
                <w:rFonts w:eastAsia="Times New Roman" w:cstheme="minorHAnsi"/>
                <w:color w:val="000000"/>
              </w:rPr>
              <w:t>r</w:t>
            </w:r>
            <w:r w:rsidRPr="00375E04">
              <w:rPr>
                <w:rFonts w:eastAsia="Times New Roman" w:cstheme="minorHAnsi"/>
                <w:color w:val="000000"/>
              </w:rPr>
              <w:t xml:space="preserve">bui grupėse, tokiam renginiui būdinga kultūrinė programa, transporto paslaugos, vakarienės, pietūs, pusryčiai, kavos pertraukos ir kt. </w:t>
            </w:r>
          </w:p>
        </w:tc>
        <w:tc>
          <w:tcPr>
            <w:tcW w:w="2693" w:type="dxa"/>
            <w:shd w:val="clear" w:color="auto" w:fill="auto"/>
            <w:hideMark/>
          </w:tcPr>
          <w:p w14:paraId="3D1980EE" w14:textId="22D5E716" w:rsidR="00A967F4" w:rsidRPr="00375E04" w:rsidRDefault="00A967F4" w:rsidP="001F75A5">
            <w:pPr>
              <w:spacing w:after="0" w:line="240" w:lineRule="auto"/>
              <w:rPr>
                <w:rFonts w:eastAsia="Times New Roman" w:cstheme="minorHAnsi"/>
                <w:color w:val="000000"/>
              </w:rPr>
            </w:pPr>
            <w:r w:rsidRPr="00375E04">
              <w:rPr>
                <w:rFonts w:eastAsia="Times New Roman" w:cstheme="minorHAnsi"/>
                <w:color w:val="000000"/>
              </w:rPr>
              <w:t>Renginio įgyvendinimui reikalingi mokymų vadovai, fasilitatoriai, maitinimo paslaugos (pusryčiai, pietūs, vakarienės). Taip pat reikalingas fotografas, kelios papildomos salės darbui grupėse, maketų dizaino, spausdinimo paslaugos, kitos kanc</w:t>
            </w:r>
            <w:r w:rsidR="00061515" w:rsidRPr="00375E04">
              <w:rPr>
                <w:rFonts w:eastAsia="Times New Roman" w:cstheme="minorHAnsi"/>
                <w:color w:val="000000"/>
              </w:rPr>
              <w:t>e</w:t>
            </w:r>
            <w:r w:rsidRPr="00375E04">
              <w:rPr>
                <w:rFonts w:eastAsia="Times New Roman" w:cstheme="minorHAnsi"/>
                <w:color w:val="000000"/>
              </w:rPr>
              <w:t>liarinės priemonės reikalingos darbui grupėse, kultūrinė programa (ekskursija). Dažnai rengiamas ir siunčiamas informacinis paketas dalyviams anglų kalba ir kita informacija apie renginį. Renginio metu reikalingas papildomas personalas užtikrinantis nepriekaištingą renginio eigą.</w:t>
            </w:r>
          </w:p>
        </w:tc>
      </w:tr>
    </w:tbl>
    <w:p w14:paraId="59BE61A4" w14:textId="77777777" w:rsidR="00464FE2" w:rsidRPr="00375E04" w:rsidRDefault="009436C1">
      <w:pPr>
        <w:rPr>
          <w:rFonts w:cstheme="minorHAnsi"/>
        </w:rPr>
      </w:pPr>
    </w:p>
    <w:sectPr w:rsidR="00464FE2" w:rsidRPr="00375E04" w:rsidSect="00591635">
      <w:pgSz w:w="16838" w:h="11906" w:orient="landscape"/>
      <w:pgMar w:top="1701" w:right="1387"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2BF7" w16cex:dateUtc="2026-02-12T08:3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79BE"/>
    <w:multiLevelType w:val="hybridMultilevel"/>
    <w:tmpl w:val="693C7B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1103F7"/>
    <w:multiLevelType w:val="hybridMultilevel"/>
    <w:tmpl w:val="E0ACCFB0"/>
    <w:lvl w:ilvl="0" w:tplc="D1B81C44">
      <w:numFmt w:val="bullet"/>
      <w:lvlText w:val="-"/>
      <w:lvlJc w:val="left"/>
      <w:pPr>
        <w:ind w:left="405" w:hanging="360"/>
      </w:pPr>
      <w:rPr>
        <w:rFonts w:ascii="Calibri" w:eastAsiaTheme="minorEastAsia"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41A222B2"/>
    <w:multiLevelType w:val="hybridMultilevel"/>
    <w:tmpl w:val="6A5CA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5E15C2"/>
    <w:multiLevelType w:val="multilevel"/>
    <w:tmpl w:val="DA30FDC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F4"/>
    <w:rsid w:val="00061515"/>
    <w:rsid w:val="00187DDC"/>
    <w:rsid w:val="001E58C2"/>
    <w:rsid w:val="00286C19"/>
    <w:rsid w:val="002A51E5"/>
    <w:rsid w:val="002C7238"/>
    <w:rsid w:val="00375E04"/>
    <w:rsid w:val="003F35D3"/>
    <w:rsid w:val="004251D6"/>
    <w:rsid w:val="00436D38"/>
    <w:rsid w:val="004A023D"/>
    <w:rsid w:val="005011B4"/>
    <w:rsid w:val="00591635"/>
    <w:rsid w:val="0059219A"/>
    <w:rsid w:val="005A7F47"/>
    <w:rsid w:val="0064589C"/>
    <w:rsid w:val="006B2FF3"/>
    <w:rsid w:val="00745725"/>
    <w:rsid w:val="00797958"/>
    <w:rsid w:val="00841E83"/>
    <w:rsid w:val="009436C1"/>
    <w:rsid w:val="009C7537"/>
    <w:rsid w:val="00A967F4"/>
    <w:rsid w:val="00C62542"/>
    <w:rsid w:val="00C8166C"/>
    <w:rsid w:val="00CD6437"/>
    <w:rsid w:val="00D10A78"/>
    <w:rsid w:val="00D310E3"/>
    <w:rsid w:val="00D324FD"/>
    <w:rsid w:val="00E17621"/>
    <w:rsid w:val="00E31573"/>
    <w:rsid w:val="00FF381B"/>
    <w:rsid w:val="00FF6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447C"/>
  <w15:chartTrackingRefBased/>
  <w15:docId w15:val="{B747E7DB-595A-49A5-91DE-1C8A27B2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7F4"/>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7F4"/>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967F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A967F4"/>
    <w:pPr>
      <w:ind w:left="720"/>
      <w:contextualSpacing/>
    </w:pPr>
    <w:rPr>
      <w:rFonts w:eastAsiaTheme="minorHAnsi"/>
      <w:sz w:val="22"/>
      <w:szCs w:val="22"/>
      <w:lang w:eastAsia="en-US"/>
    </w:rPr>
  </w:style>
  <w:style w:type="character" w:styleId="CommentReference">
    <w:name w:val="annotation reference"/>
    <w:basedOn w:val="DefaultParagraphFont"/>
    <w:uiPriority w:val="99"/>
    <w:semiHidden/>
    <w:unhideWhenUsed/>
    <w:rsid w:val="001E58C2"/>
    <w:rPr>
      <w:sz w:val="16"/>
      <w:szCs w:val="16"/>
    </w:rPr>
  </w:style>
  <w:style w:type="paragraph" w:styleId="CommentText">
    <w:name w:val="annotation text"/>
    <w:basedOn w:val="Normal"/>
    <w:link w:val="CommentTextChar"/>
    <w:uiPriority w:val="99"/>
    <w:semiHidden/>
    <w:unhideWhenUsed/>
    <w:rsid w:val="001E58C2"/>
    <w:pPr>
      <w:spacing w:line="240" w:lineRule="auto"/>
    </w:pPr>
    <w:rPr>
      <w:sz w:val="20"/>
      <w:szCs w:val="20"/>
    </w:rPr>
  </w:style>
  <w:style w:type="character" w:customStyle="1" w:styleId="CommentTextChar">
    <w:name w:val="Comment Text Char"/>
    <w:basedOn w:val="DefaultParagraphFont"/>
    <w:link w:val="CommentText"/>
    <w:uiPriority w:val="99"/>
    <w:semiHidden/>
    <w:rsid w:val="001E58C2"/>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1E58C2"/>
    <w:rPr>
      <w:b/>
      <w:bCs/>
    </w:rPr>
  </w:style>
  <w:style w:type="character" w:customStyle="1" w:styleId="CommentSubjectChar">
    <w:name w:val="Comment Subject Char"/>
    <w:basedOn w:val="CommentTextChar"/>
    <w:link w:val="CommentSubject"/>
    <w:uiPriority w:val="99"/>
    <w:semiHidden/>
    <w:rsid w:val="001E58C2"/>
    <w:rPr>
      <w:rFonts w:eastAsiaTheme="minorEastAsia"/>
      <w:b/>
      <w:bCs/>
      <w:sz w:val="20"/>
      <w:szCs w:val="20"/>
      <w:lang w:eastAsia="lt-LT"/>
    </w:rPr>
  </w:style>
  <w:style w:type="paragraph" w:styleId="BalloonText">
    <w:name w:val="Balloon Text"/>
    <w:basedOn w:val="Normal"/>
    <w:link w:val="BalloonTextChar"/>
    <w:uiPriority w:val="99"/>
    <w:semiHidden/>
    <w:unhideWhenUsed/>
    <w:rsid w:val="00FF6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0D3"/>
    <w:rPr>
      <w:rFonts w:ascii="Segoe UI" w:eastAsiaTheme="minorEastAsia" w:hAnsi="Segoe UI" w:cs="Segoe UI"/>
      <w:sz w:val="18"/>
      <w:szCs w:val="18"/>
      <w:lang w:eastAsia="lt-LT"/>
    </w:rPr>
  </w:style>
  <w:style w:type="paragraph" w:styleId="NoSpacing">
    <w:name w:val="No Spacing"/>
    <w:uiPriority w:val="1"/>
    <w:qFormat/>
    <w:rsid w:val="00375E0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22966</Words>
  <Characters>13091</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Baltraityte</dc:creator>
  <cp:keywords/>
  <dc:description/>
  <cp:lastModifiedBy>Valerijus Kirilovas</cp:lastModifiedBy>
  <cp:revision>6</cp:revision>
  <dcterms:created xsi:type="dcterms:W3CDTF">2026-03-19T08:11:00Z</dcterms:created>
  <dcterms:modified xsi:type="dcterms:W3CDTF">2026-03-19T10:05:00Z</dcterms:modified>
</cp:coreProperties>
</file>