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153A" w14:textId="77777777" w:rsidR="003B16AD" w:rsidRDefault="00AA1AD9" w:rsidP="003B16AD">
      <w:pPr>
        <w:spacing w:after="160" w:line="259" w:lineRule="auto"/>
        <w:jc w:val="right"/>
        <w:rPr>
          <w:rFonts w:asciiTheme="majorBidi" w:hAnsiTheme="majorBidi" w:cstheme="majorBidi"/>
        </w:rPr>
      </w:pPr>
      <w:r>
        <w:rPr>
          <w:rFonts w:asciiTheme="majorBidi" w:hAnsiTheme="majorBidi" w:cstheme="majorBidi"/>
        </w:rPr>
        <w:t>Specialiųjų p</w:t>
      </w:r>
      <w:r w:rsidRPr="00D3069C">
        <w:rPr>
          <w:rFonts w:asciiTheme="majorBidi" w:hAnsiTheme="majorBidi" w:cstheme="majorBidi"/>
        </w:rPr>
        <w:t>irkimo sąlyg</w:t>
      </w:r>
      <w:r w:rsidR="003B16AD">
        <w:rPr>
          <w:rFonts w:asciiTheme="majorBidi" w:hAnsiTheme="majorBidi" w:cstheme="majorBidi"/>
        </w:rPr>
        <w:t xml:space="preserve">ų </w:t>
      </w:r>
    </w:p>
    <w:p w14:paraId="596CD949" w14:textId="1D560EF5" w:rsidR="00AA1AD9" w:rsidRPr="00D3069C" w:rsidRDefault="00A57423" w:rsidP="003B16AD">
      <w:pPr>
        <w:spacing w:after="160" w:line="259" w:lineRule="auto"/>
        <w:jc w:val="right"/>
        <w:rPr>
          <w:rFonts w:asciiTheme="majorBidi" w:hAnsiTheme="majorBidi" w:cstheme="majorBidi"/>
        </w:rPr>
      </w:pPr>
      <w:r>
        <w:rPr>
          <w:rFonts w:asciiTheme="majorBidi" w:hAnsiTheme="majorBidi" w:cstheme="majorBidi"/>
        </w:rPr>
        <w:t>2</w:t>
      </w:r>
      <w:r w:rsidR="00AA1AD9" w:rsidRPr="00D3069C">
        <w:rPr>
          <w:rFonts w:asciiTheme="majorBidi" w:hAnsiTheme="majorBidi" w:cstheme="majorBidi"/>
        </w:rPr>
        <w:t xml:space="preserve"> priedas </w:t>
      </w:r>
    </w:p>
    <w:p w14:paraId="3F43299B" w14:textId="77777777" w:rsidR="004541C5" w:rsidRPr="00EE6CD3" w:rsidRDefault="004541C5" w:rsidP="004541C5">
      <w:pPr>
        <w:tabs>
          <w:tab w:val="left" w:pos="1545"/>
        </w:tabs>
        <w:jc w:val="right"/>
        <w:rPr>
          <w:bCs/>
        </w:rPr>
      </w:pPr>
    </w:p>
    <w:p w14:paraId="0E9FF3D5" w14:textId="77777777" w:rsidR="004541C5" w:rsidRPr="00EE6CD3" w:rsidRDefault="004541C5" w:rsidP="004541C5">
      <w:pPr>
        <w:tabs>
          <w:tab w:val="left" w:pos="1545"/>
        </w:tabs>
        <w:jc w:val="right"/>
        <w:rPr>
          <w:bCs/>
        </w:rPr>
      </w:pPr>
    </w:p>
    <w:p w14:paraId="2959E1A9" w14:textId="4D45546E" w:rsidR="004F3150" w:rsidRPr="00EE6CD3" w:rsidRDefault="00D43C83" w:rsidP="00D43C83">
      <w:pPr>
        <w:tabs>
          <w:tab w:val="left" w:pos="1545"/>
        </w:tabs>
        <w:jc w:val="center"/>
        <w:rPr>
          <w:b/>
        </w:rPr>
      </w:pPr>
      <w:r w:rsidRPr="00D43C83">
        <w:rPr>
          <w:b/>
        </w:rPr>
        <w:t>DUJŲ SLĖGIO REGULIAVIMO ĮRENGINIŲ IR DUJŲ SLĖGIO REGULIAVIMO ĮTAISŲ TECHNINĖ</w:t>
      </w:r>
      <w:r w:rsidR="000D1431">
        <w:rPr>
          <w:b/>
        </w:rPr>
        <w:t>S</w:t>
      </w:r>
      <w:r w:rsidRPr="00D43C83">
        <w:rPr>
          <w:b/>
        </w:rPr>
        <w:t xml:space="preserve"> PRIEŽIŪR</w:t>
      </w:r>
      <w:r>
        <w:rPr>
          <w:b/>
        </w:rPr>
        <w:t xml:space="preserve">OS </w:t>
      </w:r>
      <w:r w:rsidR="00210665">
        <w:rPr>
          <w:b/>
        </w:rPr>
        <w:t>IR REMONTO PASLAUGŲ</w:t>
      </w:r>
    </w:p>
    <w:p w14:paraId="5F514599" w14:textId="080DE63A" w:rsidR="00B553CE" w:rsidRDefault="004F3150" w:rsidP="0001356F">
      <w:pPr>
        <w:tabs>
          <w:tab w:val="left" w:pos="2940"/>
          <w:tab w:val="left" w:pos="5245"/>
        </w:tabs>
        <w:jc w:val="center"/>
        <w:rPr>
          <w:b/>
          <w:color w:val="000000"/>
        </w:rPr>
      </w:pPr>
      <w:r w:rsidRPr="00EE6CD3">
        <w:rPr>
          <w:b/>
          <w:color w:val="000000"/>
        </w:rPr>
        <w:t>TECHNINĖ SPECIFIKACIJA</w:t>
      </w:r>
    </w:p>
    <w:p w14:paraId="184606B4" w14:textId="77777777" w:rsidR="00EE6CD3" w:rsidRDefault="00EE6CD3" w:rsidP="0001356F">
      <w:pPr>
        <w:tabs>
          <w:tab w:val="left" w:pos="2940"/>
          <w:tab w:val="left" w:pos="5245"/>
        </w:tabs>
        <w:jc w:val="center"/>
        <w:rPr>
          <w:b/>
          <w:color w:val="000000"/>
        </w:rPr>
      </w:pPr>
    </w:p>
    <w:p w14:paraId="798F9CBE" w14:textId="77777777" w:rsidR="00CA28DB" w:rsidRPr="00EE6CD3" w:rsidRDefault="00CA28DB" w:rsidP="0001356F">
      <w:pPr>
        <w:tabs>
          <w:tab w:val="left" w:pos="2940"/>
          <w:tab w:val="left" w:pos="5245"/>
        </w:tabs>
        <w:jc w:val="center"/>
        <w:rPr>
          <w:b/>
          <w:color w:val="000000"/>
        </w:rPr>
      </w:pPr>
    </w:p>
    <w:p w14:paraId="358B939F" w14:textId="60C13DD3" w:rsidR="00B1108A" w:rsidRPr="00E517A5" w:rsidRDefault="00A12017" w:rsidP="00481ED5">
      <w:pPr>
        <w:tabs>
          <w:tab w:val="left" w:pos="2940"/>
          <w:tab w:val="left" w:pos="5245"/>
        </w:tabs>
        <w:ind w:firstLine="851"/>
        <w:jc w:val="both"/>
        <w:rPr>
          <w:bCs/>
          <w:color w:val="000000"/>
        </w:rPr>
      </w:pPr>
      <w:r w:rsidRPr="00A12017">
        <w:rPr>
          <w:bCs/>
          <w:color w:val="000000"/>
        </w:rPr>
        <w:t xml:space="preserve">Dujų slėgio reguliavimo įrenginių ir dujų slėgio reguliavimo įtaisų techninės priežiūros ir remonto paslaugos turi būti atliekamos </w:t>
      </w:r>
      <w:bookmarkStart w:id="0" w:name="_Hlk224544920"/>
      <w:r w:rsidRPr="00A12017">
        <w:rPr>
          <w:bCs/>
          <w:color w:val="000000"/>
        </w:rPr>
        <w:t>vadovaujantis Lietuvos Respublikos energetikos ministro patvirtintomis 2012-05-02 įsakymu Nr. 1-82 „ Dėl gamtinių dujų skirstymo ir vartotojų sistemų eksploatavimo taisyklių patvirtinimo“ 5 skyriaus nuostatomis</w:t>
      </w:r>
      <w:bookmarkEnd w:id="0"/>
      <w:r w:rsidR="00951D16">
        <w:rPr>
          <w:bCs/>
          <w:color w:val="000000"/>
        </w:rPr>
        <w:t>.</w:t>
      </w:r>
    </w:p>
    <w:p w14:paraId="2A964CEC" w14:textId="77CCFAD4" w:rsidR="0063612A" w:rsidRDefault="004F3150" w:rsidP="00780353">
      <w:pPr>
        <w:tabs>
          <w:tab w:val="left" w:pos="1545"/>
        </w:tabs>
        <w:jc w:val="both"/>
        <w:rPr>
          <w:b/>
          <w:bCs/>
        </w:rPr>
      </w:pPr>
      <w:r w:rsidRPr="00EE6CD3">
        <w:rPr>
          <w:b/>
          <w:bCs/>
        </w:rPr>
        <w:t>1</w:t>
      </w:r>
      <w:r w:rsidRPr="00C078B2">
        <w:rPr>
          <w:b/>
          <w:bCs/>
        </w:rPr>
        <w:t xml:space="preserve">. </w:t>
      </w:r>
      <w:bookmarkStart w:id="1" w:name="_Hlk223613476"/>
      <w:r w:rsidR="00301F6D" w:rsidRPr="00301F6D">
        <w:rPr>
          <w:b/>
          <w:bCs/>
        </w:rPr>
        <w:t>Dujų slėgio reguliavimo įrenginių techninė priežiūr</w:t>
      </w:r>
      <w:r w:rsidR="00301F6D">
        <w:rPr>
          <w:b/>
          <w:bCs/>
        </w:rPr>
        <w:t>a:</w:t>
      </w:r>
    </w:p>
    <w:p w14:paraId="4BE7D6B3" w14:textId="7722A041" w:rsidR="004F3150" w:rsidRPr="00EE6CD3" w:rsidRDefault="0063612A" w:rsidP="00780353">
      <w:pPr>
        <w:tabs>
          <w:tab w:val="left" w:pos="1545"/>
        </w:tabs>
        <w:jc w:val="both"/>
        <w:rPr>
          <w:b/>
          <w:bCs/>
        </w:rPr>
      </w:pPr>
      <w:r>
        <w:rPr>
          <w:b/>
          <w:bCs/>
        </w:rPr>
        <w:t xml:space="preserve">1.1. </w:t>
      </w:r>
      <w:r w:rsidR="00FF7B89">
        <w:rPr>
          <w:b/>
          <w:bCs/>
        </w:rPr>
        <w:t>D</w:t>
      </w:r>
      <w:r w:rsidR="00B1108A" w:rsidRPr="00B1108A">
        <w:rPr>
          <w:b/>
          <w:bCs/>
        </w:rPr>
        <w:t>ujų slėgio reguliavimo įrenginių</w:t>
      </w:r>
      <w:r w:rsidR="00452803">
        <w:rPr>
          <w:b/>
          <w:bCs/>
        </w:rPr>
        <w:t xml:space="preserve"> ir dujų</w:t>
      </w:r>
      <w:r w:rsidR="00B1319A">
        <w:rPr>
          <w:b/>
          <w:bCs/>
        </w:rPr>
        <w:t xml:space="preserve"> slėgio reguliavimo įtaisų</w:t>
      </w:r>
      <w:r w:rsidR="00B1108A">
        <w:rPr>
          <w:b/>
          <w:bCs/>
        </w:rPr>
        <w:t xml:space="preserve"> apžiūra</w:t>
      </w:r>
      <w:bookmarkEnd w:id="1"/>
      <w:r w:rsidR="00B1108A">
        <w:rPr>
          <w:b/>
          <w:bCs/>
        </w:rPr>
        <w:t>:</w:t>
      </w:r>
    </w:p>
    <w:p w14:paraId="55061D02" w14:textId="2F032E71" w:rsidR="00B1108A" w:rsidRDefault="00E517A5" w:rsidP="00780353">
      <w:pPr>
        <w:tabs>
          <w:tab w:val="left" w:pos="1545"/>
        </w:tabs>
        <w:jc w:val="both"/>
      </w:pPr>
      <w:r>
        <w:t xml:space="preserve"> 1.1.</w:t>
      </w:r>
      <w:r w:rsidR="00301F6D">
        <w:t>1.</w:t>
      </w:r>
      <w:r>
        <w:t xml:space="preserve"> </w:t>
      </w:r>
      <w:r w:rsidR="00B1108A">
        <w:t>patikrinama dujų koncentracija patalpų, kuriose įrengti dujų slėgio reguliavimo įrenginiai, ore;</w:t>
      </w:r>
    </w:p>
    <w:p w14:paraId="7B6AC7A5" w14:textId="10E28587" w:rsidR="00B1108A" w:rsidRDefault="00E517A5" w:rsidP="00780353">
      <w:pPr>
        <w:tabs>
          <w:tab w:val="left" w:pos="1545"/>
        </w:tabs>
        <w:jc w:val="both"/>
      </w:pPr>
      <w:r>
        <w:t xml:space="preserve"> 1.</w:t>
      </w:r>
      <w:r w:rsidR="00301F6D">
        <w:t>1.</w:t>
      </w:r>
      <w:r>
        <w:t xml:space="preserve">2. </w:t>
      </w:r>
      <w:r w:rsidR="00B1108A">
        <w:t>apžiūrimi dujų slėgio reguliatoriai, apsauginiai dujų srauto uždarymo ir dujų išmetimo vožtuvai, uždarymo įtaisai, kiti priklausiniai;</w:t>
      </w:r>
    </w:p>
    <w:p w14:paraId="67BC8B59" w14:textId="34276CF3" w:rsidR="00B1108A" w:rsidRDefault="00E517A5" w:rsidP="00780353">
      <w:pPr>
        <w:tabs>
          <w:tab w:val="left" w:pos="1545"/>
        </w:tabs>
        <w:jc w:val="both"/>
      </w:pPr>
      <w:r>
        <w:t xml:space="preserve"> 1.</w:t>
      </w:r>
      <w:r w:rsidR="00301F6D">
        <w:t>1.</w:t>
      </w:r>
      <w:r>
        <w:t xml:space="preserve">3. </w:t>
      </w:r>
      <w:r w:rsidR="00B1108A">
        <w:t>apžiūrimos dujų slėgio reguliavimo įrenginių įrengimo spintos, jų konstrukcinės dalys, aptvarai, apsaugos zona;</w:t>
      </w:r>
    </w:p>
    <w:p w14:paraId="1236DF35" w14:textId="51F723FE" w:rsidR="00B1108A" w:rsidRDefault="00E517A5" w:rsidP="00780353">
      <w:pPr>
        <w:tabs>
          <w:tab w:val="left" w:pos="1545"/>
        </w:tabs>
        <w:jc w:val="both"/>
      </w:pPr>
      <w:r>
        <w:t xml:space="preserve">  1.</w:t>
      </w:r>
      <w:r w:rsidR="00301F6D">
        <w:t>1.</w:t>
      </w:r>
      <w:r>
        <w:t xml:space="preserve">4. </w:t>
      </w:r>
      <w:r w:rsidR="00B1108A">
        <w:t>užfiksuojami dujų slėgio reguliatorių darbiniai parametrai, dujų slėgis prieš reguliatorių ir už jo;</w:t>
      </w:r>
    </w:p>
    <w:p w14:paraId="4D99B090" w14:textId="599C65D8" w:rsidR="00B1108A" w:rsidRDefault="00E517A5" w:rsidP="00780353">
      <w:pPr>
        <w:tabs>
          <w:tab w:val="left" w:pos="1545"/>
        </w:tabs>
        <w:jc w:val="both"/>
      </w:pPr>
      <w:r>
        <w:t>1.</w:t>
      </w:r>
      <w:r w:rsidR="00301F6D">
        <w:t>1.</w:t>
      </w:r>
      <w:r>
        <w:t xml:space="preserve">5. </w:t>
      </w:r>
      <w:r w:rsidR="00B1108A">
        <w:t>apžiūrima apsauginio dujų srauto uždarymo vožtuvo svirčių padėtis;</w:t>
      </w:r>
    </w:p>
    <w:p w14:paraId="3FFF4DC1" w14:textId="377A77D5" w:rsidR="00B1108A" w:rsidRDefault="00B1108A" w:rsidP="00780353">
      <w:pPr>
        <w:tabs>
          <w:tab w:val="left" w:pos="1545"/>
        </w:tabs>
        <w:jc w:val="both"/>
      </w:pPr>
      <w:r>
        <w:t>1.</w:t>
      </w:r>
      <w:r w:rsidR="00301F6D">
        <w:t>1.</w:t>
      </w:r>
      <w:r>
        <w:t>6. nustatomas filtrų užterštumas (pagal matavimo priemonės parodymus);</w:t>
      </w:r>
    </w:p>
    <w:p w14:paraId="40BB1FA6" w14:textId="0D1078A3" w:rsidR="00B1108A" w:rsidRDefault="00B1108A" w:rsidP="00780353">
      <w:pPr>
        <w:tabs>
          <w:tab w:val="left" w:pos="1545"/>
        </w:tabs>
        <w:jc w:val="both"/>
      </w:pPr>
      <w:r>
        <w:t>1.</w:t>
      </w:r>
      <w:r w:rsidR="00301F6D">
        <w:t>1.</w:t>
      </w:r>
      <w:r>
        <w:t>7. nustatomas uždarymo įtaisų, jungčių, slėgio reguliatorių, apsauginių vožtuvų, kitų įtaisų sandarumas;</w:t>
      </w:r>
    </w:p>
    <w:p w14:paraId="103798E7" w14:textId="1290C9BD" w:rsidR="00B1108A" w:rsidRDefault="00B1108A" w:rsidP="00780353">
      <w:pPr>
        <w:tabs>
          <w:tab w:val="left" w:pos="1545"/>
        </w:tabs>
        <w:jc w:val="both"/>
      </w:pPr>
      <w:r>
        <w:t>1.</w:t>
      </w:r>
      <w:r w:rsidR="00301F6D">
        <w:t>1.</w:t>
      </w:r>
      <w:r>
        <w:t>8. apžiūrimas dujų slėgio reguliavimo įrenginių tvirtinimas (laikikliai, atramos);</w:t>
      </w:r>
    </w:p>
    <w:p w14:paraId="4A19F5FB" w14:textId="0E7D91A6" w:rsidR="00B1108A" w:rsidRDefault="00B1108A" w:rsidP="00780353">
      <w:pPr>
        <w:tabs>
          <w:tab w:val="left" w:pos="1545"/>
        </w:tabs>
        <w:jc w:val="both"/>
      </w:pPr>
      <w:r>
        <w:t>1.</w:t>
      </w:r>
      <w:r w:rsidR="00301F6D">
        <w:t>1.</w:t>
      </w:r>
      <w:r>
        <w:t>9. apžiūrimas skysčio lygis hidrauliniame uždoryje;</w:t>
      </w:r>
    </w:p>
    <w:p w14:paraId="619B6184" w14:textId="3C3A3C09" w:rsidR="00B1108A" w:rsidRDefault="00B1108A" w:rsidP="00780353">
      <w:pPr>
        <w:tabs>
          <w:tab w:val="left" w:pos="1545"/>
        </w:tabs>
        <w:jc w:val="both"/>
      </w:pPr>
      <w:r>
        <w:t>1.</w:t>
      </w:r>
      <w:r w:rsidR="00301F6D">
        <w:t>1.</w:t>
      </w:r>
      <w:r>
        <w:t>10. patikrinama prijungimo prie įžeminimo kontūro būklė;</w:t>
      </w:r>
    </w:p>
    <w:p w14:paraId="29A74303" w14:textId="6B7962C1" w:rsidR="00E517A5" w:rsidRPr="00EE6CD3" w:rsidRDefault="00B1108A" w:rsidP="00780353">
      <w:pPr>
        <w:tabs>
          <w:tab w:val="left" w:pos="1545"/>
        </w:tabs>
        <w:jc w:val="both"/>
      </w:pPr>
      <w:r>
        <w:t>1.</w:t>
      </w:r>
      <w:r w:rsidR="00301F6D">
        <w:t>1.</w:t>
      </w:r>
      <w:r>
        <w:t>11. patikrinama patalpų, kuriose įrengti dujų slėgio reguliavimo įrenginiai, durų, langų, apšvietimo ir aptvarų būklė</w:t>
      </w:r>
      <w:r w:rsidR="00E517A5">
        <w:t>.</w:t>
      </w:r>
    </w:p>
    <w:p w14:paraId="5AB650A9" w14:textId="16AEC5B5" w:rsidR="004F3150" w:rsidRPr="00EE6CD3" w:rsidRDefault="00301F6D" w:rsidP="00780717">
      <w:pPr>
        <w:shd w:val="clear" w:color="auto" w:fill="FFFFFF" w:themeFill="background1"/>
        <w:tabs>
          <w:tab w:val="left" w:pos="1545"/>
        </w:tabs>
        <w:spacing w:line="276" w:lineRule="auto"/>
        <w:jc w:val="both"/>
        <w:rPr>
          <w:b/>
          <w:bCs/>
        </w:rPr>
      </w:pPr>
      <w:r w:rsidRPr="002630DE">
        <w:rPr>
          <w:b/>
          <w:bCs/>
        </w:rPr>
        <w:t>1.</w:t>
      </w:r>
      <w:r w:rsidR="004F3150" w:rsidRPr="002630DE">
        <w:rPr>
          <w:b/>
          <w:bCs/>
        </w:rPr>
        <w:t>2</w:t>
      </w:r>
      <w:r w:rsidR="002D4ECD" w:rsidRPr="002630DE">
        <w:rPr>
          <w:b/>
          <w:bCs/>
        </w:rPr>
        <w:t xml:space="preserve">. </w:t>
      </w:r>
      <w:r w:rsidR="00A12017" w:rsidRPr="00A12017">
        <w:rPr>
          <w:b/>
          <w:bCs/>
        </w:rPr>
        <w:t xml:space="preserve">Dujų slėgio reguliavimo įrenginių ir dujų slėgio reguliavimo įtaisų </w:t>
      </w:r>
      <w:r w:rsidR="00780717">
        <w:rPr>
          <w:b/>
          <w:bCs/>
        </w:rPr>
        <w:t xml:space="preserve">techninis </w:t>
      </w:r>
      <w:r w:rsidR="00E517A5" w:rsidRPr="00780717">
        <w:rPr>
          <w:b/>
          <w:bCs/>
        </w:rPr>
        <w:t>patikrinimas</w:t>
      </w:r>
      <w:r w:rsidR="004F3150" w:rsidRPr="002630DE">
        <w:rPr>
          <w:b/>
          <w:bCs/>
        </w:rPr>
        <w:t>:</w:t>
      </w:r>
    </w:p>
    <w:p w14:paraId="13863008" w14:textId="126D3C31" w:rsidR="00E517A5" w:rsidRDefault="00CB375A" w:rsidP="00780353">
      <w:pPr>
        <w:tabs>
          <w:tab w:val="left" w:pos="1545"/>
        </w:tabs>
        <w:spacing w:line="276" w:lineRule="auto"/>
        <w:jc w:val="both"/>
      </w:pPr>
      <w:r>
        <w:t>1.</w:t>
      </w:r>
      <w:r w:rsidR="00E517A5">
        <w:t>2.1. patikrinama, ar veikia uždarymo įtaisai;</w:t>
      </w:r>
    </w:p>
    <w:p w14:paraId="30304B4D" w14:textId="4A65C9EA" w:rsidR="00E517A5" w:rsidRDefault="00CB375A" w:rsidP="00780353">
      <w:pPr>
        <w:tabs>
          <w:tab w:val="left" w:pos="1545"/>
        </w:tabs>
        <w:spacing w:line="276" w:lineRule="auto"/>
        <w:jc w:val="both"/>
      </w:pPr>
      <w:r>
        <w:t>1.</w:t>
      </w:r>
      <w:r w:rsidR="00E517A5">
        <w:t>2.2. patikrinama dujų slėgio reguliatorių techninė būklė ir veikimas;</w:t>
      </w:r>
    </w:p>
    <w:p w14:paraId="442F748E" w14:textId="037CF8E9" w:rsidR="00E517A5" w:rsidRDefault="00CB375A" w:rsidP="00780353">
      <w:pPr>
        <w:tabs>
          <w:tab w:val="left" w:pos="1545"/>
        </w:tabs>
        <w:spacing w:line="276" w:lineRule="auto"/>
        <w:jc w:val="both"/>
      </w:pPr>
      <w:r>
        <w:t>1.</w:t>
      </w:r>
      <w:r w:rsidR="00E517A5">
        <w:t>2.3. patikrinama apsauginių dujų srauto uždarymo ir dujų išmetimo vožtuvų techninė būklė ir veikimas;</w:t>
      </w:r>
    </w:p>
    <w:p w14:paraId="6C9AFFBB" w14:textId="40607F7C" w:rsidR="00E517A5" w:rsidRDefault="00CB375A" w:rsidP="00780353">
      <w:pPr>
        <w:tabs>
          <w:tab w:val="left" w:pos="1545"/>
        </w:tabs>
        <w:spacing w:line="276" w:lineRule="auto"/>
        <w:jc w:val="both"/>
      </w:pPr>
      <w:r>
        <w:t>1.</w:t>
      </w:r>
      <w:r w:rsidR="00E517A5">
        <w:t>2.4. suderinami dujų slėgio reguliatorių ir apsauginių vožtuvų veikimo parametrai;</w:t>
      </w:r>
    </w:p>
    <w:p w14:paraId="198F81A2" w14:textId="284CC7AC" w:rsidR="00E517A5" w:rsidRDefault="00CB375A" w:rsidP="00780353">
      <w:pPr>
        <w:tabs>
          <w:tab w:val="left" w:pos="1545"/>
        </w:tabs>
        <w:spacing w:line="276" w:lineRule="auto"/>
        <w:jc w:val="both"/>
      </w:pPr>
      <w:r>
        <w:t>1.</w:t>
      </w:r>
      <w:r w:rsidR="00E517A5">
        <w:t>2.5. patikrinamas matavimo priemonių veikimas;</w:t>
      </w:r>
    </w:p>
    <w:p w14:paraId="68150E88" w14:textId="0AA9FFF8" w:rsidR="00E517A5" w:rsidRDefault="00CB375A" w:rsidP="00780353">
      <w:pPr>
        <w:tabs>
          <w:tab w:val="left" w:pos="1545"/>
        </w:tabs>
        <w:spacing w:line="276" w:lineRule="auto"/>
        <w:jc w:val="both"/>
      </w:pPr>
      <w:r>
        <w:t>1.</w:t>
      </w:r>
      <w:r w:rsidR="00E517A5">
        <w:t>2.6. prapučiami manometrų, slėgio reguliatorių uždarymo vožtuvų impulsiniai vamzdeliai</w:t>
      </w:r>
      <w:r w:rsidR="00021188">
        <w:t>.</w:t>
      </w:r>
    </w:p>
    <w:p w14:paraId="26AF2F30" w14:textId="417DA68A" w:rsidR="0016364B" w:rsidRPr="0016364B" w:rsidRDefault="00145B9C" w:rsidP="00780353">
      <w:pPr>
        <w:tabs>
          <w:tab w:val="left" w:pos="1545"/>
        </w:tabs>
        <w:spacing w:line="276" w:lineRule="auto"/>
        <w:jc w:val="both"/>
        <w:rPr>
          <w:b/>
          <w:bCs/>
        </w:rPr>
      </w:pPr>
      <w:r>
        <w:rPr>
          <w:b/>
          <w:bCs/>
        </w:rPr>
        <w:t>2.</w:t>
      </w:r>
      <w:r w:rsidR="0016364B" w:rsidRPr="0016364B">
        <w:rPr>
          <w:b/>
          <w:bCs/>
        </w:rPr>
        <w:t xml:space="preserve"> </w:t>
      </w:r>
      <w:r w:rsidR="002630DE" w:rsidRPr="000736D9">
        <w:rPr>
          <w:b/>
          <w:bCs/>
        </w:rPr>
        <w:t>Dujų slėgio reguliavimo įrenginių ir dujų slėgio reguliavimo įtaisų t</w:t>
      </w:r>
      <w:r w:rsidR="0016364B" w:rsidRPr="000736D9">
        <w:rPr>
          <w:b/>
          <w:bCs/>
        </w:rPr>
        <w:t>echninio patikrinimo metu atliekamos ir apžiūros</w:t>
      </w:r>
      <w:r w:rsidR="0016364B" w:rsidRPr="0016364B">
        <w:rPr>
          <w:b/>
          <w:bCs/>
        </w:rPr>
        <w:t>.</w:t>
      </w:r>
    </w:p>
    <w:p w14:paraId="29B21AC2" w14:textId="03A926D3" w:rsidR="0016364B" w:rsidRPr="0016364B" w:rsidRDefault="00145B9C" w:rsidP="00780353">
      <w:pPr>
        <w:tabs>
          <w:tab w:val="left" w:pos="1545"/>
        </w:tabs>
        <w:spacing w:line="276" w:lineRule="auto"/>
        <w:jc w:val="both"/>
        <w:rPr>
          <w:b/>
          <w:bCs/>
        </w:rPr>
      </w:pPr>
      <w:bookmarkStart w:id="2" w:name="part_05987689fad64ee798f0a7578fa1e208"/>
      <w:bookmarkEnd w:id="2"/>
      <w:r>
        <w:rPr>
          <w:b/>
          <w:bCs/>
        </w:rPr>
        <w:t>3.</w:t>
      </w:r>
      <w:r w:rsidR="00CF7373">
        <w:t xml:space="preserve"> </w:t>
      </w:r>
      <w:r w:rsidR="00CF7373" w:rsidRPr="000736D9">
        <w:rPr>
          <w:b/>
          <w:bCs/>
        </w:rPr>
        <w:t xml:space="preserve">Remontas </w:t>
      </w:r>
      <w:r w:rsidR="0016364B" w:rsidRPr="000736D9">
        <w:rPr>
          <w:b/>
          <w:bCs/>
        </w:rPr>
        <w:t>atliekam</w:t>
      </w:r>
      <w:r w:rsidR="00481ED5" w:rsidRPr="000736D9">
        <w:rPr>
          <w:b/>
          <w:bCs/>
        </w:rPr>
        <w:t>as</w:t>
      </w:r>
      <w:r w:rsidR="0016364B" w:rsidRPr="000736D9">
        <w:rPr>
          <w:b/>
          <w:bCs/>
        </w:rPr>
        <w:t xml:space="preserve"> nustačius gedimą ar veikimo sutrikimą, ar pagal gamintojo dokumentacijoje pateiktus nurodymus.</w:t>
      </w:r>
    </w:p>
    <w:p w14:paraId="30B9418B" w14:textId="6C9F1CE7" w:rsidR="0016364B" w:rsidRPr="0016364B" w:rsidRDefault="00944AB6" w:rsidP="00780353">
      <w:pPr>
        <w:tabs>
          <w:tab w:val="left" w:pos="1545"/>
        </w:tabs>
        <w:spacing w:line="276" w:lineRule="auto"/>
        <w:jc w:val="both"/>
        <w:rPr>
          <w:b/>
          <w:bCs/>
        </w:rPr>
      </w:pPr>
      <w:bookmarkStart w:id="3" w:name="part_e5d3fe9973654d928c92ee5313644122"/>
      <w:bookmarkStart w:id="4" w:name="_Hlk224545097"/>
      <w:bookmarkEnd w:id="3"/>
      <w:r>
        <w:rPr>
          <w:b/>
          <w:bCs/>
        </w:rPr>
        <w:t>4.</w:t>
      </w:r>
      <w:r w:rsidR="00021188" w:rsidRPr="00021188">
        <w:rPr>
          <w:b/>
          <w:bCs/>
        </w:rPr>
        <w:t xml:space="preserve"> </w:t>
      </w:r>
      <w:r w:rsidR="0016364B" w:rsidRPr="0016364B">
        <w:rPr>
          <w:b/>
          <w:bCs/>
        </w:rPr>
        <w:t xml:space="preserve">Dujų slėgio reguliavimo įtaisų </w:t>
      </w:r>
      <w:r w:rsidR="0016364B" w:rsidRPr="00BF7E33">
        <w:rPr>
          <w:b/>
          <w:bCs/>
        </w:rPr>
        <w:t>techninės priežiūros</w:t>
      </w:r>
      <w:r w:rsidR="0016364B" w:rsidRPr="0016364B">
        <w:rPr>
          <w:b/>
          <w:bCs/>
        </w:rPr>
        <w:t xml:space="preserve"> metu atliekam</w:t>
      </w:r>
      <w:r w:rsidR="00021188">
        <w:rPr>
          <w:b/>
          <w:bCs/>
        </w:rPr>
        <w:t>a</w:t>
      </w:r>
      <w:r w:rsidR="0016364B" w:rsidRPr="0016364B">
        <w:rPr>
          <w:b/>
          <w:bCs/>
        </w:rPr>
        <w:t>:</w:t>
      </w:r>
    </w:p>
    <w:p w14:paraId="4E144CC2" w14:textId="09751E0D" w:rsidR="0016364B" w:rsidRPr="0016364B" w:rsidRDefault="00944AB6" w:rsidP="00780353">
      <w:pPr>
        <w:tabs>
          <w:tab w:val="left" w:pos="1545"/>
        </w:tabs>
        <w:spacing w:line="276" w:lineRule="auto"/>
        <w:jc w:val="both"/>
      </w:pPr>
      <w:bookmarkStart w:id="5" w:name="part_9defd42b5ab346e7910c2c739f58de88"/>
      <w:bookmarkEnd w:id="5"/>
      <w:r>
        <w:t>4.</w:t>
      </w:r>
      <w:r w:rsidR="0016364B" w:rsidRPr="0016364B">
        <w:t>1. apžiūrimos dujų slėgio reguliavimo įtaisų įrengimo spintelės, jos konstrukcinės dalys, apsaugos zona;</w:t>
      </w:r>
    </w:p>
    <w:p w14:paraId="7BD19174" w14:textId="6D0EA047" w:rsidR="0016364B" w:rsidRPr="0016364B" w:rsidRDefault="00944AB6" w:rsidP="00780353">
      <w:pPr>
        <w:tabs>
          <w:tab w:val="left" w:pos="1545"/>
        </w:tabs>
        <w:spacing w:line="276" w:lineRule="auto"/>
        <w:jc w:val="both"/>
      </w:pPr>
      <w:bookmarkStart w:id="6" w:name="part_5ef8f72f12e944098e3620863425407a"/>
      <w:bookmarkEnd w:id="6"/>
      <w:r>
        <w:t>4</w:t>
      </w:r>
      <w:r w:rsidR="0016364B" w:rsidRPr="0016364B">
        <w:t>.2. apžiūrimi dujų slėgio reguliatoriai, uždarymo įtaisai;</w:t>
      </w:r>
    </w:p>
    <w:p w14:paraId="31C60D52" w14:textId="6527AF8A" w:rsidR="0016364B" w:rsidRPr="0016364B" w:rsidRDefault="00944AB6" w:rsidP="00780353">
      <w:pPr>
        <w:tabs>
          <w:tab w:val="left" w:pos="1545"/>
        </w:tabs>
        <w:spacing w:line="276" w:lineRule="auto"/>
        <w:jc w:val="both"/>
      </w:pPr>
      <w:bookmarkStart w:id="7" w:name="part_0f50374f9f3a46abb71c7197456f298c"/>
      <w:bookmarkEnd w:id="7"/>
      <w:r>
        <w:t>4</w:t>
      </w:r>
      <w:r w:rsidR="0016364B" w:rsidRPr="0016364B">
        <w:t>.3. patikrinamas uždarymo įtaisų, jungčių, dujų slėgio reguliatorių sandarumas;</w:t>
      </w:r>
    </w:p>
    <w:p w14:paraId="15F9D823" w14:textId="06606A6A" w:rsidR="0016364B" w:rsidRPr="0016364B" w:rsidRDefault="00944AB6" w:rsidP="00780353">
      <w:pPr>
        <w:tabs>
          <w:tab w:val="left" w:pos="1545"/>
        </w:tabs>
        <w:spacing w:line="276" w:lineRule="auto"/>
        <w:jc w:val="both"/>
      </w:pPr>
      <w:bookmarkStart w:id="8" w:name="part_a0780567065d4ddc876ade6773ab4ac4"/>
      <w:bookmarkEnd w:id="8"/>
      <w:r>
        <w:lastRenderedPageBreak/>
        <w:t>4</w:t>
      </w:r>
      <w:r w:rsidR="0016364B" w:rsidRPr="0016364B">
        <w:t>.4. pašalinami dujų nuotėkiai</w:t>
      </w:r>
      <w:r w:rsidR="000736D9">
        <w:t>.</w:t>
      </w:r>
    </w:p>
    <w:p w14:paraId="4B7282A8" w14:textId="6FCE27E6" w:rsidR="00F249F9" w:rsidRPr="00EE6CD3" w:rsidRDefault="00F249F9" w:rsidP="00780353">
      <w:pPr>
        <w:tabs>
          <w:tab w:val="left" w:pos="1545"/>
        </w:tabs>
        <w:jc w:val="both"/>
      </w:pPr>
      <w:bookmarkStart w:id="9" w:name="part_7491f6da9fbd42f3af07d23bed088098"/>
      <w:bookmarkStart w:id="10" w:name="part_9f0e44c6b36442cd9d9d44e5a31009ae"/>
      <w:bookmarkEnd w:id="9"/>
      <w:bookmarkEnd w:id="10"/>
    </w:p>
    <w:bookmarkEnd w:id="4"/>
    <w:p w14:paraId="37C58055" w14:textId="1219DF8E" w:rsidR="00343FA7" w:rsidRPr="00EE6CD3" w:rsidRDefault="007A255E" w:rsidP="004F3150">
      <w:pPr>
        <w:tabs>
          <w:tab w:val="left" w:pos="1545"/>
        </w:tabs>
        <w:jc w:val="both"/>
        <w:rPr>
          <w:b/>
          <w:bCs/>
        </w:rPr>
      </w:pPr>
      <w:r>
        <w:rPr>
          <w:b/>
          <w:bCs/>
        </w:rPr>
        <w:t>5</w:t>
      </w:r>
      <w:r w:rsidR="00343FA7" w:rsidRPr="00EE6CD3">
        <w:rPr>
          <w:b/>
          <w:bCs/>
        </w:rPr>
        <w:t xml:space="preserve">. </w:t>
      </w:r>
      <w:r w:rsidR="007E69F4">
        <w:rPr>
          <w:b/>
          <w:bCs/>
        </w:rPr>
        <w:t>D</w:t>
      </w:r>
      <w:r w:rsidR="007E69F4" w:rsidRPr="007E69F4">
        <w:rPr>
          <w:b/>
          <w:bCs/>
        </w:rPr>
        <w:t xml:space="preserve">ujų slėgio reguliavimo įrenginių ir dujų slėgio reguliavimo įtaisų </w:t>
      </w:r>
      <w:r w:rsidR="00343FA7" w:rsidRPr="0097633A">
        <w:rPr>
          <w:b/>
          <w:bCs/>
        </w:rPr>
        <w:t>remontas</w:t>
      </w:r>
      <w:r w:rsidR="003612EC" w:rsidRPr="0097633A">
        <w:rPr>
          <w:b/>
          <w:bCs/>
        </w:rPr>
        <w:t>*</w:t>
      </w:r>
      <w:r w:rsidR="00343FA7" w:rsidRPr="00F73B93">
        <w:t xml:space="preserve"> – preliminarus valandų skaičius </w:t>
      </w:r>
      <w:r w:rsidR="00436696" w:rsidRPr="00F73B93">
        <w:t>9</w:t>
      </w:r>
      <w:r w:rsidR="00343FA7" w:rsidRPr="00F73B93">
        <w:t xml:space="preserve"> valandos.</w:t>
      </w:r>
    </w:p>
    <w:p w14:paraId="3817370F" w14:textId="4219B21F" w:rsidR="002E37DA" w:rsidRDefault="003612EC" w:rsidP="00481ED5">
      <w:pPr>
        <w:tabs>
          <w:tab w:val="left" w:pos="1545"/>
        </w:tabs>
        <w:jc w:val="both"/>
      </w:pPr>
      <w:r>
        <w:rPr>
          <w:b/>
          <w:bCs/>
        </w:rPr>
        <w:t>*</w:t>
      </w:r>
      <w:r w:rsidR="00343FA7" w:rsidRPr="00EE6CD3">
        <w:rPr>
          <w:b/>
          <w:bCs/>
        </w:rPr>
        <w:t>Pastaba:</w:t>
      </w:r>
      <w:r w:rsidR="00343FA7" w:rsidRPr="00EE6CD3">
        <w:t xml:space="preserve"> </w:t>
      </w:r>
      <w:r w:rsidR="007E69F4" w:rsidRPr="007E69F4">
        <w:t xml:space="preserve">Dujų slėgio reguliavimo įrenginių ir dujų slėgio reguliavimo įtaisų </w:t>
      </w:r>
      <w:r w:rsidR="00343FA7" w:rsidRPr="00EE6CD3">
        <w:t>remonto paslaugos bus perkamos pagal poreikį</w:t>
      </w:r>
      <w:r w:rsidR="00FF7719" w:rsidRPr="00EE6CD3">
        <w:t>.</w:t>
      </w:r>
    </w:p>
    <w:p w14:paraId="36C291C6" w14:textId="77777777" w:rsidR="00481ED5" w:rsidRDefault="00481ED5" w:rsidP="00481ED5">
      <w:pPr>
        <w:tabs>
          <w:tab w:val="left" w:pos="1545"/>
        </w:tabs>
        <w:jc w:val="both"/>
      </w:pPr>
    </w:p>
    <w:p w14:paraId="75473911" w14:textId="05A2015D" w:rsidR="00B31574" w:rsidRDefault="007A255E" w:rsidP="004F3150">
      <w:pPr>
        <w:tabs>
          <w:tab w:val="left" w:pos="1545"/>
        </w:tabs>
        <w:jc w:val="both"/>
      </w:pPr>
      <w:r>
        <w:rPr>
          <w:b/>
          <w:bCs/>
        </w:rPr>
        <w:t>6</w:t>
      </w:r>
      <w:r w:rsidR="00481ED5">
        <w:rPr>
          <w:b/>
          <w:bCs/>
        </w:rPr>
        <w:t>.</w:t>
      </w:r>
      <w:r w:rsidR="002E37DA">
        <w:t xml:space="preserve"> </w:t>
      </w:r>
      <w:r w:rsidR="002E37DA" w:rsidRPr="002E37DA">
        <w:t>Paslaug</w:t>
      </w:r>
      <w:r w:rsidR="002E37DA">
        <w:t>ų</w:t>
      </w:r>
      <w:r w:rsidR="002E37DA" w:rsidRPr="002E37DA">
        <w:t xml:space="preserve"> teikėjas turi atlikti </w:t>
      </w:r>
      <w:r w:rsidR="00694646">
        <w:t>d</w:t>
      </w:r>
      <w:r w:rsidR="00694646" w:rsidRPr="00A12017">
        <w:t>ujų slėgio reguliavimo įrenginių ir dujų slėgio reguliavimo įtaisų</w:t>
      </w:r>
      <w:r w:rsidR="002E37DA" w:rsidRPr="007E69F4">
        <w:rPr>
          <w:b/>
        </w:rPr>
        <w:t xml:space="preserve"> </w:t>
      </w:r>
      <w:r w:rsidR="002E37DA" w:rsidRPr="002E37DA">
        <w:t>remonto paslaugas iš anksto su Paslaug</w:t>
      </w:r>
      <w:r w:rsidR="002F2460">
        <w:t>ų</w:t>
      </w:r>
      <w:r w:rsidR="002E37DA" w:rsidRPr="002E37DA">
        <w:t xml:space="preserve"> pirkėju suderinęs valandų skaičių bei sąmatą, reikalingą remonto paslaugai atlikti, nuo gedimo identifikavimo momento. Jeigu Paslaugų teikėjas per nurodytą laiką negali įvykdyti įsipareigojimų, tokiu atveju Paslaugų atlikimo laikas gali būti pratęstas, informavus Paslaugų pirkėją el. paštu, nurodant vėlavimo priežastį</w:t>
      </w:r>
      <w:r w:rsidR="00CA28BE">
        <w:t>.</w:t>
      </w:r>
    </w:p>
    <w:p w14:paraId="03C0C002" w14:textId="77777777" w:rsidR="00F07A93" w:rsidRDefault="00F07A93" w:rsidP="004F3150">
      <w:pPr>
        <w:tabs>
          <w:tab w:val="left" w:pos="1545"/>
        </w:tabs>
        <w:jc w:val="both"/>
      </w:pPr>
    </w:p>
    <w:p w14:paraId="27E1F37A" w14:textId="331AF7CC" w:rsidR="00FE6296" w:rsidRPr="00F73B93" w:rsidRDefault="007A255E" w:rsidP="004F3150">
      <w:pPr>
        <w:tabs>
          <w:tab w:val="left" w:pos="1545"/>
        </w:tabs>
        <w:jc w:val="both"/>
      </w:pPr>
      <w:r>
        <w:rPr>
          <w:b/>
          <w:bCs/>
        </w:rPr>
        <w:t>7</w:t>
      </w:r>
      <w:r w:rsidR="00FE6296">
        <w:rPr>
          <w:b/>
          <w:bCs/>
        </w:rPr>
        <w:t xml:space="preserve">. </w:t>
      </w:r>
      <w:r w:rsidR="00FE6296" w:rsidRPr="001E652D">
        <w:t xml:space="preserve">Paslaugų </w:t>
      </w:r>
      <w:r w:rsidR="000D230C" w:rsidRPr="001E652D">
        <w:t xml:space="preserve">teikimo </w:t>
      </w:r>
      <w:r w:rsidR="00FE6296" w:rsidRPr="001E652D">
        <w:t>laikotarpis</w:t>
      </w:r>
      <w:r w:rsidR="00FE6296" w:rsidRPr="00F73B93">
        <w:t xml:space="preserve"> – 36 mėn.</w:t>
      </w:r>
    </w:p>
    <w:p w14:paraId="7CA177B0" w14:textId="5979A7A7" w:rsidR="0071032A" w:rsidRPr="00EE6CD3" w:rsidRDefault="0071032A" w:rsidP="004F3150">
      <w:pPr>
        <w:tabs>
          <w:tab w:val="left" w:pos="1545"/>
        </w:tabs>
        <w:jc w:val="both"/>
        <w:rPr>
          <w:b/>
          <w:bCs/>
        </w:rPr>
      </w:pPr>
    </w:p>
    <w:p w14:paraId="789E1F5B" w14:textId="15F5A9C8" w:rsidR="00775D5D" w:rsidRPr="0097633A" w:rsidRDefault="007A255E" w:rsidP="00775D5D">
      <w:pPr>
        <w:tabs>
          <w:tab w:val="left" w:pos="1545"/>
        </w:tabs>
        <w:jc w:val="both"/>
        <w:rPr>
          <w:b/>
          <w:bCs/>
        </w:rPr>
      </w:pPr>
      <w:r>
        <w:rPr>
          <w:b/>
          <w:bCs/>
        </w:rPr>
        <w:t>8</w:t>
      </w:r>
      <w:r w:rsidR="0071032A" w:rsidRPr="00EE6CD3">
        <w:rPr>
          <w:b/>
          <w:bCs/>
        </w:rPr>
        <w:t xml:space="preserve">. </w:t>
      </w:r>
      <w:r w:rsidR="00F07A93" w:rsidRPr="00F07A93">
        <w:t>Dujų slėgio reguliavimo įrenginių ir dujų slėgio reguliavimo įtaisų techninės priežiūros paslaugos turi būti atliekamos vadovaujantis Gamtinių dujų skirstymo ir vartotojų sistemų eksploatavimo taisyklių, patvirtintų Lietuvos Respublikos energetikos ministro 2012-05-02 įsakymu Nr. 1-82 „Dėl gamtinių dujų skirstymo ir vartotojų sistemų eksploatavimo taisyklių patvirtinimo“, 2 priedo 2 lentelėje nurodytu periodiškumu, iš anksto suderinus laiką su Paslaugų pirkėjo atsakingu asmeniu</w:t>
      </w:r>
      <w:r w:rsidR="0071032A" w:rsidRPr="0097633A">
        <w:rPr>
          <w:b/>
          <w:bCs/>
        </w:rPr>
        <w:t>:</w:t>
      </w:r>
    </w:p>
    <w:p w14:paraId="56DA42E9" w14:textId="77777777" w:rsidR="0071032A" w:rsidRPr="00EE6CD3" w:rsidRDefault="0071032A" w:rsidP="0071032A">
      <w:pPr>
        <w:jc w:val="center"/>
        <w:rPr>
          <w:b/>
          <w:lang w:eastAsia="en-US"/>
        </w:rPr>
      </w:pPr>
    </w:p>
    <w:tbl>
      <w:tblPr>
        <w:tblStyle w:val="Lentelstinklelis"/>
        <w:tblW w:w="0" w:type="auto"/>
        <w:tblLook w:val="04A0" w:firstRow="1" w:lastRow="0" w:firstColumn="1" w:lastColumn="0" w:noHBand="0" w:noVBand="1"/>
      </w:tblPr>
      <w:tblGrid>
        <w:gridCol w:w="666"/>
        <w:gridCol w:w="672"/>
        <w:gridCol w:w="672"/>
        <w:gridCol w:w="672"/>
        <w:gridCol w:w="672"/>
        <w:gridCol w:w="672"/>
        <w:gridCol w:w="672"/>
        <w:gridCol w:w="672"/>
        <w:gridCol w:w="672"/>
        <w:gridCol w:w="672"/>
        <w:gridCol w:w="85"/>
        <w:gridCol w:w="587"/>
        <w:gridCol w:w="678"/>
      </w:tblGrid>
      <w:tr w:rsidR="002918F8" w:rsidRPr="00EE6CD3" w14:paraId="3204B501" w14:textId="77777777" w:rsidTr="00B95063">
        <w:trPr>
          <w:trHeight w:val="437"/>
        </w:trPr>
        <w:tc>
          <w:tcPr>
            <w:tcW w:w="8064" w:type="dxa"/>
            <w:gridSpan w:val="13"/>
          </w:tcPr>
          <w:p w14:paraId="0E45C78E" w14:textId="44262AD7" w:rsidR="002918F8" w:rsidRPr="00EA1CBB" w:rsidRDefault="00F94FE5" w:rsidP="004C0C82">
            <w:pPr>
              <w:jc w:val="center"/>
              <w:rPr>
                <w:b/>
                <w:lang w:eastAsia="en-US"/>
              </w:rPr>
            </w:pPr>
            <w:bookmarkStart w:id="11" w:name="_Hlk223682671"/>
            <w:r w:rsidRPr="00EA1CBB">
              <w:rPr>
                <w:b/>
                <w:lang w:eastAsia="en-US"/>
              </w:rPr>
              <w:t>202</w:t>
            </w:r>
            <w:r w:rsidR="00E12529">
              <w:rPr>
                <w:b/>
                <w:lang w:eastAsia="en-US"/>
              </w:rPr>
              <w:t>6</w:t>
            </w:r>
            <w:r w:rsidR="00775D5D">
              <w:rPr>
                <w:b/>
                <w:lang w:eastAsia="en-US"/>
              </w:rPr>
              <w:t xml:space="preserve"> metai</w:t>
            </w:r>
            <w:r w:rsidR="00EA1CBB">
              <w:rPr>
                <w:b/>
                <w:lang w:eastAsia="en-US"/>
              </w:rPr>
              <w:t xml:space="preserve"> </w:t>
            </w:r>
            <w:r w:rsidRPr="00EA1CBB">
              <w:rPr>
                <w:b/>
                <w:lang w:eastAsia="en-US"/>
              </w:rPr>
              <w:t>/</w:t>
            </w:r>
            <w:r w:rsidR="00EA1CBB">
              <w:rPr>
                <w:b/>
                <w:lang w:eastAsia="en-US"/>
              </w:rPr>
              <w:t xml:space="preserve"> </w:t>
            </w:r>
            <w:r w:rsidRPr="00EA1CBB">
              <w:rPr>
                <w:b/>
                <w:lang w:eastAsia="en-US"/>
              </w:rPr>
              <w:t>m</w:t>
            </w:r>
            <w:r w:rsidR="002918F8" w:rsidRPr="00EA1CBB">
              <w:rPr>
                <w:b/>
                <w:lang w:eastAsia="en-US"/>
              </w:rPr>
              <w:t>ėnuo</w:t>
            </w:r>
          </w:p>
        </w:tc>
      </w:tr>
      <w:tr w:rsidR="002918F8" w:rsidRPr="00EE6CD3" w14:paraId="24F9E031" w14:textId="77777777" w:rsidTr="00E12529">
        <w:trPr>
          <w:trHeight w:val="360"/>
        </w:trPr>
        <w:tc>
          <w:tcPr>
            <w:tcW w:w="666" w:type="dxa"/>
          </w:tcPr>
          <w:p w14:paraId="79A0BC8E" w14:textId="77777777" w:rsidR="002918F8" w:rsidRPr="00EE6CD3" w:rsidRDefault="002918F8" w:rsidP="004C0C82">
            <w:pPr>
              <w:jc w:val="center"/>
              <w:rPr>
                <w:bCs/>
                <w:lang w:eastAsia="en-US"/>
              </w:rPr>
            </w:pPr>
            <w:r w:rsidRPr="00EE6CD3">
              <w:rPr>
                <w:bCs/>
                <w:lang w:eastAsia="en-US"/>
              </w:rPr>
              <w:t>1</w:t>
            </w:r>
          </w:p>
        </w:tc>
        <w:tc>
          <w:tcPr>
            <w:tcW w:w="672" w:type="dxa"/>
          </w:tcPr>
          <w:p w14:paraId="266E8195" w14:textId="77777777" w:rsidR="002918F8" w:rsidRPr="00EE6CD3" w:rsidRDefault="002918F8" w:rsidP="004C0C82">
            <w:pPr>
              <w:jc w:val="center"/>
              <w:rPr>
                <w:bCs/>
                <w:lang w:eastAsia="en-US"/>
              </w:rPr>
            </w:pPr>
            <w:r w:rsidRPr="00EE6CD3">
              <w:rPr>
                <w:bCs/>
                <w:lang w:eastAsia="en-US"/>
              </w:rPr>
              <w:t>2</w:t>
            </w:r>
          </w:p>
        </w:tc>
        <w:tc>
          <w:tcPr>
            <w:tcW w:w="672" w:type="dxa"/>
          </w:tcPr>
          <w:p w14:paraId="786DFD7A" w14:textId="77777777" w:rsidR="002918F8" w:rsidRPr="00EE6CD3" w:rsidRDefault="002918F8" w:rsidP="004C0C82">
            <w:pPr>
              <w:jc w:val="center"/>
              <w:rPr>
                <w:bCs/>
                <w:lang w:eastAsia="en-US"/>
              </w:rPr>
            </w:pPr>
            <w:r w:rsidRPr="00EE6CD3">
              <w:rPr>
                <w:bCs/>
                <w:lang w:eastAsia="en-US"/>
              </w:rPr>
              <w:t>3</w:t>
            </w:r>
          </w:p>
        </w:tc>
        <w:tc>
          <w:tcPr>
            <w:tcW w:w="672" w:type="dxa"/>
          </w:tcPr>
          <w:p w14:paraId="2EA2350C" w14:textId="77777777" w:rsidR="002918F8" w:rsidRPr="00EE6CD3" w:rsidRDefault="002918F8" w:rsidP="004C0C82">
            <w:pPr>
              <w:jc w:val="center"/>
              <w:rPr>
                <w:bCs/>
                <w:lang w:eastAsia="en-US"/>
              </w:rPr>
            </w:pPr>
            <w:r w:rsidRPr="00EE6CD3">
              <w:rPr>
                <w:bCs/>
                <w:lang w:eastAsia="en-US"/>
              </w:rPr>
              <w:t>4</w:t>
            </w:r>
          </w:p>
        </w:tc>
        <w:tc>
          <w:tcPr>
            <w:tcW w:w="672" w:type="dxa"/>
          </w:tcPr>
          <w:p w14:paraId="1FD9CD6D" w14:textId="77777777" w:rsidR="002918F8" w:rsidRPr="00EE6CD3" w:rsidRDefault="002918F8" w:rsidP="004C0C82">
            <w:pPr>
              <w:jc w:val="center"/>
              <w:rPr>
                <w:bCs/>
                <w:lang w:eastAsia="en-US"/>
              </w:rPr>
            </w:pPr>
            <w:r w:rsidRPr="00EE6CD3">
              <w:rPr>
                <w:bCs/>
                <w:lang w:eastAsia="en-US"/>
              </w:rPr>
              <w:t>5</w:t>
            </w:r>
          </w:p>
        </w:tc>
        <w:tc>
          <w:tcPr>
            <w:tcW w:w="672" w:type="dxa"/>
          </w:tcPr>
          <w:p w14:paraId="01AA8DB1" w14:textId="77777777" w:rsidR="002918F8" w:rsidRPr="00EE6CD3" w:rsidRDefault="002918F8" w:rsidP="004C0C82">
            <w:pPr>
              <w:jc w:val="center"/>
              <w:rPr>
                <w:bCs/>
                <w:lang w:eastAsia="en-US"/>
              </w:rPr>
            </w:pPr>
            <w:r w:rsidRPr="00EE6CD3">
              <w:rPr>
                <w:bCs/>
                <w:lang w:eastAsia="en-US"/>
              </w:rPr>
              <w:t>6</w:t>
            </w:r>
          </w:p>
        </w:tc>
        <w:tc>
          <w:tcPr>
            <w:tcW w:w="672" w:type="dxa"/>
          </w:tcPr>
          <w:p w14:paraId="070A7088" w14:textId="77777777" w:rsidR="002918F8" w:rsidRPr="00EE6CD3" w:rsidRDefault="002918F8" w:rsidP="004C0C82">
            <w:pPr>
              <w:jc w:val="center"/>
              <w:rPr>
                <w:bCs/>
                <w:lang w:eastAsia="en-US"/>
              </w:rPr>
            </w:pPr>
            <w:r w:rsidRPr="00EE6CD3">
              <w:rPr>
                <w:bCs/>
                <w:lang w:eastAsia="en-US"/>
              </w:rPr>
              <w:t>7</w:t>
            </w:r>
          </w:p>
        </w:tc>
        <w:tc>
          <w:tcPr>
            <w:tcW w:w="672" w:type="dxa"/>
          </w:tcPr>
          <w:p w14:paraId="368BD1D9" w14:textId="77777777" w:rsidR="002918F8" w:rsidRPr="00EE6CD3" w:rsidRDefault="002918F8" w:rsidP="004C0C82">
            <w:pPr>
              <w:jc w:val="center"/>
              <w:rPr>
                <w:bCs/>
                <w:lang w:eastAsia="en-US"/>
              </w:rPr>
            </w:pPr>
            <w:r w:rsidRPr="00EE6CD3">
              <w:rPr>
                <w:bCs/>
                <w:lang w:eastAsia="en-US"/>
              </w:rPr>
              <w:t>8</w:t>
            </w:r>
          </w:p>
        </w:tc>
        <w:tc>
          <w:tcPr>
            <w:tcW w:w="672" w:type="dxa"/>
          </w:tcPr>
          <w:p w14:paraId="2CFE4465" w14:textId="77777777" w:rsidR="002918F8" w:rsidRPr="00EE6CD3" w:rsidRDefault="002918F8" w:rsidP="004C0C82">
            <w:pPr>
              <w:jc w:val="center"/>
              <w:rPr>
                <w:bCs/>
                <w:lang w:eastAsia="en-US"/>
              </w:rPr>
            </w:pPr>
            <w:r w:rsidRPr="00EE6CD3">
              <w:rPr>
                <w:bCs/>
                <w:lang w:eastAsia="en-US"/>
              </w:rPr>
              <w:t>9</w:t>
            </w:r>
          </w:p>
        </w:tc>
        <w:tc>
          <w:tcPr>
            <w:tcW w:w="672" w:type="dxa"/>
          </w:tcPr>
          <w:p w14:paraId="3192A7B1" w14:textId="77777777" w:rsidR="002918F8" w:rsidRPr="00EE6CD3" w:rsidRDefault="002918F8" w:rsidP="004C0C82">
            <w:pPr>
              <w:jc w:val="center"/>
              <w:rPr>
                <w:bCs/>
                <w:lang w:eastAsia="en-US"/>
              </w:rPr>
            </w:pPr>
            <w:r w:rsidRPr="00EE6CD3">
              <w:rPr>
                <w:bCs/>
                <w:lang w:eastAsia="en-US"/>
              </w:rPr>
              <w:t>10</w:t>
            </w:r>
          </w:p>
        </w:tc>
        <w:tc>
          <w:tcPr>
            <w:tcW w:w="672" w:type="dxa"/>
            <w:gridSpan w:val="2"/>
          </w:tcPr>
          <w:p w14:paraId="6237F256" w14:textId="77777777" w:rsidR="002918F8" w:rsidRPr="00EE6CD3" w:rsidRDefault="002918F8" w:rsidP="004C0C82">
            <w:pPr>
              <w:jc w:val="center"/>
              <w:rPr>
                <w:bCs/>
                <w:lang w:eastAsia="en-US"/>
              </w:rPr>
            </w:pPr>
            <w:r w:rsidRPr="00EE6CD3">
              <w:rPr>
                <w:bCs/>
                <w:lang w:eastAsia="en-US"/>
              </w:rPr>
              <w:t>11</w:t>
            </w:r>
          </w:p>
        </w:tc>
        <w:tc>
          <w:tcPr>
            <w:tcW w:w="678" w:type="dxa"/>
          </w:tcPr>
          <w:p w14:paraId="1758C08F" w14:textId="77777777" w:rsidR="002918F8" w:rsidRPr="00EE6CD3" w:rsidRDefault="002918F8" w:rsidP="004C0C82">
            <w:pPr>
              <w:jc w:val="center"/>
              <w:rPr>
                <w:bCs/>
                <w:lang w:eastAsia="en-US"/>
              </w:rPr>
            </w:pPr>
            <w:r w:rsidRPr="00EE6CD3">
              <w:rPr>
                <w:bCs/>
                <w:lang w:eastAsia="en-US"/>
              </w:rPr>
              <w:t>12</w:t>
            </w:r>
          </w:p>
        </w:tc>
      </w:tr>
      <w:tr w:rsidR="00E12529" w:rsidRPr="00EE6CD3" w14:paraId="317CB843" w14:textId="77777777" w:rsidTr="00AA513D">
        <w:trPr>
          <w:trHeight w:val="477"/>
        </w:trPr>
        <w:tc>
          <w:tcPr>
            <w:tcW w:w="666" w:type="dxa"/>
          </w:tcPr>
          <w:p w14:paraId="211A6BF4" w14:textId="77777777" w:rsidR="00E12529" w:rsidRPr="00EE6CD3" w:rsidRDefault="00E12529" w:rsidP="00E12529">
            <w:pPr>
              <w:jc w:val="center"/>
              <w:rPr>
                <w:bCs/>
                <w:lang w:eastAsia="en-US"/>
              </w:rPr>
            </w:pPr>
          </w:p>
        </w:tc>
        <w:tc>
          <w:tcPr>
            <w:tcW w:w="672" w:type="dxa"/>
          </w:tcPr>
          <w:p w14:paraId="0DAC334E" w14:textId="77777777" w:rsidR="00E12529" w:rsidRPr="00EE6CD3" w:rsidRDefault="00E12529" w:rsidP="00E12529">
            <w:pPr>
              <w:jc w:val="center"/>
              <w:rPr>
                <w:bCs/>
                <w:lang w:eastAsia="en-US"/>
              </w:rPr>
            </w:pPr>
          </w:p>
        </w:tc>
        <w:tc>
          <w:tcPr>
            <w:tcW w:w="672" w:type="dxa"/>
          </w:tcPr>
          <w:p w14:paraId="2238EBA3" w14:textId="77777777" w:rsidR="00E12529" w:rsidRPr="00EE6CD3" w:rsidRDefault="00E12529" w:rsidP="00E12529">
            <w:pPr>
              <w:jc w:val="center"/>
              <w:rPr>
                <w:bCs/>
                <w:lang w:eastAsia="en-US"/>
              </w:rPr>
            </w:pPr>
          </w:p>
        </w:tc>
        <w:tc>
          <w:tcPr>
            <w:tcW w:w="672" w:type="dxa"/>
            <w:shd w:val="clear" w:color="auto" w:fill="BFBFBF" w:themeFill="background1" w:themeFillShade="BF"/>
          </w:tcPr>
          <w:p w14:paraId="7CB49DCF" w14:textId="2E7C6400" w:rsidR="00E12529" w:rsidRPr="00EE6CD3" w:rsidRDefault="00E12529" w:rsidP="00E12529">
            <w:pPr>
              <w:jc w:val="center"/>
              <w:rPr>
                <w:bCs/>
                <w:lang w:eastAsia="en-US"/>
              </w:rPr>
            </w:pPr>
          </w:p>
        </w:tc>
        <w:tc>
          <w:tcPr>
            <w:tcW w:w="672" w:type="dxa"/>
          </w:tcPr>
          <w:p w14:paraId="381706FC" w14:textId="77777777" w:rsidR="00E12529" w:rsidRPr="00EE6CD3" w:rsidRDefault="00E12529" w:rsidP="00E12529">
            <w:pPr>
              <w:jc w:val="center"/>
              <w:rPr>
                <w:bCs/>
                <w:lang w:eastAsia="en-US"/>
              </w:rPr>
            </w:pPr>
          </w:p>
        </w:tc>
        <w:tc>
          <w:tcPr>
            <w:tcW w:w="672" w:type="dxa"/>
          </w:tcPr>
          <w:p w14:paraId="6673C3E4" w14:textId="5A1128A1" w:rsidR="00E12529" w:rsidRPr="00EE6CD3" w:rsidRDefault="00E12529" w:rsidP="00E12529">
            <w:pPr>
              <w:jc w:val="center"/>
              <w:rPr>
                <w:bCs/>
                <w:lang w:eastAsia="en-US"/>
              </w:rPr>
            </w:pPr>
          </w:p>
        </w:tc>
        <w:tc>
          <w:tcPr>
            <w:tcW w:w="672" w:type="dxa"/>
          </w:tcPr>
          <w:p w14:paraId="022EF393" w14:textId="77777777" w:rsidR="00E12529" w:rsidRPr="00EE6CD3" w:rsidRDefault="00E12529" w:rsidP="00E12529">
            <w:pPr>
              <w:jc w:val="center"/>
              <w:rPr>
                <w:bCs/>
                <w:lang w:eastAsia="en-US"/>
              </w:rPr>
            </w:pPr>
          </w:p>
        </w:tc>
        <w:tc>
          <w:tcPr>
            <w:tcW w:w="672" w:type="dxa"/>
            <w:shd w:val="clear" w:color="auto" w:fill="BFBFBF" w:themeFill="background1" w:themeFillShade="BF"/>
          </w:tcPr>
          <w:p w14:paraId="5E42F789" w14:textId="77777777" w:rsidR="00E12529" w:rsidRPr="00EE6CD3" w:rsidRDefault="00E12529" w:rsidP="00E12529">
            <w:pPr>
              <w:jc w:val="center"/>
              <w:rPr>
                <w:bCs/>
                <w:lang w:eastAsia="en-US"/>
              </w:rPr>
            </w:pPr>
          </w:p>
        </w:tc>
        <w:tc>
          <w:tcPr>
            <w:tcW w:w="672" w:type="dxa"/>
          </w:tcPr>
          <w:p w14:paraId="4A1F3842" w14:textId="77777777" w:rsidR="00E12529" w:rsidRPr="00EE6CD3" w:rsidRDefault="00E12529" w:rsidP="00E12529">
            <w:pPr>
              <w:jc w:val="center"/>
              <w:rPr>
                <w:bCs/>
                <w:lang w:eastAsia="en-US"/>
              </w:rPr>
            </w:pPr>
          </w:p>
        </w:tc>
        <w:tc>
          <w:tcPr>
            <w:tcW w:w="672" w:type="dxa"/>
            <w:shd w:val="clear" w:color="auto" w:fill="404040" w:themeFill="text1" w:themeFillTint="BF"/>
          </w:tcPr>
          <w:p w14:paraId="2ABE25A1" w14:textId="5F508147" w:rsidR="00E12529" w:rsidRPr="00EE6CD3" w:rsidRDefault="00E12529" w:rsidP="00E12529">
            <w:pPr>
              <w:jc w:val="center"/>
              <w:rPr>
                <w:bCs/>
                <w:lang w:eastAsia="en-US"/>
              </w:rPr>
            </w:pPr>
          </w:p>
        </w:tc>
        <w:tc>
          <w:tcPr>
            <w:tcW w:w="672" w:type="dxa"/>
            <w:gridSpan w:val="2"/>
          </w:tcPr>
          <w:p w14:paraId="5BB6494F" w14:textId="77777777" w:rsidR="00E12529" w:rsidRPr="00EE6CD3" w:rsidRDefault="00E12529" w:rsidP="00E12529">
            <w:pPr>
              <w:jc w:val="center"/>
              <w:rPr>
                <w:bCs/>
                <w:lang w:eastAsia="en-US"/>
              </w:rPr>
            </w:pPr>
          </w:p>
        </w:tc>
        <w:tc>
          <w:tcPr>
            <w:tcW w:w="678" w:type="dxa"/>
          </w:tcPr>
          <w:p w14:paraId="7B2741E6" w14:textId="77777777" w:rsidR="00E12529" w:rsidRPr="00EE6CD3" w:rsidRDefault="00E12529" w:rsidP="00E12529">
            <w:pPr>
              <w:jc w:val="center"/>
              <w:rPr>
                <w:bCs/>
                <w:lang w:eastAsia="en-US"/>
              </w:rPr>
            </w:pPr>
          </w:p>
        </w:tc>
      </w:tr>
      <w:tr w:rsidR="00775D5D" w:rsidRPr="00EE6CD3" w14:paraId="4E835F19" w14:textId="77777777" w:rsidTr="00775D5D">
        <w:trPr>
          <w:trHeight w:val="399"/>
        </w:trPr>
        <w:tc>
          <w:tcPr>
            <w:tcW w:w="8064" w:type="dxa"/>
            <w:gridSpan w:val="13"/>
          </w:tcPr>
          <w:p w14:paraId="3C421744" w14:textId="35D650B3" w:rsidR="00775D5D" w:rsidRPr="00EE6CD3" w:rsidRDefault="00775D5D" w:rsidP="00E12529">
            <w:pPr>
              <w:jc w:val="center"/>
              <w:rPr>
                <w:bCs/>
                <w:lang w:eastAsia="en-US"/>
              </w:rPr>
            </w:pPr>
            <w:r w:rsidRPr="00EA1CBB">
              <w:rPr>
                <w:b/>
                <w:lang w:eastAsia="en-US"/>
              </w:rPr>
              <w:t>202</w:t>
            </w:r>
            <w:r>
              <w:rPr>
                <w:b/>
                <w:lang w:eastAsia="en-US"/>
              </w:rPr>
              <w:t xml:space="preserve">7 metai </w:t>
            </w:r>
            <w:r w:rsidRPr="00EA1CBB">
              <w:rPr>
                <w:b/>
                <w:lang w:eastAsia="en-US"/>
              </w:rPr>
              <w:t>/</w:t>
            </w:r>
            <w:r>
              <w:rPr>
                <w:b/>
                <w:lang w:eastAsia="en-US"/>
              </w:rPr>
              <w:t xml:space="preserve"> </w:t>
            </w:r>
            <w:r w:rsidRPr="00EA1CBB">
              <w:rPr>
                <w:b/>
                <w:lang w:eastAsia="en-US"/>
              </w:rPr>
              <w:t>mėnuo</w:t>
            </w:r>
          </w:p>
        </w:tc>
      </w:tr>
      <w:tr w:rsidR="00775D5D" w:rsidRPr="00EE6CD3" w14:paraId="0F00F952" w14:textId="77777777" w:rsidTr="00775D5D">
        <w:trPr>
          <w:trHeight w:val="286"/>
        </w:trPr>
        <w:tc>
          <w:tcPr>
            <w:tcW w:w="666" w:type="dxa"/>
          </w:tcPr>
          <w:p w14:paraId="0AB93CD9" w14:textId="4CA22458" w:rsidR="00775D5D" w:rsidRPr="00EE6CD3" w:rsidRDefault="00775D5D" w:rsidP="00775D5D">
            <w:pPr>
              <w:jc w:val="center"/>
              <w:rPr>
                <w:bCs/>
                <w:lang w:eastAsia="en-US"/>
              </w:rPr>
            </w:pPr>
            <w:r w:rsidRPr="00EE6CD3">
              <w:rPr>
                <w:bCs/>
                <w:lang w:eastAsia="en-US"/>
              </w:rPr>
              <w:t>1</w:t>
            </w:r>
          </w:p>
        </w:tc>
        <w:tc>
          <w:tcPr>
            <w:tcW w:w="672" w:type="dxa"/>
          </w:tcPr>
          <w:p w14:paraId="7F5FFC10" w14:textId="03592A07" w:rsidR="00775D5D" w:rsidRPr="00EE6CD3" w:rsidRDefault="00775D5D" w:rsidP="00775D5D">
            <w:pPr>
              <w:jc w:val="center"/>
              <w:rPr>
                <w:bCs/>
                <w:lang w:eastAsia="en-US"/>
              </w:rPr>
            </w:pPr>
            <w:r w:rsidRPr="00EE6CD3">
              <w:rPr>
                <w:bCs/>
                <w:lang w:eastAsia="en-US"/>
              </w:rPr>
              <w:t>2</w:t>
            </w:r>
          </w:p>
        </w:tc>
        <w:tc>
          <w:tcPr>
            <w:tcW w:w="672" w:type="dxa"/>
          </w:tcPr>
          <w:p w14:paraId="2055EA99" w14:textId="0EADF92E" w:rsidR="00775D5D" w:rsidRPr="00EE6CD3" w:rsidRDefault="00775D5D" w:rsidP="00775D5D">
            <w:pPr>
              <w:jc w:val="center"/>
              <w:rPr>
                <w:bCs/>
                <w:lang w:eastAsia="en-US"/>
              </w:rPr>
            </w:pPr>
            <w:r w:rsidRPr="00EE6CD3">
              <w:rPr>
                <w:bCs/>
                <w:lang w:eastAsia="en-US"/>
              </w:rPr>
              <w:t>3</w:t>
            </w:r>
          </w:p>
        </w:tc>
        <w:tc>
          <w:tcPr>
            <w:tcW w:w="672" w:type="dxa"/>
          </w:tcPr>
          <w:p w14:paraId="1B15C1EE" w14:textId="433D1AC0" w:rsidR="00775D5D" w:rsidRPr="00EE6CD3" w:rsidRDefault="00775D5D" w:rsidP="00775D5D">
            <w:pPr>
              <w:jc w:val="center"/>
              <w:rPr>
                <w:bCs/>
                <w:lang w:eastAsia="en-US"/>
              </w:rPr>
            </w:pPr>
            <w:r w:rsidRPr="00EE6CD3">
              <w:rPr>
                <w:bCs/>
                <w:lang w:eastAsia="en-US"/>
              </w:rPr>
              <w:t>4</w:t>
            </w:r>
          </w:p>
        </w:tc>
        <w:tc>
          <w:tcPr>
            <w:tcW w:w="672" w:type="dxa"/>
          </w:tcPr>
          <w:p w14:paraId="2CBD92D7" w14:textId="1A3804B4" w:rsidR="00775D5D" w:rsidRPr="00EE6CD3" w:rsidRDefault="00775D5D" w:rsidP="00775D5D">
            <w:pPr>
              <w:jc w:val="center"/>
              <w:rPr>
                <w:bCs/>
                <w:lang w:eastAsia="en-US"/>
              </w:rPr>
            </w:pPr>
            <w:r w:rsidRPr="00EE6CD3">
              <w:rPr>
                <w:bCs/>
                <w:lang w:eastAsia="en-US"/>
              </w:rPr>
              <w:t>5</w:t>
            </w:r>
          </w:p>
        </w:tc>
        <w:tc>
          <w:tcPr>
            <w:tcW w:w="672" w:type="dxa"/>
          </w:tcPr>
          <w:p w14:paraId="7FB7119A" w14:textId="721935C5" w:rsidR="00775D5D" w:rsidRPr="00EE6CD3" w:rsidRDefault="00775D5D" w:rsidP="00775D5D">
            <w:pPr>
              <w:jc w:val="center"/>
              <w:rPr>
                <w:bCs/>
                <w:lang w:eastAsia="en-US"/>
              </w:rPr>
            </w:pPr>
            <w:r w:rsidRPr="00EE6CD3">
              <w:rPr>
                <w:bCs/>
                <w:lang w:eastAsia="en-US"/>
              </w:rPr>
              <w:t>6</w:t>
            </w:r>
          </w:p>
        </w:tc>
        <w:tc>
          <w:tcPr>
            <w:tcW w:w="672" w:type="dxa"/>
          </w:tcPr>
          <w:p w14:paraId="2D2B366F" w14:textId="4C30B23D" w:rsidR="00775D5D" w:rsidRPr="00EE6CD3" w:rsidRDefault="00775D5D" w:rsidP="00775D5D">
            <w:pPr>
              <w:jc w:val="center"/>
              <w:rPr>
                <w:bCs/>
                <w:lang w:eastAsia="en-US"/>
              </w:rPr>
            </w:pPr>
            <w:r w:rsidRPr="00EE6CD3">
              <w:rPr>
                <w:bCs/>
                <w:lang w:eastAsia="en-US"/>
              </w:rPr>
              <w:t>7</w:t>
            </w:r>
          </w:p>
        </w:tc>
        <w:tc>
          <w:tcPr>
            <w:tcW w:w="672" w:type="dxa"/>
          </w:tcPr>
          <w:p w14:paraId="6DD412F8" w14:textId="0332A8C1" w:rsidR="00775D5D" w:rsidRPr="00EE6CD3" w:rsidRDefault="00775D5D" w:rsidP="00775D5D">
            <w:pPr>
              <w:jc w:val="center"/>
              <w:rPr>
                <w:bCs/>
                <w:lang w:eastAsia="en-US"/>
              </w:rPr>
            </w:pPr>
            <w:r w:rsidRPr="00EE6CD3">
              <w:rPr>
                <w:bCs/>
                <w:lang w:eastAsia="en-US"/>
              </w:rPr>
              <w:t>8</w:t>
            </w:r>
          </w:p>
        </w:tc>
        <w:tc>
          <w:tcPr>
            <w:tcW w:w="672" w:type="dxa"/>
          </w:tcPr>
          <w:p w14:paraId="7BE89B57" w14:textId="49809861" w:rsidR="00775D5D" w:rsidRPr="00EE6CD3" w:rsidRDefault="00775D5D" w:rsidP="00775D5D">
            <w:pPr>
              <w:jc w:val="center"/>
              <w:rPr>
                <w:bCs/>
                <w:lang w:eastAsia="en-US"/>
              </w:rPr>
            </w:pPr>
            <w:r w:rsidRPr="00EE6CD3">
              <w:rPr>
                <w:bCs/>
                <w:lang w:eastAsia="en-US"/>
              </w:rPr>
              <w:t>9</w:t>
            </w:r>
          </w:p>
        </w:tc>
        <w:tc>
          <w:tcPr>
            <w:tcW w:w="672" w:type="dxa"/>
          </w:tcPr>
          <w:p w14:paraId="259C6480" w14:textId="656297C8" w:rsidR="00775D5D" w:rsidRPr="00EE6CD3" w:rsidRDefault="00775D5D" w:rsidP="00775D5D">
            <w:pPr>
              <w:jc w:val="center"/>
              <w:rPr>
                <w:bCs/>
                <w:lang w:eastAsia="en-US"/>
              </w:rPr>
            </w:pPr>
            <w:r w:rsidRPr="00EE6CD3">
              <w:rPr>
                <w:bCs/>
                <w:lang w:eastAsia="en-US"/>
              </w:rPr>
              <w:t>10</w:t>
            </w:r>
          </w:p>
        </w:tc>
        <w:tc>
          <w:tcPr>
            <w:tcW w:w="672" w:type="dxa"/>
            <w:gridSpan w:val="2"/>
          </w:tcPr>
          <w:p w14:paraId="7BC83AC5" w14:textId="1265BCA2" w:rsidR="00775D5D" w:rsidRPr="00EE6CD3" w:rsidRDefault="00775D5D" w:rsidP="00775D5D">
            <w:pPr>
              <w:jc w:val="center"/>
              <w:rPr>
                <w:bCs/>
                <w:lang w:eastAsia="en-US"/>
              </w:rPr>
            </w:pPr>
            <w:r w:rsidRPr="00EE6CD3">
              <w:rPr>
                <w:bCs/>
                <w:lang w:eastAsia="en-US"/>
              </w:rPr>
              <w:t>11</w:t>
            </w:r>
          </w:p>
        </w:tc>
        <w:tc>
          <w:tcPr>
            <w:tcW w:w="678" w:type="dxa"/>
          </w:tcPr>
          <w:p w14:paraId="4B838137" w14:textId="640258AF" w:rsidR="00775D5D" w:rsidRPr="00EE6CD3" w:rsidRDefault="00775D5D" w:rsidP="00775D5D">
            <w:pPr>
              <w:jc w:val="center"/>
              <w:rPr>
                <w:bCs/>
                <w:lang w:eastAsia="en-US"/>
              </w:rPr>
            </w:pPr>
            <w:r w:rsidRPr="00EE6CD3">
              <w:rPr>
                <w:bCs/>
                <w:lang w:eastAsia="en-US"/>
              </w:rPr>
              <w:t>12</w:t>
            </w:r>
          </w:p>
        </w:tc>
      </w:tr>
      <w:tr w:rsidR="00775D5D" w:rsidRPr="00EE6CD3" w14:paraId="6A4D4B8E" w14:textId="77777777" w:rsidTr="00AA513D">
        <w:trPr>
          <w:trHeight w:val="451"/>
        </w:trPr>
        <w:tc>
          <w:tcPr>
            <w:tcW w:w="666" w:type="dxa"/>
          </w:tcPr>
          <w:p w14:paraId="38C68397" w14:textId="77777777" w:rsidR="00775D5D" w:rsidRPr="00EE6CD3" w:rsidRDefault="00775D5D" w:rsidP="00E12529">
            <w:pPr>
              <w:jc w:val="center"/>
              <w:rPr>
                <w:bCs/>
                <w:lang w:eastAsia="en-US"/>
              </w:rPr>
            </w:pPr>
          </w:p>
        </w:tc>
        <w:tc>
          <w:tcPr>
            <w:tcW w:w="672" w:type="dxa"/>
          </w:tcPr>
          <w:p w14:paraId="32B30C4D" w14:textId="77777777" w:rsidR="00775D5D" w:rsidRPr="00EE6CD3" w:rsidRDefault="00775D5D" w:rsidP="00E12529">
            <w:pPr>
              <w:jc w:val="center"/>
              <w:rPr>
                <w:bCs/>
                <w:lang w:eastAsia="en-US"/>
              </w:rPr>
            </w:pPr>
          </w:p>
        </w:tc>
        <w:tc>
          <w:tcPr>
            <w:tcW w:w="672" w:type="dxa"/>
            <w:shd w:val="clear" w:color="auto" w:fill="BFBFBF" w:themeFill="background1" w:themeFillShade="BF"/>
          </w:tcPr>
          <w:p w14:paraId="19EBB4A6" w14:textId="75151A5B" w:rsidR="00775D5D" w:rsidRPr="00EE6CD3" w:rsidRDefault="00775D5D" w:rsidP="00E12529">
            <w:pPr>
              <w:jc w:val="center"/>
              <w:rPr>
                <w:bCs/>
                <w:lang w:eastAsia="en-US"/>
              </w:rPr>
            </w:pPr>
          </w:p>
        </w:tc>
        <w:tc>
          <w:tcPr>
            <w:tcW w:w="672" w:type="dxa"/>
          </w:tcPr>
          <w:p w14:paraId="027E1382" w14:textId="77777777" w:rsidR="00775D5D" w:rsidRPr="00EE6CD3" w:rsidRDefault="00775D5D" w:rsidP="00E12529">
            <w:pPr>
              <w:jc w:val="center"/>
              <w:rPr>
                <w:bCs/>
                <w:lang w:eastAsia="en-US"/>
              </w:rPr>
            </w:pPr>
          </w:p>
        </w:tc>
        <w:tc>
          <w:tcPr>
            <w:tcW w:w="672" w:type="dxa"/>
          </w:tcPr>
          <w:p w14:paraId="39BF157A" w14:textId="77777777" w:rsidR="00775D5D" w:rsidRPr="00EE6CD3" w:rsidRDefault="00775D5D" w:rsidP="00E12529">
            <w:pPr>
              <w:jc w:val="center"/>
              <w:rPr>
                <w:bCs/>
                <w:lang w:eastAsia="en-US"/>
              </w:rPr>
            </w:pPr>
          </w:p>
        </w:tc>
        <w:tc>
          <w:tcPr>
            <w:tcW w:w="672" w:type="dxa"/>
          </w:tcPr>
          <w:p w14:paraId="72A7CC73" w14:textId="77777777" w:rsidR="00775D5D" w:rsidRPr="00EE6CD3" w:rsidRDefault="00775D5D" w:rsidP="00E12529">
            <w:pPr>
              <w:jc w:val="center"/>
              <w:rPr>
                <w:bCs/>
                <w:lang w:eastAsia="en-US"/>
              </w:rPr>
            </w:pPr>
          </w:p>
        </w:tc>
        <w:tc>
          <w:tcPr>
            <w:tcW w:w="672" w:type="dxa"/>
            <w:shd w:val="clear" w:color="auto" w:fill="404040" w:themeFill="text1" w:themeFillTint="BF"/>
          </w:tcPr>
          <w:p w14:paraId="2A5B5489" w14:textId="45A10467" w:rsidR="00775D5D" w:rsidRPr="00EE6CD3" w:rsidRDefault="00775D5D" w:rsidP="00E12529">
            <w:pPr>
              <w:jc w:val="center"/>
              <w:rPr>
                <w:bCs/>
                <w:lang w:eastAsia="en-US"/>
              </w:rPr>
            </w:pPr>
          </w:p>
        </w:tc>
        <w:tc>
          <w:tcPr>
            <w:tcW w:w="672" w:type="dxa"/>
          </w:tcPr>
          <w:p w14:paraId="0CC6CFE2" w14:textId="77777777" w:rsidR="00775D5D" w:rsidRPr="00EE6CD3" w:rsidRDefault="00775D5D" w:rsidP="00E12529">
            <w:pPr>
              <w:jc w:val="center"/>
              <w:rPr>
                <w:bCs/>
                <w:lang w:eastAsia="en-US"/>
              </w:rPr>
            </w:pPr>
          </w:p>
        </w:tc>
        <w:tc>
          <w:tcPr>
            <w:tcW w:w="672" w:type="dxa"/>
          </w:tcPr>
          <w:p w14:paraId="4221C8D9" w14:textId="77777777" w:rsidR="00775D5D" w:rsidRPr="00EE6CD3" w:rsidRDefault="00775D5D" w:rsidP="00E12529">
            <w:pPr>
              <w:jc w:val="center"/>
              <w:rPr>
                <w:bCs/>
                <w:lang w:eastAsia="en-US"/>
              </w:rPr>
            </w:pPr>
          </w:p>
        </w:tc>
        <w:tc>
          <w:tcPr>
            <w:tcW w:w="672" w:type="dxa"/>
          </w:tcPr>
          <w:p w14:paraId="25230C11" w14:textId="77777777" w:rsidR="00775D5D" w:rsidRPr="00EE6CD3" w:rsidRDefault="00775D5D" w:rsidP="00E12529">
            <w:pPr>
              <w:jc w:val="center"/>
              <w:rPr>
                <w:bCs/>
                <w:lang w:eastAsia="en-US"/>
              </w:rPr>
            </w:pPr>
          </w:p>
        </w:tc>
        <w:tc>
          <w:tcPr>
            <w:tcW w:w="672" w:type="dxa"/>
            <w:gridSpan w:val="2"/>
          </w:tcPr>
          <w:p w14:paraId="4C92BCD8" w14:textId="77777777" w:rsidR="00775D5D" w:rsidRPr="00EE6CD3" w:rsidRDefault="00775D5D" w:rsidP="00E12529">
            <w:pPr>
              <w:jc w:val="center"/>
              <w:rPr>
                <w:bCs/>
                <w:lang w:eastAsia="en-US"/>
              </w:rPr>
            </w:pPr>
          </w:p>
        </w:tc>
        <w:tc>
          <w:tcPr>
            <w:tcW w:w="678" w:type="dxa"/>
            <w:shd w:val="clear" w:color="auto" w:fill="BFBFBF" w:themeFill="background1" w:themeFillShade="BF"/>
          </w:tcPr>
          <w:p w14:paraId="34638E0D" w14:textId="77777777" w:rsidR="00775D5D" w:rsidRPr="00EE6CD3" w:rsidRDefault="00775D5D" w:rsidP="00E12529">
            <w:pPr>
              <w:jc w:val="center"/>
              <w:rPr>
                <w:bCs/>
                <w:lang w:eastAsia="en-US"/>
              </w:rPr>
            </w:pPr>
          </w:p>
        </w:tc>
      </w:tr>
      <w:tr w:rsidR="00775D5D" w:rsidRPr="00EE6CD3" w14:paraId="4B5E2622" w14:textId="77777777" w:rsidTr="00B95063">
        <w:trPr>
          <w:trHeight w:val="428"/>
        </w:trPr>
        <w:tc>
          <w:tcPr>
            <w:tcW w:w="8064" w:type="dxa"/>
            <w:gridSpan w:val="13"/>
          </w:tcPr>
          <w:p w14:paraId="6A5148AE" w14:textId="57CE545B" w:rsidR="00775D5D" w:rsidRPr="00EE6CD3" w:rsidRDefault="00775D5D" w:rsidP="00E12529">
            <w:pPr>
              <w:jc w:val="center"/>
              <w:rPr>
                <w:bCs/>
                <w:lang w:eastAsia="en-US"/>
              </w:rPr>
            </w:pPr>
            <w:r w:rsidRPr="00EA1CBB">
              <w:rPr>
                <w:b/>
                <w:lang w:eastAsia="en-US"/>
              </w:rPr>
              <w:t>202</w:t>
            </w:r>
            <w:r>
              <w:rPr>
                <w:b/>
                <w:lang w:eastAsia="en-US"/>
              </w:rPr>
              <w:t xml:space="preserve">8 metai </w:t>
            </w:r>
            <w:r w:rsidRPr="00EA1CBB">
              <w:rPr>
                <w:b/>
                <w:lang w:eastAsia="en-US"/>
              </w:rPr>
              <w:t>/</w:t>
            </w:r>
            <w:r>
              <w:rPr>
                <w:b/>
                <w:lang w:eastAsia="en-US"/>
              </w:rPr>
              <w:t xml:space="preserve"> </w:t>
            </w:r>
            <w:r w:rsidRPr="00EA1CBB">
              <w:rPr>
                <w:b/>
                <w:lang w:eastAsia="en-US"/>
              </w:rPr>
              <w:t>mėnuo</w:t>
            </w:r>
          </w:p>
        </w:tc>
      </w:tr>
      <w:tr w:rsidR="00775D5D" w:rsidRPr="00EE6CD3" w14:paraId="7CED696C" w14:textId="77777777" w:rsidTr="00F73B93">
        <w:trPr>
          <w:trHeight w:val="414"/>
        </w:trPr>
        <w:tc>
          <w:tcPr>
            <w:tcW w:w="666" w:type="dxa"/>
          </w:tcPr>
          <w:p w14:paraId="75E9C7E8" w14:textId="42EE8A23" w:rsidR="00775D5D" w:rsidRPr="00EE6CD3" w:rsidRDefault="00775D5D" w:rsidP="00775D5D">
            <w:pPr>
              <w:jc w:val="center"/>
              <w:rPr>
                <w:bCs/>
                <w:lang w:eastAsia="en-US"/>
              </w:rPr>
            </w:pPr>
            <w:r w:rsidRPr="00EE6CD3">
              <w:rPr>
                <w:bCs/>
                <w:lang w:eastAsia="en-US"/>
              </w:rPr>
              <w:t>1</w:t>
            </w:r>
          </w:p>
        </w:tc>
        <w:tc>
          <w:tcPr>
            <w:tcW w:w="672" w:type="dxa"/>
          </w:tcPr>
          <w:p w14:paraId="24A6FC27" w14:textId="54363143" w:rsidR="00775D5D" w:rsidRPr="00EE6CD3" w:rsidRDefault="00775D5D" w:rsidP="00775D5D">
            <w:pPr>
              <w:jc w:val="center"/>
              <w:rPr>
                <w:bCs/>
                <w:lang w:eastAsia="en-US"/>
              </w:rPr>
            </w:pPr>
            <w:r w:rsidRPr="00EE6CD3">
              <w:rPr>
                <w:bCs/>
                <w:lang w:eastAsia="en-US"/>
              </w:rPr>
              <w:t>2</w:t>
            </w:r>
          </w:p>
        </w:tc>
        <w:tc>
          <w:tcPr>
            <w:tcW w:w="672" w:type="dxa"/>
          </w:tcPr>
          <w:p w14:paraId="35243B29" w14:textId="3E0CBB4B" w:rsidR="00775D5D" w:rsidRPr="00EE6CD3" w:rsidRDefault="00775D5D" w:rsidP="00775D5D">
            <w:pPr>
              <w:jc w:val="center"/>
              <w:rPr>
                <w:bCs/>
                <w:lang w:eastAsia="en-US"/>
              </w:rPr>
            </w:pPr>
            <w:r w:rsidRPr="00EE6CD3">
              <w:rPr>
                <w:bCs/>
                <w:lang w:eastAsia="en-US"/>
              </w:rPr>
              <w:t>3</w:t>
            </w:r>
          </w:p>
        </w:tc>
        <w:tc>
          <w:tcPr>
            <w:tcW w:w="672" w:type="dxa"/>
          </w:tcPr>
          <w:p w14:paraId="49FE6950" w14:textId="097A11ED" w:rsidR="00775D5D" w:rsidRPr="00EE6CD3" w:rsidRDefault="00775D5D" w:rsidP="00775D5D">
            <w:pPr>
              <w:jc w:val="center"/>
              <w:rPr>
                <w:bCs/>
                <w:lang w:eastAsia="en-US"/>
              </w:rPr>
            </w:pPr>
            <w:r w:rsidRPr="00EE6CD3">
              <w:rPr>
                <w:bCs/>
                <w:lang w:eastAsia="en-US"/>
              </w:rPr>
              <w:t>4</w:t>
            </w:r>
          </w:p>
        </w:tc>
        <w:tc>
          <w:tcPr>
            <w:tcW w:w="672" w:type="dxa"/>
          </w:tcPr>
          <w:p w14:paraId="401AFE99" w14:textId="2B0E773B" w:rsidR="00775D5D" w:rsidRPr="00EE6CD3" w:rsidRDefault="00775D5D" w:rsidP="00775D5D">
            <w:pPr>
              <w:jc w:val="center"/>
              <w:rPr>
                <w:bCs/>
                <w:lang w:eastAsia="en-US"/>
              </w:rPr>
            </w:pPr>
            <w:r w:rsidRPr="00EE6CD3">
              <w:rPr>
                <w:bCs/>
                <w:lang w:eastAsia="en-US"/>
              </w:rPr>
              <w:t>5</w:t>
            </w:r>
          </w:p>
        </w:tc>
        <w:tc>
          <w:tcPr>
            <w:tcW w:w="672" w:type="dxa"/>
          </w:tcPr>
          <w:p w14:paraId="66A619EF" w14:textId="6500ECDF" w:rsidR="00775D5D" w:rsidRPr="00EE6CD3" w:rsidRDefault="00775D5D" w:rsidP="00775D5D">
            <w:pPr>
              <w:jc w:val="center"/>
              <w:rPr>
                <w:bCs/>
                <w:lang w:eastAsia="en-US"/>
              </w:rPr>
            </w:pPr>
            <w:r w:rsidRPr="00EE6CD3">
              <w:rPr>
                <w:bCs/>
                <w:lang w:eastAsia="en-US"/>
              </w:rPr>
              <w:t>6</w:t>
            </w:r>
          </w:p>
        </w:tc>
        <w:tc>
          <w:tcPr>
            <w:tcW w:w="672" w:type="dxa"/>
          </w:tcPr>
          <w:p w14:paraId="0D3DC450" w14:textId="6F8C0A10" w:rsidR="00775D5D" w:rsidRPr="00EE6CD3" w:rsidRDefault="00775D5D" w:rsidP="00775D5D">
            <w:pPr>
              <w:jc w:val="center"/>
              <w:rPr>
                <w:bCs/>
                <w:lang w:eastAsia="en-US"/>
              </w:rPr>
            </w:pPr>
            <w:r w:rsidRPr="00EE6CD3">
              <w:rPr>
                <w:bCs/>
                <w:lang w:eastAsia="en-US"/>
              </w:rPr>
              <w:t>7</w:t>
            </w:r>
          </w:p>
        </w:tc>
        <w:tc>
          <w:tcPr>
            <w:tcW w:w="672" w:type="dxa"/>
          </w:tcPr>
          <w:p w14:paraId="15A0E66A" w14:textId="6A6B0CF5" w:rsidR="00775D5D" w:rsidRPr="00EE6CD3" w:rsidRDefault="00775D5D" w:rsidP="00775D5D">
            <w:pPr>
              <w:jc w:val="center"/>
              <w:rPr>
                <w:bCs/>
                <w:lang w:eastAsia="en-US"/>
              </w:rPr>
            </w:pPr>
            <w:r w:rsidRPr="00EE6CD3">
              <w:rPr>
                <w:bCs/>
                <w:lang w:eastAsia="en-US"/>
              </w:rPr>
              <w:t>8</w:t>
            </w:r>
          </w:p>
        </w:tc>
        <w:tc>
          <w:tcPr>
            <w:tcW w:w="672" w:type="dxa"/>
          </w:tcPr>
          <w:p w14:paraId="58B43092" w14:textId="27DD0AAB" w:rsidR="00775D5D" w:rsidRPr="00EE6CD3" w:rsidRDefault="00775D5D" w:rsidP="00775D5D">
            <w:pPr>
              <w:jc w:val="center"/>
              <w:rPr>
                <w:bCs/>
                <w:lang w:eastAsia="en-US"/>
              </w:rPr>
            </w:pPr>
            <w:r w:rsidRPr="00EE6CD3">
              <w:rPr>
                <w:bCs/>
                <w:lang w:eastAsia="en-US"/>
              </w:rPr>
              <w:t>9</w:t>
            </w:r>
          </w:p>
        </w:tc>
        <w:tc>
          <w:tcPr>
            <w:tcW w:w="757" w:type="dxa"/>
            <w:gridSpan w:val="2"/>
          </w:tcPr>
          <w:p w14:paraId="13B8367F" w14:textId="65EEF8AB" w:rsidR="00775D5D" w:rsidRPr="00EE6CD3" w:rsidRDefault="00775D5D" w:rsidP="00775D5D">
            <w:pPr>
              <w:jc w:val="center"/>
              <w:rPr>
                <w:bCs/>
                <w:lang w:eastAsia="en-US"/>
              </w:rPr>
            </w:pPr>
            <w:r w:rsidRPr="00EE6CD3">
              <w:rPr>
                <w:bCs/>
                <w:lang w:eastAsia="en-US"/>
              </w:rPr>
              <w:t>10</w:t>
            </w:r>
          </w:p>
        </w:tc>
        <w:tc>
          <w:tcPr>
            <w:tcW w:w="587" w:type="dxa"/>
          </w:tcPr>
          <w:p w14:paraId="1D0F575E" w14:textId="1BC69AF4" w:rsidR="00775D5D" w:rsidRPr="00EE6CD3" w:rsidRDefault="00775D5D" w:rsidP="00775D5D">
            <w:pPr>
              <w:jc w:val="center"/>
              <w:rPr>
                <w:bCs/>
                <w:lang w:eastAsia="en-US"/>
              </w:rPr>
            </w:pPr>
            <w:r w:rsidRPr="00EE6CD3">
              <w:rPr>
                <w:bCs/>
                <w:lang w:eastAsia="en-US"/>
              </w:rPr>
              <w:t>11</w:t>
            </w:r>
          </w:p>
        </w:tc>
        <w:tc>
          <w:tcPr>
            <w:tcW w:w="678" w:type="dxa"/>
          </w:tcPr>
          <w:p w14:paraId="70977196" w14:textId="2D334C85" w:rsidR="00775D5D" w:rsidRPr="00EE6CD3" w:rsidRDefault="00775D5D" w:rsidP="00775D5D">
            <w:pPr>
              <w:jc w:val="center"/>
              <w:rPr>
                <w:bCs/>
                <w:lang w:eastAsia="en-US"/>
              </w:rPr>
            </w:pPr>
            <w:r w:rsidRPr="00EE6CD3">
              <w:rPr>
                <w:bCs/>
                <w:lang w:eastAsia="en-US"/>
              </w:rPr>
              <w:t>12</w:t>
            </w:r>
          </w:p>
        </w:tc>
      </w:tr>
      <w:tr w:rsidR="00775D5D" w:rsidRPr="00EE6CD3" w14:paraId="1D14B540" w14:textId="77777777" w:rsidTr="00AA513D">
        <w:trPr>
          <w:trHeight w:val="412"/>
        </w:trPr>
        <w:tc>
          <w:tcPr>
            <w:tcW w:w="666" w:type="dxa"/>
          </w:tcPr>
          <w:p w14:paraId="3AF23DA9" w14:textId="77777777" w:rsidR="00775D5D" w:rsidRPr="00EE6CD3" w:rsidRDefault="00775D5D" w:rsidP="00E12529">
            <w:pPr>
              <w:jc w:val="center"/>
              <w:rPr>
                <w:bCs/>
                <w:lang w:eastAsia="en-US"/>
              </w:rPr>
            </w:pPr>
          </w:p>
        </w:tc>
        <w:tc>
          <w:tcPr>
            <w:tcW w:w="672" w:type="dxa"/>
          </w:tcPr>
          <w:p w14:paraId="7A3445BF" w14:textId="77777777" w:rsidR="00775D5D" w:rsidRPr="00EE6CD3" w:rsidRDefault="00775D5D" w:rsidP="00E12529">
            <w:pPr>
              <w:jc w:val="center"/>
              <w:rPr>
                <w:bCs/>
                <w:lang w:eastAsia="en-US"/>
              </w:rPr>
            </w:pPr>
          </w:p>
        </w:tc>
        <w:tc>
          <w:tcPr>
            <w:tcW w:w="672" w:type="dxa"/>
          </w:tcPr>
          <w:p w14:paraId="4264A9EC" w14:textId="77777777" w:rsidR="00775D5D" w:rsidRPr="00EE6CD3" w:rsidRDefault="00775D5D" w:rsidP="00E12529">
            <w:pPr>
              <w:jc w:val="center"/>
              <w:rPr>
                <w:bCs/>
                <w:lang w:eastAsia="en-US"/>
              </w:rPr>
            </w:pPr>
          </w:p>
        </w:tc>
        <w:tc>
          <w:tcPr>
            <w:tcW w:w="672" w:type="dxa"/>
            <w:shd w:val="clear" w:color="auto" w:fill="404040" w:themeFill="text1" w:themeFillTint="BF"/>
          </w:tcPr>
          <w:p w14:paraId="2AD78E30" w14:textId="77777777" w:rsidR="00775D5D" w:rsidRPr="00EE6CD3" w:rsidRDefault="00775D5D" w:rsidP="00E12529">
            <w:pPr>
              <w:jc w:val="center"/>
              <w:rPr>
                <w:bCs/>
                <w:lang w:eastAsia="en-US"/>
              </w:rPr>
            </w:pPr>
          </w:p>
        </w:tc>
        <w:tc>
          <w:tcPr>
            <w:tcW w:w="672" w:type="dxa"/>
          </w:tcPr>
          <w:p w14:paraId="2A769DE8" w14:textId="77777777" w:rsidR="00775D5D" w:rsidRPr="00EE6CD3" w:rsidRDefault="00775D5D" w:rsidP="00E12529">
            <w:pPr>
              <w:jc w:val="center"/>
              <w:rPr>
                <w:bCs/>
                <w:lang w:eastAsia="en-US"/>
              </w:rPr>
            </w:pPr>
          </w:p>
        </w:tc>
        <w:tc>
          <w:tcPr>
            <w:tcW w:w="672" w:type="dxa"/>
          </w:tcPr>
          <w:p w14:paraId="23949849" w14:textId="77777777" w:rsidR="00775D5D" w:rsidRPr="00EE6CD3" w:rsidRDefault="00775D5D" w:rsidP="00E12529">
            <w:pPr>
              <w:jc w:val="center"/>
              <w:rPr>
                <w:bCs/>
                <w:lang w:eastAsia="en-US"/>
              </w:rPr>
            </w:pPr>
          </w:p>
        </w:tc>
        <w:tc>
          <w:tcPr>
            <w:tcW w:w="672" w:type="dxa"/>
            <w:shd w:val="clear" w:color="auto" w:fill="BFBFBF" w:themeFill="background1" w:themeFillShade="BF"/>
          </w:tcPr>
          <w:p w14:paraId="16A2FB8B" w14:textId="77777777" w:rsidR="00775D5D" w:rsidRPr="00EE6CD3" w:rsidRDefault="00775D5D" w:rsidP="00E12529">
            <w:pPr>
              <w:jc w:val="center"/>
              <w:rPr>
                <w:bCs/>
                <w:lang w:eastAsia="en-US"/>
              </w:rPr>
            </w:pPr>
          </w:p>
        </w:tc>
        <w:tc>
          <w:tcPr>
            <w:tcW w:w="672" w:type="dxa"/>
          </w:tcPr>
          <w:p w14:paraId="0598C0DE" w14:textId="77777777" w:rsidR="00775D5D" w:rsidRPr="00EE6CD3" w:rsidRDefault="00775D5D" w:rsidP="00E12529">
            <w:pPr>
              <w:jc w:val="center"/>
              <w:rPr>
                <w:bCs/>
                <w:lang w:eastAsia="en-US"/>
              </w:rPr>
            </w:pPr>
          </w:p>
        </w:tc>
        <w:tc>
          <w:tcPr>
            <w:tcW w:w="672" w:type="dxa"/>
          </w:tcPr>
          <w:p w14:paraId="502BAF0F" w14:textId="77777777" w:rsidR="00775D5D" w:rsidRPr="00EE6CD3" w:rsidRDefault="00775D5D" w:rsidP="00E12529">
            <w:pPr>
              <w:jc w:val="center"/>
              <w:rPr>
                <w:bCs/>
                <w:lang w:eastAsia="en-US"/>
              </w:rPr>
            </w:pPr>
          </w:p>
        </w:tc>
        <w:tc>
          <w:tcPr>
            <w:tcW w:w="757" w:type="dxa"/>
            <w:gridSpan w:val="2"/>
            <w:shd w:val="clear" w:color="auto" w:fill="404040" w:themeFill="text1" w:themeFillTint="BF"/>
          </w:tcPr>
          <w:p w14:paraId="36E7A4F2" w14:textId="77777777" w:rsidR="00775D5D" w:rsidRPr="00EE6CD3" w:rsidRDefault="00775D5D" w:rsidP="00E12529">
            <w:pPr>
              <w:jc w:val="center"/>
              <w:rPr>
                <w:bCs/>
                <w:lang w:eastAsia="en-US"/>
              </w:rPr>
            </w:pPr>
          </w:p>
        </w:tc>
        <w:tc>
          <w:tcPr>
            <w:tcW w:w="587" w:type="dxa"/>
          </w:tcPr>
          <w:p w14:paraId="6FAFB13A" w14:textId="77777777" w:rsidR="00775D5D" w:rsidRPr="00EE6CD3" w:rsidRDefault="00775D5D" w:rsidP="00E12529">
            <w:pPr>
              <w:jc w:val="center"/>
              <w:rPr>
                <w:bCs/>
                <w:lang w:eastAsia="en-US"/>
              </w:rPr>
            </w:pPr>
          </w:p>
        </w:tc>
        <w:tc>
          <w:tcPr>
            <w:tcW w:w="678" w:type="dxa"/>
          </w:tcPr>
          <w:p w14:paraId="422EEBB1" w14:textId="77777777" w:rsidR="00775D5D" w:rsidRPr="00EE6CD3" w:rsidRDefault="00775D5D" w:rsidP="00E12529">
            <w:pPr>
              <w:jc w:val="center"/>
              <w:rPr>
                <w:bCs/>
                <w:lang w:eastAsia="en-US"/>
              </w:rPr>
            </w:pPr>
          </w:p>
        </w:tc>
      </w:tr>
      <w:tr w:rsidR="00FF7B89" w:rsidRPr="00EE6CD3" w14:paraId="56974239" w14:textId="77777777" w:rsidTr="00797004">
        <w:trPr>
          <w:trHeight w:val="412"/>
        </w:trPr>
        <w:tc>
          <w:tcPr>
            <w:tcW w:w="8064" w:type="dxa"/>
            <w:gridSpan w:val="13"/>
            <w:shd w:val="clear" w:color="auto" w:fill="FFFFFF" w:themeFill="background1"/>
          </w:tcPr>
          <w:p w14:paraId="40389ACB" w14:textId="0DE447B2" w:rsidR="00FF7B89" w:rsidRPr="00EE6CD3" w:rsidRDefault="00FF7B89" w:rsidP="00E12529">
            <w:pPr>
              <w:jc w:val="center"/>
              <w:rPr>
                <w:bCs/>
                <w:lang w:eastAsia="en-US"/>
              </w:rPr>
            </w:pPr>
            <w:r w:rsidRPr="00EA1CBB">
              <w:rPr>
                <w:b/>
                <w:lang w:eastAsia="en-US"/>
              </w:rPr>
              <w:t>202</w:t>
            </w:r>
            <w:r>
              <w:rPr>
                <w:b/>
                <w:lang w:eastAsia="en-US"/>
              </w:rPr>
              <w:t xml:space="preserve">9 metai </w:t>
            </w:r>
            <w:r w:rsidRPr="00EA1CBB">
              <w:rPr>
                <w:b/>
                <w:lang w:eastAsia="en-US"/>
              </w:rPr>
              <w:t>/</w:t>
            </w:r>
            <w:r>
              <w:rPr>
                <w:b/>
                <w:lang w:eastAsia="en-US"/>
              </w:rPr>
              <w:t xml:space="preserve"> </w:t>
            </w:r>
            <w:r w:rsidRPr="00EA1CBB">
              <w:rPr>
                <w:b/>
                <w:lang w:eastAsia="en-US"/>
              </w:rPr>
              <w:t>mėnuo</w:t>
            </w:r>
          </w:p>
        </w:tc>
      </w:tr>
      <w:tr w:rsidR="00FF7B89" w:rsidRPr="00EE6CD3" w14:paraId="3F97E9C4" w14:textId="77777777" w:rsidTr="00FF7B89">
        <w:trPr>
          <w:trHeight w:val="412"/>
        </w:trPr>
        <w:tc>
          <w:tcPr>
            <w:tcW w:w="666" w:type="dxa"/>
            <w:shd w:val="clear" w:color="auto" w:fill="FFFFFF" w:themeFill="background1"/>
          </w:tcPr>
          <w:p w14:paraId="03D474CE" w14:textId="25F329BF" w:rsidR="00FF7B89" w:rsidRPr="00EE6CD3" w:rsidRDefault="00FF7B89" w:rsidP="00FF7B89">
            <w:pPr>
              <w:jc w:val="center"/>
              <w:rPr>
                <w:bCs/>
                <w:lang w:eastAsia="en-US"/>
              </w:rPr>
            </w:pPr>
            <w:r w:rsidRPr="00D45A5E">
              <w:t>1</w:t>
            </w:r>
          </w:p>
        </w:tc>
        <w:tc>
          <w:tcPr>
            <w:tcW w:w="672" w:type="dxa"/>
            <w:shd w:val="clear" w:color="auto" w:fill="FFFFFF" w:themeFill="background1"/>
          </w:tcPr>
          <w:p w14:paraId="0891AC20" w14:textId="7C954725" w:rsidR="00FF7B89" w:rsidRPr="00EE6CD3" w:rsidRDefault="00FF7B89" w:rsidP="00FF7B89">
            <w:pPr>
              <w:jc w:val="center"/>
              <w:rPr>
                <w:bCs/>
                <w:lang w:eastAsia="en-US"/>
              </w:rPr>
            </w:pPr>
            <w:r w:rsidRPr="00D45A5E">
              <w:t>2</w:t>
            </w:r>
          </w:p>
        </w:tc>
        <w:tc>
          <w:tcPr>
            <w:tcW w:w="672" w:type="dxa"/>
            <w:shd w:val="clear" w:color="auto" w:fill="FFFFFF" w:themeFill="background1"/>
          </w:tcPr>
          <w:p w14:paraId="5784FE52" w14:textId="05D75094" w:rsidR="00FF7B89" w:rsidRPr="00EE6CD3" w:rsidRDefault="00FF7B89" w:rsidP="00FF7B89">
            <w:pPr>
              <w:jc w:val="center"/>
              <w:rPr>
                <w:bCs/>
                <w:lang w:eastAsia="en-US"/>
              </w:rPr>
            </w:pPr>
            <w:r w:rsidRPr="00D45A5E">
              <w:t>3</w:t>
            </w:r>
          </w:p>
        </w:tc>
        <w:tc>
          <w:tcPr>
            <w:tcW w:w="672" w:type="dxa"/>
            <w:shd w:val="clear" w:color="auto" w:fill="FFFFFF" w:themeFill="background1"/>
          </w:tcPr>
          <w:p w14:paraId="241D808F" w14:textId="303AF43D" w:rsidR="00FF7B89" w:rsidRPr="00EE6CD3" w:rsidRDefault="00FF7B89" w:rsidP="00FF7B89">
            <w:pPr>
              <w:jc w:val="center"/>
              <w:rPr>
                <w:bCs/>
                <w:lang w:eastAsia="en-US"/>
              </w:rPr>
            </w:pPr>
            <w:r w:rsidRPr="00D45A5E">
              <w:t>4</w:t>
            </w:r>
          </w:p>
        </w:tc>
        <w:tc>
          <w:tcPr>
            <w:tcW w:w="672" w:type="dxa"/>
            <w:shd w:val="clear" w:color="auto" w:fill="FFFFFF" w:themeFill="background1"/>
          </w:tcPr>
          <w:p w14:paraId="1AD9AF97" w14:textId="7E2E82B2" w:rsidR="00FF7B89" w:rsidRPr="00EE6CD3" w:rsidRDefault="00FF7B89" w:rsidP="00FF7B89">
            <w:pPr>
              <w:jc w:val="center"/>
              <w:rPr>
                <w:bCs/>
                <w:lang w:eastAsia="en-US"/>
              </w:rPr>
            </w:pPr>
          </w:p>
        </w:tc>
        <w:tc>
          <w:tcPr>
            <w:tcW w:w="672" w:type="dxa"/>
            <w:shd w:val="clear" w:color="auto" w:fill="FFFFFF" w:themeFill="background1"/>
          </w:tcPr>
          <w:p w14:paraId="2C31EBD4" w14:textId="6A87FE2A" w:rsidR="00FF7B89" w:rsidRPr="00EE6CD3" w:rsidRDefault="00FF7B89" w:rsidP="00FF7B89">
            <w:pPr>
              <w:jc w:val="center"/>
              <w:rPr>
                <w:bCs/>
                <w:lang w:eastAsia="en-US"/>
              </w:rPr>
            </w:pPr>
          </w:p>
        </w:tc>
        <w:tc>
          <w:tcPr>
            <w:tcW w:w="672" w:type="dxa"/>
            <w:shd w:val="clear" w:color="auto" w:fill="FFFFFF" w:themeFill="background1"/>
          </w:tcPr>
          <w:p w14:paraId="1230F1CB" w14:textId="610A7DC6" w:rsidR="00FF7B89" w:rsidRPr="00EE6CD3" w:rsidRDefault="00FF7B89" w:rsidP="00FF7B89">
            <w:pPr>
              <w:jc w:val="center"/>
              <w:rPr>
                <w:bCs/>
                <w:lang w:eastAsia="en-US"/>
              </w:rPr>
            </w:pPr>
          </w:p>
        </w:tc>
        <w:tc>
          <w:tcPr>
            <w:tcW w:w="672" w:type="dxa"/>
            <w:shd w:val="clear" w:color="auto" w:fill="FFFFFF" w:themeFill="background1"/>
          </w:tcPr>
          <w:p w14:paraId="7AB8C10C" w14:textId="21B2BD07" w:rsidR="00FF7B89" w:rsidRPr="00EE6CD3" w:rsidRDefault="00FF7B89" w:rsidP="00FF7B89">
            <w:pPr>
              <w:jc w:val="center"/>
              <w:rPr>
                <w:bCs/>
                <w:lang w:eastAsia="en-US"/>
              </w:rPr>
            </w:pPr>
          </w:p>
        </w:tc>
        <w:tc>
          <w:tcPr>
            <w:tcW w:w="672" w:type="dxa"/>
            <w:shd w:val="clear" w:color="auto" w:fill="FFFFFF" w:themeFill="background1"/>
          </w:tcPr>
          <w:p w14:paraId="1CD2F46E" w14:textId="006E4752" w:rsidR="00FF7B89" w:rsidRPr="00EE6CD3" w:rsidRDefault="00FF7B89" w:rsidP="00FF7B89">
            <w:pPr>
              <w:jc w:val="center"/>
              <w:rPr>
                <w:bCs/>
                <w:lang w:eastAsia="en-US"/>
              </w:rPr>
            </w:pPr>
          </w:p>
        </w:tc>
        <w:tc>
          <w:tcPr>
            <w:tcW w:w="757" w:type="dxa"/>
            <w:gridSpan w:val="2"/>
            <w:shd w:val="clear" w:color="auto" w:fill="FFFFFF" w:themeFill="background1"/>
          </w:tcPr>
          <w:p w14:paraId="63F7D83B" w14:textId="4642817C" w:rsidR="00FF7B89" w:rsidRPr="00EE6CD3" w:rsidRDefault="00FF7B89" w:rsidP="00FF7B89">
            <w:pPr>
              <w:jc w:val="center"/>
              <w:rPr>
                <w:bCs/>
                <w:lang w:eastAsia="en-US"/>
              </w:rPr>
            </w:pPr>
          </w:p>
        </w:tc>
        <w:tc>
          <w:tcPr>
            <w:tcW w:w="587" w:type="dxa"/>
            <w:shd w:val="clear" w:color="auto" w:fill="FFFFFF" w:themeFill="background1"/>
          </w:tcPr>
          <w:p w14:paraId="362F3915" w14:textId="1AF50EB9" w:rsidR="00FF7B89" w:rsidRPr="00EE6CD3" w:rsidRDefault="00FF7B89" w:rsidP="00FF7B89">
            <w:pPr>
              <w:jc w:val="center"/>
              <w:rPr>
                <w:bCs/>
                <w:lang w:eastAsia="en-US"/>
              </w:rPr>
            </w:pPr>
          </w:p>
        </w:tc>
        <w:tc>
          <w:tcPr>
            <w:tcW w:w="678" w:type="dxa"/>
            <w:shd w:val="clear" w:color="auto" w:fill="FFFFFF" w:themeFill="background1"/>
          </w:tcPr>
          <w:p w14:paraId="4CADB8D0" w14:textId="6EB46E36" w:rsidR="00FF7B89" w:rsidRPr="00EE6CD3" w:rsidRDefault="00FF7B89" w:rsidP="00FF7B89">
            <w:pPr>
              <w:jc w:val="center"/>
              <w:rPr>
                <w:bCs/>
                <w:lang w:eastAsia="en-US"/>
              </w:rPr>
            </w:pPr>
          </w:p>
        </w:tc>
      </w:tr>
      <w:tr w:rsidR="00FF7B89" w:rsidRPr="00EE6CD3" w14:paraId="49CE9A0D" w14:textId="77777777" w:rsidTr="00AA513D">
        <w:trPr>
          <w:trHeight w:val="412"/>
        </w:trPr>
        <w:tc>
          <w:tcPr>
            <w:tcW w:w="666" w:type="dxa"/>
            <w:shd w:val="clear" w:color="auto" w:fill="FFFFFF" w:themeFill="background1"/>
          </w:tcPr>
          <w:p w14:paraId="41EFD4C0" w14:textId="77777777" w:rsidR="00FF7B89" w:rsidRPr="00EE6CD3" w:rsidRDefault="00FF7B89" w:rsidP="00E12529">
            <w:pPr>
              <w:jc w:val="center"/>
              <w:rPr>
                <w:bCs/>
                <w:lang w:eastAsia="en-US"/>
              </w:rPr>
            </w:pPr>
          </w:p>
        </w:tc>
        <w:tc>
          <w:tcPr>
            <w:tcW w:w="672" w:type="dxa"/>
            <w:shd w:val="clear" w:color="auto" w:fill="FFFFFF" w:themeFill="background1"/>
          </w:tcPr>
          <w:p w14:paraId="28C1ADB5" w14:textId="77777777" w:rsidR="00FF7B89" w:rsidRPr="00EE6CD3" w:rsidRDefault="00FF7B89" w:rsidP="00E12529">
            <w:pPr>
              <w:jc w:val="center"/>
              <w:rPr>
                <w:bCs/>
                <w:lang w:eastAsia="en-US"/>
              </w:rPr>
            </w:pPr>
          </w:p>
        </w:tc>
        <w:tc>
          <w:tcPr>
            <w:tcW w:w="672" w:type="dxa"/>
            <w:shd w:val="clear" w:color="auto" w:fill="BFBFBF" w:themeFill="background1" w:themeFillShade="BF"/>
          </w:tcPr>
          <w:p w14:paraId="2931B812" w14:textId="77777777" w:rsidR="00FF7B89" w:rsidRPr="00EE6CD3" w:rsidRDefault="00FF7B89" w:rsidP="00E12529">
            <w:pPr>
              <w:jc w:val="center"/>
              <w:rPr>
                <w:bCs/>
                <w:lang w:eastAsia="en-US"/>
              </w:rPr>
            </w:pPr>
          </w:p>
        </w:tc>
        <w:tc>
          <w:tcPr>
            <w:tcW w:w="672" w:type="dxa"/>
            <w:shd w:val="clear" w:color="auto" w:fill="FFFFFF" w:themeFill="background1"/>
          </w:tcPr>
          <w:p w14:paraId="736F50AB" w14:textId="77777777" w:rsidR="00FF7B89" w:rsidRPr="00EE6CD3" w:rsidRDefault="00FF7B89" w:rsidP="00E12529">
            <w:pPr>
              <w:jc w:val="center"/>
              <w:rPr>
                <w:bCs/>
                <w:lang w:eastAsia="en-US"/>
              </w:rPr>
            </w:pPr>
          </w:p>
        </w:tc>
        <w:tc>
          <w:tcPr>
            <w:tcW w:w="672" w:type="dxa"/>
            <w:shd w:val="clear" w:color="auto" w:fill="FFFFFF" w:themeFill="background1"/>
          </w:tcPr>
          <w:p w14:paraId="1076B0ED" w14:textId="77777777" w:rsidR="00FF7B89" w:rsidRPr="00EE6CD3" w:rsidRDefault="00FF7B89" w:rsidP="00E12529">
            <w:pPr>
              <w:jc w:val="center"/>
              <w:rPr>
                <w:bCs/>
                <w:lang w:eastAsia="en-US"/>
              </w:rPr>
            </w:pPr>
          </w:p>
        </w:tc>
        <w:tc>
          <w:tcPr>
            <w:tcW w:w="672" w:type="dxa"/>
            <w:shd w:val="clear" w:color="auto" w:fill="FFFFFF" w:themeFill="background1"/>
          </w:tcPr>
          <w:p w14:paraId="346E30DE" w14:textId="77777777" w:rsidR="00FF7B89" w:rsidRPr="00EE6CD3" w:rsidRDefault="00FF7B89" w:rsidP="00E12529">
            <w:pPr>
              <w:jc w:val="center"/>
              <w:rPr>
                <w:bCs/>
                <w:lang w:eastAsia="en-US"/>
              </w:rPr>
            </w:pPr>
          </w:p>
        </w:tc>
        <w:tc>
          <w:tcPr>
            <w:tcW w:w="672" w:type="dxa"/>
            <w:shd w:val="clear" w:color="auto" w:fill="FFFFFF" w:themeFill="background1"/>
          </w:tcPr>
          <w:p w14:paraId="0255740B" w14:textId="77777777" w:rsidR="00FF7B89" w:rsidRPr="00EE6CD3" w:rsidRDefault="00FF7B89" w:rsidP="00E12529">
            <w:pPr>
              <w:jc w:val="center"/>
              <w:rPr>
                <w:bCs/>
                <w:lang w:eastAsia="en-US"/>
              </w:rPr>
            </w:pPr>
          </w:p>
        </w:tc>
        <w:tc>
          <w:tcPr>
            <w:tcW w:w="672" w:type="dxa"/>
            <w:shd w:val="clear" w:color="auto" w:fill="FFFFFF" w:themeFill="background1"/>
          </w:tcPr>
          <w:p w14:paraId="235170BC" w14:textId="77777777" w:rsidR="00FF7B89" w:rsidRPr="00EE6CD3" w:rsidRDefault="00FF7B89" w:rsidP="00E12529">
            <w:pPr>
              <w:jc w:val="center"/>
              <w:rPr>
                <w:bCs/>
                <w:lang w:eastAsia="en-US"/>
              </w:rPr>
            </w:pPr>
          </w:p>
        </w:tc>
        <w:tc>
          <w:tcPr>
            <w:tcW w:w="672" w:type="dxa"/>
            <w:shd w:val="clear" w:color="auto" w:fill="FFFFFF" w:themeFill="background1"/>
          </w:tcPr>
          <w:p w14:paraId="065EB29F" w14:textId="77777777" w:rsidR="00FF7B89" w:rsidRPr="00EE6CD3" w:rsidRDefault="00FF7B89" w:rsidP="00E12529">
            <w:pPr>
              <w:jc w:val="center"/>
              <w:rPr>
                <w:bCs/>
                <w:lang w:eastAsia="en-US"/>
              </w:rPr>
            </w:pPr>
          </w:p>
        </w:tc>
        <w:tc>
          <w:tcPr>
            <w:tcW w:w="757" w:type="dxa"/>
            <w:gridSpan w:val="2"/>
            <w:shd w:val="clear" w:color="auto" w:fill="FFFFFF" w:themeFill="background1"/>
          </w:tcPr>
          <w:p w14:paraId="79F72B77" w14:textId="77777777" w:rsidR="00FF7B89" w:rsidRPr="00EE6CD3" w:rsidRDefault="00FF7B89" w:rsidP="00E12529">
            <w:pPr>
              <w:jc w:val="center"/>
              <w:rPr>
                <w:bCs/>
                <w:lang w:eastAsia="en-US"/>
              </w:rPr>
            </w:pPr>
          </w:p>
        </w:tc>
        <w:tc>
          <w:tcPr>
            <w:tcW w:w="587" w:type="dxa"/>
            <w:shd w:val="clear" w:color="auto" w:fill="FFFFFF" w:themeFill="background1"/>
          </w:tcPr>
          <w:p w14:paraId="1A4B6CCB" w14:textId="77777777" w:rsidR="00FF7B89" w:rsidRPr="00EE6CD3" w:rsidRDefault="00FF7B89" w:rsidP="00E12529">
            <w:pPr>
              <w:jc w:val="center"/>
              <w:rPr>
                <w:bCs/>
                <w:lang w:eastAsia="en-US"/>
              </w:rPr>
            </w:pPr>
          </w:p>
        </w:tc>
        <w:tc>
          <w:tcPr>
            <w:tcW w:w="678" w:type="dxa"/>
            <w:shd w:val="clear" w:color="auto" w:fill="FFFFFF" w:themeFill="background1"/>
          </w:tcPr>
          <w:p w14:paraId="5A996543" w14:textId="77777777" w:rsidR="00FF7B89" w:rsidRPr="00EE6CD3" w:rsidRDefault="00FF7B89" w:rsidP="00E12529">
            <w:pPr>
              <w:jc w:val="center"/>
              <w:rPr>
                <w:bCs/>
                <w:lang w:eastAsia="en-US"/>
              </w:rPr>
            </w:pPr>
          </w:p>
        </w:tc>
      </w:tr>
      <w:bookmarkEnd w:id="11"/>
    </w:tbl>
    <w:p w14:paraId="530292C0" w14:textId="77777777" w:rsidR="0063570A" w:rsidRPr="00EE6CD3" w:rsidRDefault="0063570A" w:rsidP="0071032A">
      <w:pPr>
        <w:rPr>
          <w:b/>
          <w:lang w:eastAsia="en-US"/>
        </w:rPr>
      </w:pPr>
    </w:p>
    <w:p w14:paraId="46FB4D87" w14:textId="77777777" w:rsidR="0071032A" w:rsidRPr="00EE6CD3" w:rsidRDefault="0071032A" w:rsidP="0071032A">
      <w:pPr>
        <w:rPr>
          <w:b/>
          <w:lang w:eastAsia="en-US"/>
        </w:rPr>
      </w:pPr>
      <w:r w:rsidRPr="00EE6CD3">
        <w:rPr>
          <w:b/>
          <w:lang w:eastAsia="en-US"/>
        </w:rPr>
        <w:t>Pastaba:</w:t>
      </w:r>
    </w:p>
    <w:p w14:paraId="31DA1394" w14:textId="77777777" w:rsidR="0071032A" w:rsidRPr="00EE6CD3" w:rsidRDefault="0071032A" w:rsidP="0071032A">
      <w:pPr>
        <w:rPr>
          <w:b/>
          <w:lang w:eastAsia="en-US"/>
        </w:rPr>
      </w:pPr>
    </w:p>
    <w:tbl>
      <w:tblPr>
        <w:tblStyle w:val="Lentelstinklelis"/>
        <w:tblpPr w:leftFromText="180" w:rightFromText="180" w:vertAnchor="text" w:tblpY="1"/>
        <w:tblOverlap w:val="never"/>
        <w:tblW w:w="0" w:type="auto"/>
        <w:tblLook w:val="04A0" w:firstRow="1" w:lastRow="0" w:firstColumn="1" w:lastColumn="0" w:noHBand="0" w:noVBand="1"/>
      </w:tblPr>
      <w:tblGrid>
        <w:gridCol w:w="562"/>
      </w:tblGrid>
      <w:tr w:rsidR="0071032A" w:rsidRPr="00EE6CD3" w14:paraId="78CEBD02" w14:textId="77777777" w:rsidTr="0014518C">
        <w:trPr>
          <w:trHeight w:val="263"/>
        </w:trPr>
        <w:tc>
          <w:tcPr>
            <w:tcW w:w="562" w:type="dxa"/>
            <w:shd w:val="clear" w:color="auto" w:fill="BFBFBF" w:themeFill="background1" w:themeFillShade="BF"/>
          </w:tcPr>
          <w:p w14:paraId="162DDEF3" w14:textId="77777777" w:rsidR="0071032A" w:rsidRPr="00EE6CD3" w:rsidRDefault="0071032A" w:rsidP="004C0C82">
            <w:pPr>
              <w:rPr>
                <w:b/>
                <w:lang w:eastAsia="en-US"/>
              </w:rPr>
            </w:pPr>
          </w:p>
        </w:tc>
      </w:tr>
    </w:tbl>
    <w:p w14:paraId="63EF823F" w14:textId="2A038759" w:rsidR="0071032A" w:rsidRDefault="00FF7B89" w:rsidP="0071032A">
      <w:r w:rsidRPr="00FF7B89">
        <w:t xml:space="preserve">Dujų slėgio reguliavimo įrenginių </w:t>
      </w:r>
      <w:r w:rsidR="00CE774D">
        <w:t xml:space="preserve">ir </w:t>
      </w:r>
      <w:r w:rsidR="007C79CF">
        <w:t xml:space="preserve">dujų slėgio reguliavimo </w:t>
      </w:r>
      <w:r w:rsidR="00CE774D">
        <w:t xml:space="preserve">įtaisų </w:t>
      </w:r>
      <w:r w:rsidRPr="00FF7B89">
        <w:t>apžiūra</w:t>
      </w:r>
    </w:p>
    <w:p w14:paraId="5049D0C2" w14:textId="77777777" w:rsidR="00CE774D" w:rsidRPr="00FF7B89" w:rsidRDefault="00CE774D" w:rsidP="0071032A">
      <w:pPr>
        <w:rPr>
          <w:lang w:eastAsia="en-US"/>
        </w:rPr>
      </w:pPr>
    </w:p>
    <w:tbl>
      <w:tblPr>
        <w:tblStyle w:val="Lentelstinklelis"/>
        <w:tblpPr w:leftFromText="180" w:rightFromText="180" w:vertAnchor="text" w:horzAnchor="margin" w:tblpY="96"/>
        <w:tblOverlap w:val="never"/>
        <w:tblW w:w="0" w:type="auto"/>
        <w:tblLook w:val="04A0" w:firstRow="1" w:lastRow="0" w:firstColumn="1" w:lastColumn="0" w:noHBand="0" w:noVBand="1"/>
      </w:tblPr>
      <w:tblGrid>
        <w:gridCol w:w="562"/>
      </w:tblGrid>
      <w:tr w:rsidR="00FF7B89" w:rsidRPr="00EE6CD3" w14:paraId="16F21848" w14:textId="77777777" w:rsidTr="00FF7B89">
        <w:trPr>
          <w:trHeight w:val="283"/>
        </w:trPr>
        <w:tc>
          <w:tcPr>
            <w:tcW w:w="562" w:type="dxa"/>
            <w:shd w:val="clear" w:color="auto" w:fill="3B3838" w:themeFill="background2" w:themeFillShade="40"/>
          </w:tcPr>
          <w:p w14:paraId="2DE3CB11" w14:textId="77777777" w:rsidR="00FF7B89" w:rsidRPr="00EE6CD3" w:rsidRDefault="00FF7B89" w:rsidP="00FF7B89">
            <w:pPr>
              <w:rPr>
                <w:bCs/>
                <w:lang w:eastAsia="en-US"/>
              </w:rPr>
            </w:pPr>
          </w:p>
        </w:tc>
      </w:tr>
    </w:tbl>
    <w:p w14:paraId="0B90DC51" w14:textId="4740C752" w:rsidR="00CE774D" w:rsidRPr="00FF7B89" w:rsidRDefault="00CE774D" w:rsidP="00CE774D">
      <w:pPr>
        <w:rPr>
          <w:lang w:eastAsia="en-US"/>
        </w:rPr>
      </w:pPr>
      <w:r w:rsidRPr="00FF7B89">
        <w:t xml:space="preserve">Dujų slėgio reguliavimo įrenginių </w:t>
      </w:r>
      <w:r>
        <w:t xml:space="preserve">ir </w:t>
      </w:r>
      <w:r w:rsidR="007C79CF">
        <w:t xml:space="preserve">dujų slėgio reguliavimo </w:t>
      </w:r>
      <w:r>
        <w:t>įtaisų techninis patikrinimas</w:t>
      </w:r>
    </w:p>
    <w:p w14:paraId="3370A1FB" w14:textId="77777777" w:rsidR="00EE6CD3" w:rsidRPr="00EE6CD3" w:rsidRDefault="00EE6CD3" w:rsidP="00EE6CD3">
      <w:pPr>
        <w:rPr>
          <w:bCs/>
          <w:lang w:eastAsia="en-US"/>
        </w:rPr>
      </w:pPr>
    </w:p>
    <w:p w14:paraId="596B78C6" w14:textId="77777777" w:rsidR="00FF7B89" w:rsidRDefault="00FF7B89" w:rsidP="00A310F3">
      <w:pPr>
        <w:rPr>
          <w:b/>
          <w:lang w:eastAsia="en-US"/>
        </w:rPr>
      </w:pPr>
    </w:p>
    <w:p w14:paraId="22AFA51E" w14:textId="77777777" w:rsidR="008B3E88" w:rsidRDefault="008B3E88" w:rsidP="00A310F3">
      <w:pPr>
        <w:rPr>
          <w:b/>
          <w:lang w:eastAsia="en-US"/>
        </w:rPr>
      </w:pPr>
    </w:p>
    <w:p w14:paraId="143C0AA2" w14:textId="07B5C8A9" w:rsidR="00EE6CD3" w:rsidRPr="00EE6CD3" w:rsidRDefault="00EE6CD3" w:rsidP="00EE6CD3">
      <w:pPr>
        <w:rPr>
          <w:bCs/>
          <w:sz w:val="22"/>
          <w:szCs w:val="22"/>
          <w:lang w:eastAsia="en-US"/>
        </w:rPr>
      </w:pPr>
      <w:r w:rsidRPr="0097633A">
        <w:rPr>
          <w:bCs/>
          <w:lang w:eastAsia="en-US"/>
        </w:rPr>
        <w:br w:type="textWrapping" w:clear="all"/>
      </w:r>
      <w:r w:rsidRPr="00EE6CD3">
        <w:rPr>
          <w:bCs/>
          <w:lang w:eastAsia="en-US"/>
        </w:rPr>
        <w:t xml:space="preserve"> </w:t>
      </w:r>
      <w:r w:rsidRPr="00EE6CD3">
        <w:rPr>
          <w:bCs/>
          <w:lang w:eastAsia="en-US"/>
        </w:rPr>
        <w:br w:type="textWrapping" w:clear="all"/>
      </w:r>
    </w:p>
    <w:p w14:paraId="352830DE" w14:textId="77777777" w:rsidR="00BD25BA" w:rsidRDefault="00BD25BA" w:rsidP="004F3150">
      <w:pPr>
        <w:tabs>
          <w:tab w:val="left" w:pos="1545"/>
        </w:tabs>
        <w:jc w:val="both"/>
      </w:pPr>
    </w:p>
    <w:sectPr w:rsidR="00BD25BA" w:rsidSect="00481ED5">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num w:numId="1" w16cid:durableId="1612055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FB6"/>
    <w:rsid w:val="0001356F"/>
    <w:rsid w:val="0001502F"/>
    <w:rsid w:val="00016636"/>
    <w:rsid w:val="00021188"/>
    <w:rsid w:val="00026D39"/>
    <w:rsid w:val="00035C7C"/>
    <w:rsid w:val="00037129"/>
    <w:rsid w:val="00053ECB"/>
    <w:rsid w:val="00056EC9"/>
    <w:rsid w:val="00067548"/>
    <w:rsid w:val="000736D9"/>
    <w:rsid w:val="0009025F"/>
    <w:rsid w:val="00092566"/>
    <w:rsid w:val="0009473D"/>
    <w:rsid w:val="0009625F"/>
    <w:rsid w:val="000B2B8E"/>
    <w:rsid w:val="000C60A7"/>
    <w:rsid w:val="000D1431"/>
    <w:rsid w:val="000D230C"/>
    <w:rsid w:val="000E4C13"/>
    <w:rsid w:val="001319DB"/>
    <w:rsid w:val="00136F36"/>
    <w:rsid w:val="0014518C"/>
    <w:rsid w:val="00145769"/>
    <w:rsid w:val="00145B9C"/>
    <w:rsid w:val="00146CA8"/>
    <w:rsid w:val="001511C1"/>
    <w:rsid w:val="00152A74"/>
    <w:rsid w:val="00160D08"/>
    <w:rsid w:val="0016364B"/>
    <w:rsid w:val="001722DF"/>
    <w:rsid w:val="00176242"/>
    <w:rsid w:val="001978CF"/>
    <w:rsid w:val="001C328E"/>
    <w:rsid w:val="001D18B1"/>
    <w:rsid w:val="001D79EC"/>
    <w:rsid w:val="001E652D"/>
    <w:rsid w:val="00210665"/>
    <w:rsid w:val="00226CC0"/>
    <w:rsid w:val="002528C6"/>
    <w:rsid w:val="002630DE"/>
    <w:rsid w:val="00275515"/>
    <w:rsid w:val="002810F9"/>
    <w:rsid w:val="002918F8"/>
    <w:rsid w:val="0029734A"/>
    <w:rsid w:val="002B14E4"/>
    <w:rsid w:val="002B7191"/>
    <w:rsid w:val="002D4ECD"/>
    <w:rsid w:val="002D5E9C"/>
    <w:rsid w:val="002E37DA"/>
    <w:rsid w:val="002F0FBD"/>
    <w:rsid w:val="002F2460"/>
    <w:rsid w:val="00301F6D"/>
    <w:rsid w:val="00302A46"/>
    <w:rsid w:val="0032319A"/>
    <w:rsid w:val="00342C8C"/>
    <w:rsid w:val="00343FA7"/>
    <w:rsid w:val="003522FC"/>
    <w:rsid w:val="00357F1C"/>
    <w:rsid w:val="003612EC"/>
    <w:rsid w:val="00364022"/>
    <w:rsid w:val="00365511"/>
    <w:rsid w:val="00380CF9"/>
    <w:rsid w:val="00382B20"/>
    <w:rsid w:val="00384B9A"/>
    <w:rsid w:val="00390EDC"/>
    <w:rsid w:val="00391253"/>
    <w:rsid w:val="003B16AD"/>
    <w:rsid w:val="003B3D0C"/>
    <w:rsid w:val="003B59A2"/>
    <w:rsid w:val="003C0987"/>
    <w:rsid w:val="003E74DD"/>
    <w:rsid w:val="00403076"/>
    <w:rsid w:val="00407A73"/>
    <w:rsid w:val="004300F0"/>
    <w:rsid w:val="004336C8"/>
    <w:rsid w:val="00436696"/>
    <w:rsid w:val="00452803"/>
    <w:rsid w:val="004541C5"/>
    <w:rsid w:val="00481ED5"/>
    <w:rsid w:val="00494AC2"/>
    <w:rsid w:val="00495F68"/>
    <w:rsid w:val="004A320F"/>
    <w:rsid w:val="004C0C82"/>
    <w:rsid w:val="004C3A6F"/>
    <w:rsid w:val="004E6ABC"/>
    <w:rsid w:val="004F3150"/>
    <w:rsid w:val="005006FD"/>
    <w:rsid w:val="00507840"/>
    <w:rsid w:val="005131E4"/>
    <w:rsid w:val="005157E1"/>
    <w:rsid w:val="00532E5E"/>
    <w:rsid w:val="00537256"/>
    <w:rsid w:val="00537D01"/>
    <w:rsid w:val="005461A9"/>
    <w:rsid w:val="0056633B"/>
    <w:rsid w:val="00573944"/>
    <w:rsid w:val="00576A22"/>
    <w:rsid w:val="00597FA3"/>
    <w:rsid w:val="005A6E6D"/>
    <w:rsid w:val="005B0C91"/>
    <w:rsid w:val="005B28A8"/>
    <w:rsid w:val="005C3BBB"/>
    <w:rsid w:val="005D4A0C"/>
    <w:rsid w:val="005F49A3"/>
    <w:rsid w:val="006017BB"/>
    <w:rsid w:val="0060456F"/>
    <w:rsid w:val="00606A50"/>
    <w:rsid w:val="00610ED3"/>
    <w:rsid w:val="00615677"/>
    <w:rsid w:val="0063570A"/>
    <w:rsid w:val="0063612A"/>
    <w:rsid w:val="006378D3"/>
    <w:rsid w:val="00671139"/>
    <w:rsid w:val="00674FA7"/>
    <w:rsid w:val="00694646"/>
    <w:rsid w:val="006B2451"/>
    <w:rsid w:val="006C2CBD"/>
    <w:rsid w:val="006F5FD0"/>
    <w:rsid w:val="00702120"/>
    <w:rsid w:val="0071032A"/>
    <w:rsid w:val="007143DE"/>
    <w:rsid w:val="0072263C"/>
    <w:rsid w:val="00743A0E"/>
    <w:rsid w:val="00760500"/>
    <w:rsid w:val="00775D5D"/>
    <w:rsid w:val="007775EA"/>
    <w:rsid w:val="00780353"/>
    <w:rsid w:val="00780717"/>
    <w:rsid w:val="007847CB"/>
    <w:rsid w:val="00787912"/>
    <w:rsid w:val="0079159B"/>
    <w:rsid w:val="007A1614"/>
    <w:rsid w:val="007A255E"/>
    <w:rsid w:val="007B31A2"/>
    <w:rsid w:val="007B58AA"/>
    <w:rsid w:val="007C0422"/>
    <w:rsid w:val="007C79CF"/>
    <w:rsid w:val="007E4537"/>
    <w:rsid w:val="007E69F4"/>
    <w:rsid w:val="007F335D"/>
    <w:rsid w:val="00816AAB"/>
    <w:rsid w:val="008217CF"/>
    <w:rsid w:val="00830B25"/>
    <w:rsid w:val="00846962"/>
    <w:rsid w:val="00856C46"/>
    <w:rsid w:val="00873B1E"/>
    <w:rsid w:val="00883640"/>
    <w:rsid w:val="00885D7C"/>
    <w:rsid w:val="0089211A"/>
    <w:rsid w:val="008B3E88"/>
    <w:rsid w:val="008B6E6B"/>
    <w:rsid w:val="008B708C"/>
    <w:rsid w:val="008C1A2B"/>
    <w:rsid w:val="008C2FC9"/>
    <w:rsid w:val="008E30AE"/>
    <w:rsid w:val="008E5963"/>
    <w:rsid w:val="008F1A94"/>
    <w:rsid w:val="008F6ADC"/>
    <w:rsid w:val="00927E6B"/>
    <w:rsid w:val="00940C52"/>
    <w:rsid w:val="00941636"/>
    <w:rsid w:val="00944AB6"/>
    <w:rsid w:val="00951D16"/>
    <w:rsid w:val="00963C2D"/>
    <w:rsid w:val="00965247"/>
    <w:rsid w:val="00974124"/>
    <w:rsid w:val="0097633A"/>
    <w:rsid w:val="00977618"/>
    <w:rsid w:val="009966DF"/>
    <w:rsid w:val="009A623C"/>
    <w:rsid w:val="009D18B9"/>
    <w:rsid w:val="009D1FB6"/>
    <w:rsid w:val="009D7DA7"/>
    <w:rsid w:val="00A10497"/>
    <w:rsid w:val="00A12017"/>
    <w:rsid w:val="00A135A9"/>
    <w:rsid w:val="00A15322"/>
    <w:rsid w:val="00A161CB"/>
    <w:rsid w:val="00A303A3"/>
    <w:rsid w:val="00A310F3"/>
    <w:rsid w:val="00A34838"/>
    <w:rsid w:val="00A36F75"/>
    <w:rsid w:val="00A57423"/>
    <w:rsid w:val="00A748D4"/>
    <w:rsid w:val="00A92C12"/>
    <w:rsid w:val="00AA1AD9"/>
    <w:rsid w:val="00AA513D"/>
    <w:rsid w:val="00AB5D0F"/>
    <w:rsid w:val="00AD292F"/>
    <w:rsid w:val="00B1108A"/>
    <w:rsid w:val="00B1319A"/>
    <w:rsid w:val="00B17A3E"/>
    <w:rsid w:val="00B17C05"/>
    <w:rsid w:val="00B31050"/>
    <w:rsid w:val="00B31574"/>
    <w:rsid w:val="00B3370B"/>
    <w:rsid w:val="00B553CE"/>
    <w:rsid w:val="00B861B0"/>
    <w:rsid w:val="00B8635B"/>
    <w:rsid w:val="00B909AC"/>
    <w:rsid w:val="00B93F02"/>
    <w:rsid w:val="00B95063"/>
    <w:rsid w:val="00BA2E36"/>
    <w:rsid w:val="00BC51FA"/>
    <w:rsid w:val="00BC643D"/>
    <w:rsid w:val="00BD1290"/>
    <w:rsid w:val="00BD25BA"/>
    <w:rsid w:val="00BD6436"/>
    <w:rsid w:val="00BE4903"/>
    <w:rsid w:val="00BF0FF7"/>
    <w:rsid w:val="00BF1831"/>
    <w:rsid w:val="00BF34E7"/>
    <w:rsid w:val="00BF7E33"/>
    <w:rsid w:val="00C078B2"/>
    <w:rsid w:val="00C12359"/>
    <w:rsid w:val="00C31BD9"/>
    <w:rsid w:val="00C33EFC"/>
    <w:rsid w:val="00C508AB"/>
    <w:rsid w:val="00CA1E63"/>
    <w:rsid w:val="00CA28BE"/>
    <w:rsid w:val="00CA28DB"/>
    <w:rsid w:val="00CA52B5"/>
    <w:rsid w:val="00CB375A"/>
    <w:rsid w:val="00CD6F1D"/>
    <w:rsid w:val="00CE774D"/>
    <w:rsid w:val="00CF43F6"/>
    <w:rsid w:val="00CF7373"/>
    <w:rsid w:val="00CF75D6"/>
    <w:rsid w:val="00D43C83"/>
    <w:rsid w:val="00D53D9F"/>
    <w:rsid w:val="00D557B9"/>
    <w:rsid w:val="00D66196"/>
    <w:rsid w:val="00D750C4"/>
    <w:rsid w:val="00D7782A"/>
    <w:rsid w:val="00D80031"/>
    <w:rsid w:val="00D90508"/>
    <w:rsid w:val="00D94189"/>
    <w:rsid w:val="00DB01DB"/>
    <w:rsid w:val="00DB3A51"/>
    <w:rsid w:val="00DC1F94"/>
    <w:rsid w:val="00DC4D31"/>
    <w:rsid w:val="00DD54EA"/>
    <w:rsid w:val="00DF24AF"/>
    <w:rsid w:val="00E00AE8"/>
    <w:rsid w:val="00E111C5"/>
    <w:rsid w:val="00E12529"/>
    <w:rsid w:val="00E217A2"/>
    <w:rsid w:val="00E24659"/>
    <w:rsid w:val="00E408BF"/>
    <w:rsid w:val="00E517A5"/>
    <w:rsid w:val="00E562B9"/>
    <w:rsid w:val="00E75D74"/>
    <w:rsid w:val="00E8538E"/>
    <w:rsid w:val="00E86897"/>
    <w:rsid w:val="00EA1CBB"/>
    <w:rsid w:val="00EA3F91"/>
    <w:rsid w:val="00ED1308"/>
    <w:rsid w:val="00ED1ED5"/>
    <w:rsid w:val="00ED26CC"/>
    <w:rsid w:val="00ED75A8"/>
    <w:rsid w:val="00EE6CD3"/>
    <w:rsid w:val="00EF1D02"/>
    <w:rsid w:val="00EF4F00"/>
    <w:rsid w:val="00F03E59"/>
    <w:rsid w:val="00F07A93"/>
    <w:rsid w:val="00F249F9"/>
    <w:rsid w:val="00F31229"/>
    <w:rsid w:val="00F32DF3"/>
    <w:rsid w:val="00F35717"/>
    <w:rsid w:val="00F41F12"/>
    <w:rsid w:val="00F72A56"/>
    <w:rsid w:val="00F73B93"/>
    <w:rsid w:val="00F94FE5"/>
    <w:rsid w:val="00FA72AC"/>
    <w:rsid w:val="00FD2793"/>
    <w:rsid w:val="00FE6296"/>
    <w:rsid w:val="00FF7719"/>
    <w:rsid w:val="00FF7B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CE06"/>
  <w15:chartTrackingRefBased/>
  <w15:docId w15:val="{934EB004-E44D-44DA-A6CB-B34AF573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26CC"/>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qFormat/>
    <w:rsid w:val="004F3150"/>
    <w:pPr>
      <w:keepNext/>
      <w:numPr>
        <w:numId w:val="1"/>
      </w:numPr>
      <w:spacing w:before="360" w:after="360"/>
      <w:jc w:val="center"/>
      <w:outlineLvl w:val="0"/>
    </w:pPr>
    <w:rPr>
      <w:sz w:val="28"/>
      <w:szCs w:val="20"/>
    </w:rPr>
  </w:style>
  <w:style w:type="paragraph" w:styleId="Antrat2">
    <w:name w:val="heading 2"/>
    <w:aliases w:val="Title Header2"/>
    <w:basedOn w:val="prastasis"/>
    <w:next w:val="prastasis"/>
    <w:qFormat/>
    <w:rsid w:val="004F3150"/>
    <w:pPr>
      <w:numPr>
        <w:ilvl w:val="1"/>
        <w:numId w:val="1"/>
      </w:numPr>
      <w:jc w:val="both"/>
      <w:outlineLvl w:val="1"/>
    </w:pPr>
    <w:rPr>
      <w:szCs w:val="20"/>
    </w:rPr>
  </w:style>
  <w:style w:type="paragraph" w:styleId="Antrat3">
    <w:name w:val="heading 3"/>
    <w:aliases w:val="Section Header3,Sub-Clause Paragraph"/>
    <w:basedOn w:val="prastasis"/>
    <w:next w:val="prastasis"/>
    <w:qFormat/>
    <w:rsid w:val="004F3150"/>
    <w:pPr>
      <w:keepNext/>
      <w:numPr>
        <w:ilvl w:val="2"/>
        <w:numId w:val="1"/>
      </w:numPr>
      <w:jc w:val="both"/>
      <w:outlineLvl w:val="2"/>
    </w:pPr>
    <w:rPr>
      <w:szCs w:val="20"/>
    </w:rPr>
  </w:style>
  <w:style w:type="paragraph" w:styleId="Antrat4">
    <w:name w:val="heading 4"/>
    <w:aliases w:val="Heading 4 Char Char Char Char, Sub-Clause Sub-paragraph,Sub-Clause Sub-paragraph"/>
    <w:basedOn w:val="prastasis"/>
    <w:next w:val="prastasis"/>
    <w:qFormat/>
    <w:rsid w:val="004F3150"/>
    <w:pPr>
      <w:keepNext/>
      <w:numPr>
        <w:ilvl w:val="3"/>
        <w:numId w:val="1"/>
      </w:numPr>
      <w:outlineLvl w:val="3"/>
    </w:pPr>
    <w:rPr>
      <w:b/>
      <w:sz w:val="44"/>
      <w:szCs w:val="20"/>
    </w:rPr>
  </w:style>
  <w:style w:type="paragraph" w:styleId="Antrat5">
    <w:name w:val="heading 5"/>
    <w:basedOn w:val="prastasis"/>
    <w:next w:val="prastasis"/>
    <w:qFormat/>
    <w:rsid w:val="004F3150"/>
    <w:pPr>
      <w:keepNext/>
      <w:numPr>
        <w:ilvl w:val="4"/>
        <w:numId w:val="1"/>
      </w:numPr>
      <w:outlineLvl w:val="4"/>
    </w:pPr>
    <w:rPr>
      <w:b/>
      <w:sz w:val="40"/>
      <w:szCs w:val="20"/>
    </w:rPr>
  </w:style>
  <w:style w:type="paragraph" w:styleId="Antrat6">
    <w:name w:val="heading 6"/>
    <w:basedOn w:val="prastasis"/>
    <w:next w:val="prastasis"/>
    <w:qFormat/>
    <w:rsid w:val="004F3150"/>
    <w:pPr>
      <w:keepNext/>
      <w:numPr>
        <w:ilvl w:val="5"/>
        <w:numId w:val="1"/>
      </w:numPr>
      <w:outlineLvl w:val="5"/>
    </w:pPr>
    <w:rPr>
      <w:b/>
      <w:sz w:val="36"/>
      <w:szCs w:val="20"/>
    </w:rPr>
  </w:style>
  <w:style w:type="paragraph" w:styleId="Antrat7">
    <w:name w:val="heading 7"/>
    <w:basedOn w:val="prastasis"/>
    <w:next w:val="prastasis"/>
    <w:qFormat/>
    <w:rsid w:val="004F3150"/>
    <w:pPr>
      <w:keepNext/>
      <w:numPr>
        <w:ilvl w:val="6"/>
        <w:numId w:val="1"/>
      </w:numPr>
      <w:outlineLvl w:val="6"/>
    </w:pPr>
    <w:rPr>
      <w:sz w:val="48"/>
      <w:szCs w:val="20"/>
    </w:rPr>
  </w:style>
  <w:style w:type="paragraph" w:styleId="Antrat8">
    <w:name w:val="heading 8"/>
    <w:basedOn w:val="prastasis"/>
    <w:next w:val="prastasis"/>
    <w:qFormat/>
    <w:rsid w:val="004F3150"/>
    <w:pPr>
      <w:keepNext/>
      <w:numPr>
        <w:ilvl w:val="7"/>
        <w:numId w:val="1"/>
      </w:numPr>
      <w:outlineLvl w:val="7"/>
    </w:pPr>
    <w:rPr>
      <w:b/>
      <w:sz w:val="18"/>
      <w:szCs w:val="20"/>
    </w:rPr>
  </w:style>
  <w:style w:type="paragraph" w:styleId="Antrat9">
    <w:name w:val="heading 9"/>
    <w:basedOn w:val="prastasis"/>
    <w:next w:val="prastasis"/>
    <w:qFormat/>
    <w:rsid w:val="004F315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A748D4"/>
    <w:pPr>
      <w:spacing w:after="0"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59"/>
    <w:rsid w:val="0071032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E6CD3"/>
    <w:pPr>
      <w:ind w:left="720"/>
      <w:contextualSpacing/>
    </w:pPr>
  </w:style>
  <w:style w:type="character" w:styleId="Komentaronuoroda">
    <w:name w:val="annotation reference"/>
    <w:basedOn w:val="Numatytasispastraiposriftas"/>
    <w:uiPriority w:val="99"/>
    <w:semiHidden/>
    <w:unhideWhenUsed/>
    <w:rsid w:val="00D750C4"/>
    <w:rPr>
      <w:sz w:val="16"/>
      <w:szCs w:val="16"/>
    </w:rPr>
  </w:style>
  <w:style w:type="character" w:customStyle="1" w:styleId="Antrat1Diagrama">
    <w:name w:val="Antraštė 1 Diagrama"/>
    <w:aliases w:val="Appendix Diagrama"/>
    <w:basedOn w:val="Numatytasispastraiposriftas"/>
    <w:rsid w:val="00035C7C"/>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rsid w:val="00035C7C"/>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rsid w:val="00035C7C"/>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 Sub-Clause Sub-paragraph Diagrama,Sub-Clause Sub-paragraph Diagrama"/>
    <w:basedOn w:val="Numatytasispastraiposriftas"/>
    <w:rsid w:val="00035C7C"/>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rsid w:val="00035C7C"/>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rsid w:val="00035C7C"/>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rsid w:val="00035C7C"/>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rsid w:val="00035C7C"/>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rsid w:val="00035C7C"/>
    <w:rPr>
      <w:rFonts w:ascii="Times New Roman" w:eastAsia="Times New Roman" w:hAnsi="Times New Roman" w:cs="Times New Roman"/>
      <w:sz w:val="40"/>
      <w:szCs w:val="20"/>
      <w:lang w:eastAsia="lt-LT"/>
    </w:rPr>
  </w:style>
  <w:style w:type="character" w:customStyle="1" w:styleId="DebesliotekstasDiagrama">
    <w:name w:val="Debesėlio tekstas Diagrama"/>
    <w:basedOn w:val="Numatytasispastraiposriftas"/>
    <w:uiPriority w:val="99"/>
    <w:semiHidden/>
    <w:rsid w:val="00035C7C"/>
    <w:rPr>
      <w:rFonts w:ascii="Segoe UI" w:eastAsia="Times New Roman" w:hAnsi="Segoe UI" w:cs="Segoe UI"/>
      <w:sz w:val="18"/>
      <w:szCs w:val="18"/>
      <w:lang w:eastAsia="lt-LT"/>
    </w:rPr>
  </w:style>
  <w:style w:type="character" w:customStyle="1" w:styleId="KomentarotekstasDiagrama">
    <w:name w:val="Komentaro tekstas Diagrama"/>
    <w:basedOn w:val="Numatytasispastraiposriftas"/>
    <w:uiPriority w:val="99"/>
    <w:rsid w:val="00035C7C"/>
    <w:rPr>
      <w:rFonts w:ascii="Times New Roman" w:eastAsia="Times New Roman" w:hAnsi="Times New Roman" w:cs="Times New Roman"/>
      <w:sz w:val="20"/>
      <w:szCs w:val="20"/>
      <w:lang w:eastAsia="lt-LT"/>
    </w:rPr>
  </w:style>
  <w:style w:type="character" w:customStyle="1" w:styleId="KomentarotemaDiagrama">
    <w:name w:val="Komentaro tema Diagrama"/>
    <w:basedOn w:val="KomentarotekstasDiagrama"/>
    <w:uiPriority w:val="99"/>
    <w:semiHidden/>
    <w:rsid w:val="00035C7C"/>
    <w:rPr>
      <w:rFonts w:ascii="Times New Roman" w:eastAsia="Times New Roman" w:hAnsi="Times New Roman" w:cs="Times New Roman"/>
      <w:b/>
      <w:bCs/>
      <w:sz w:val="20"/>
      <w:szCs w:val="20"/>
      <w:lang w:eastAsia="lt-LT"/>
    </w:rPr>
  </w:style>
  <w:style w:type="paragraph" w:styleId="Komentarotekstas">
    <w:name w:val="annotation text"/>
    <w:basedOn w:val="prastasis"/>
    <w:link w:val="KomentarotekstasDiagrama1"/>
    <w:uiPriority w:val="99"/>
    <w:unhideWhenUsed/>
    <w:rPr>
      <w:sz w:val="20"/>
      <w:szCs w:val="20"/>
    </w:rPr>
  </w:style>
  <w:style w:type="character" w:customStyle="1" w:styleId="KomentarotekstasDiagrama1">
    <w:name w:val="Komentaro tekstas Diagrama1"/>
    <w:basedOn w:val="Numatytasispastraiposriftas"/>
    <w:link w:val="Komentarotekstas"/>
    <w:uiPriority w:val="9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1"/>
    <w:uiPriority w:val="99"/>
    <w:semiHidden/>
    <w:unhideWhenUsed/>
    <w:rsid w:val="001722DF"/>
    <w:rPr>
      <w:b/>
      <w:bCs/>
    </w:rPr>
  </w:style>
  <w:style w:type="character" w:customStyle="1" w:styleId="KomentarotemaDiagrama1">
    <w:name w:val="Komentaro tema Diagrama1"/>
    <w:basedOn w:val="KomentarotekstasDiagrama1"/>
    <w:link w:val="Komentarotema"/>
    <w:uiPriority w:val="99"/>
    <w:semiHidden/>
    <w:rsid w:val="001722DF"/>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6758">
      <w:bodyDiv w:val="1"/>
      <w:marLeft w:val="0"/>
      <w:marRight w:val="0"/>
      <w:marTop w:val="0"/>
      <w:marBottom w:val="0"/>
      <w:divBdr>
        <w:top w:val="none" w:sz="0" w:space="0" w:color="auto"/>
        <w:left w:val="none" w:sz="0" w:space="0" w:color="auto"/>
        <w:bottom w:val="none" w:sz="0" w:space="0" w:color="auto"/>
        <w:right w:val="none" w:sz="0" w:space="0" w:color="auto"/>
      </w:divBdr>
    </w:div>
    <w:div w:id="244844800">
      <w:bodyDiv w:val="1"/>
      <w:marLeft w:val="0"/>
      <w:marRight w:val="0"/>
      <w:marTop w:val="0"/>
      <w:marBottom w:val="0"/>
      <w:divBdr>
        <w:top w:val="none" w:sz="0" w:space="0" w:color="auto"/>
        <w:left w:val="none" w:sz="0" w:space="0" w:color="auto"/>
        <w:bottom w:val="none" w:sz="0" w:space="0" w:color="auto"/>
        <w:right w:val="none" w:sz="0" w:space="0" w:color="auto"/>
      </w:divBdr>
    </w:div>
    <w:div w:id="278725950">
      <w:bodyDiv w:val="1"/>
      <w:marLeft w:val="0"/>
      <w:marRight w:val="0"/>
      <w:marTop w:val="0"/>
      <w:marBottom w:val="0"/>
      <w:divBdr>
        <w:top w:val="none" w:sz="0" w:space="0" w:color="auto"/>
        <w:left w:val="none" w:sz="0" w:space="0" w:color="auto"/>
        <w:bottom w:val="none" w:sz="0" w:space="0" w:color="auto"/>
        <w:right w:val="none" w:sz="0" w:space="0" w:color="auto"/>
      </w:divBdr>
    </w:div>
    <w:div w:id="362751328">
      <w:bodyDiv w:val="1"/>
      <w:marLeft w:val="0"/>
      <w:marRight w:val="0"/>
      <w:marTop w:val="0"/>
      <w:marBottom w:val="0"/>
      <w:divBdr>
        <w:top w:val="none" w:sz="0" w:space="0" w:color="auto"/>
        <w:left w:val="none" w:sz="0" w:space="0" w:color="auto"/>
        <w:bottom w:val="none" w:sz="0" w:space="0" w:color="auto"/>
        <w:right w:val="none" w:sz="0" w:space="0" w:color="auto"/>
      </w:divBdr>
    </w:div>
    <w:div w:id="504637586">
      <w:bodyDiv w:val="1"/>
      <w:marLeft w:val="0"/>
      <w:marRight w:val="0"/>
      <w:marTop w:val="0"/>
      <w:marBottom w:val="0"/>
      <w:divBdr>
        <w:top w:val="none" w:sz="0" w:space="0" w:color="auto"/>
        <w:left w:val="none" w:sz="0" w:space="0" w:color="auto"/>
        <w:bottom w:val="none" w:sz="0" w:space="0" w:color="auto"/>
        <w:right w:val="none" w:sz="0" w:space="0" w:color="auto"/>
      </w:divBdr>
      <w:divsChild>
        <w:div w:id="723062578">
          <w:marLeft w:val="0"/>
          <w:marRight w:val="0"/>
          <w:marTop w:val="0"/>
          <w:marBottom w:val="0"/>
          <w:divBdr>
            <w:top w:val="none" w:sz="0" w:space="0" w:color="auto"/>
            <w:left w:val="none" w:sz="0" w:space="0" w:color="auto"/>
            <w:bottom w:val="none" w:sz="0" w:space="0" w:color="auto"/>
            <w:right w:val="none" w:sz="0" w:space="0" w:color="auto"/>
          </w:divBdr>
        </w:div>
        <w:div w:id="165679100">
          <w:marLeft w:val="0"/>
          <w:marRight w:val="0"/>
          <w:marTop w:val="0"/>
          <w:marBottom w:val="0"/>
          <w:divBdr>
            <w:top w:val="none" w:sz="0" w:space="0" w:color="auto"/>
            <w:left w:val="none" w:sz="0" w:space="0" w:color="auto"/>
            <w:bottom w:val="none" w:sz="0" w:space="0" w:color="auto"/>
            <w:right w:val="none" w:sz="0" w:space="0" w:color="auto"/>
          </w:divBdr>
        </w:div>
        <w:div w:id="1828284644">
          <w:marLeft w:val="0"/>
          <w:marRight w:val="0"/>
          <w:marTop w:val="0"/>
          <w:marBottom w:val="0"/>
          <w:divBdr>
            <w:top w:val="none" w:sz="0" w:space="0" w:color="auto"/>
            <w:left w:val="none" w:sz="0" w:space="0" w:color="auto"/>
            <w:bottom w:val="none" w:sz="0" w:space="0" w:color="auto"/>
            <w:right w:val="none" w:sz="0" w:space="0" w:color="auto"/>
          </w:divBdr>
          <w:divsChild>
            <w:div w:id="876160383">
              <w:marLeft w:val="0"/>
              <w:marRight w:val="0"/>
              <w:marTop w:val="0"/>
              <w:marBottom w:val="0"/>
              <w:divBdr>
                <w:top w:val="none" w:sz="0" w:space="0" w:color="auto"/>
                <w:left w:val="none" w:sz="0" w:space="0" w:color="auto"/>
                <w:bottom w:val="none" w:sz="0" w:space="0" w:color="auto"/>
                <w:right w:val="none" w:sz="0" w:space="0" w:color="auto"/>
              </w:divBdr>
            </w:div>
            <w:div w:id="161511599">
              <w:marLeft w:val="0"/>
              <w:marRight w:val="0"/>
              <w:marTop w:val="0"/>
              <w:marBottom w:val="0"/>
              <w:divBdr>
                <w:top w:val="none" w:sz="0" w:space="0" w:color="auto"/>
                <w:left w:val="none" w:sz="0" w:space="0" w:color="auto"/>
                <w:bottom w:val="none" w:sz="0" w:space="0" w:color="auto"/>
                <w:right w:val="none" w:sz="0" w:space="0" w:color="auto"/>
              </w:divBdr>
            </w:div>
            <w:div w:id="1794443856">
              <w:marLeft w:val="0"/>
              <w:marRight w:val="0"/>
              <w:marTop w:val="0"/>
              <w:marBottom w:val="0"/>
              <w:divBdr>
                <w:top w:val="none" w:sz="0" w:space="0" w:color="auto"/>
                <w:left w:val="none" w:sz="0" w:space="0" w:color="auto"/>
                <w:bottom w:val="none" w:sz="0" w:space="0" w:color="auto"/>
                <w:right w:val="none" w:sz="0" w:space="0" w:color="auto"/>
              </w:divBdr>
            </w:div>
            <w:div w:id="683287064">
              <w:marLeft w:val="0"/>
              <w:marRight w:val="0"/>
              <w:marTop w:val="0"/>
              <w:marBottom w:val="0"/>
              <w:divBdr>
                <w:top w:val="none" w:sz="0" w:space="0" w:color="auto"/>
                <w:left w:val="none" w:sz="0" w:space="0" w:color="auto"/>
                <w:bottom w:val="none" w:sz="0" w:space="0" w:color="auto"/>
                <w:right w:val="none" w:sz="0" w:space="0" w:color="auto"/>
              </w:divBdr>
            </w:div>
            <w:div w:id="2122337325">
              <w:marLeft w:val="0"/>
              <w:marRight w:val="0"/>
              <w:marTop w:val="0"/>
              <w:marBottom w:val="0"/>
              <w:divBdr>
                <w:top w:val="none" w:sz="0" w:space="0" w:color="auto"/>
                <w:left w:val="none" w:sz="0" w:space="0" w:color="auto"/>
                <w:bottom w:val="none" w:sz="0" w:space="0" w:color="auto"/>
                <w:right w:val="none" w:sz="0" w:space="0" w:color="auto"/>
              </w:divBdr>
            </w:div>
            <w:div w:id="1766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4013">
      <w:bodyDiv w:val="1"/>
      <w:marLeft w:val="0"/>
      <w:marRight w:val="0"/>
      <w:marTop w:val="0"/>
      <w:marBottom w:val="0"/>
      <w:divBdr>
        <w:top w:val="none" w:sz="0" w:space="0" w:color="auto"/>
        <w:left w:val="none" w:sz="0" w:space="0" w:color="auto"/>
        <w:bottom w:val="none" w:sz="0" w:space="0" w:color="auto"/>
        <w:right w:val="none" w:sz="0" w:space="0" w:color="auto"/>
      </w:divBdr>
      <w:divsChild>
        <w:div w:id="1211262305">
          <w:marLeft w:val="0"/>
          <w:marRight w:val="0"/>
          <w:marTop w:val="0"/>
          <w:marBottom w:val="0"/>
          <w:divBdr>
            <w:top w:val="none" w:sz="0" w:space="0" w:color="auto"/>
            <w:left w:val="none" w:sz="0" w:space="0" w:color="auto"/>
            <w:bottom w:val="none" w:sz="0" w:space="0" w:color="auto"/>
            <w:right w:val="none" w:sz="0" w:space="0" w:color="auto"/>
          </w:divBdr>
        </w:div>
        <w:div w:id="1830293745">
          <w:marLeft w:val="0"/>
          <w:marRight w:val="0"/>
          <w:marTop w:val="0"/>
          <w:marBottom w:val="0"/>
          <w:divBdr>
            <w:top w:val="none" w:sz="0" w:space="0" w:color="auto"/>
            <w:left w:val="none" w:sz="0" w:space="0" w:color="auto"/>
            <w:bottom w:val="none" w:sz="0" w:space="0" w:color="auto"/>
            <w:right w:val="none" w:sz="0" w:space="0" w:color="auto"/>
          </w:divBdr>
        </w:div>
        <w:div w:id="997657956">
          <w:marLeft w:val="0"/>
          <w:marRight w:val="0"/>
          <w:marTop w:val="0"/>
          <w:marBottom w:val="0"/>
          <w:divBdr>
            <w:top w:val="none" w:sz="0" w:space="0" w:color="auto"/>
            <w:left w:val="none" w:sz="0" w:space="0" w:color="auto"/>
            <w:bottom w:val="none" w:sz="0" w:space="0" w:color="auto"/>
            <w:right w:val="none" w:sz="0" w:space="0" w:color="auto"/>
          </w:divBdr>
          <w:divsChild>
            <w:div w:id="1941183980">
              <w:marLeft w:val="0"/>
              <w:marRight w:val="0"/>
              <w:marTop w:val="0"/>
              <w:marBottom w:val="0"/>
              <w:divBdr>
                <w:top w:val="none" w:sz="0" w:space="0" w:color="auto"/>
                <w:left w:val="none" w:sz="0" w:space="0" w:color="auto"/>
                <w:bottom w:val="none" w:sz="0" w:space="0" w:color="auto"/>
                <w:right w:val="none" w:sz="0" w:space="0" w:color="auto"/>
              </w:divBdr>
            </w:div>
            <w:div w:id="1821383292">
              <w:marLeft w:val="0"/>
              <w:marRight w:val="0"/>
              <w:marTop w:val="0"/>
              <w:marBottom w:val="0"/>
              <w:divBdr>
                <w:top w:val="none" w:sz="0" w:space="0" w:color="auto"/>
                <w:left w:val="none" w:sz="0" w:space="0" w:color="auto"/>
                <w:bottom w:val="none" w:sz="0" w:space="0" w:color="auto"/>
                <w:right w:val="none" w:sz="0" w:space="0" w:color="auto"/>
              </w:divBdr>
            </w:div>
            <w:div w:id="137958974">
              <w:marLeft w:val="0"/>
              <w:marRight w:val="0"/>
              <w:marTop w:val="0"/>
              <w:marBottom w:val="0"/>
              <w:divBdr>
                <w:top w:val="none" w:sz="0" w:space="0" w:color="auto"/>
                <w:left w:val="none" w:sz="0" w:space="0" w:color="auto"/>
                <w:bottom w:val="none" w:sz="0" w:space="0" w:color="auto"/>
                <w:right w:val="none" w:sz="0" w:space="0" w:color="auto"/>
              </w:divBdr>
            </w:div>
            <w:div w:id="1171288842">
              <w:marLeft w:val="0"/>
              <w:marRight w:val="0"/>
              <w:marTop w:val="0"/>
              <w:marBottom w:val="0"/>
              <w:divBdr>
                <w:top w:val="none" w:sz="0" w:space="0" w:color="auto"/>
                <w:left w:val="none" w:sz="0" w:space="0" w:color="auto"/>
                <w:bottom w:val="none" w:sz="0" w:space="0" w:color="auto"/>
                <w:right w:val="none" w:sz="0" w:space="0" w:color="auto"/>
              </w:divBdr>
            </w:div>
            <w:div w:id="1952391012">
              <w:marLeft w:val="0"/>
              <w:marRight w:val="0"/>
              <w:marTop w:val="0"/>
              <w:marBottom w:val="0"/>
              <w:divBdr>
                <w:top w:val="none" w:sz="0" w:space="0" w:color="auto"/>
                <w:left w:val="none" w:sz="0" w:space="0" w:color="auto"/>
                <w:bottom w:val="none" w:sz="0" w:space="0" w:color="auto"/>
                <w:right w:val="none" w:sz="0" w:space="0" w:color="auto"/>
              </w:divBdr>
            </w:div>
            <w:div w:id="10913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8E2ECEBD-8E53-4D6A-BCEE-C9790B78D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C6C59-4494-4F85-91E4-4541EA10250A}">
  <ds:schemaRefs>
    <ds:schemaRef ds:uri="http://schemas.microsoft.com/sharepoint/v3/contenttype/forms"/>
  </ds:schemaRefs>
</ds:datastoreItem>
</file>

<file path=customXml/itemProps3.xml><?xml version="1.0" encoding="utf-8"?>
<ds:datastoreItem xmlns:ds="http://schemas.openxmlformats.org/officeDocument/2006/customXml" ds:itemID="{620BAAB9-71B9-4BE6-B50E-2F08E97D6F3B}">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2882</Words>
  <Characters>1644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Neringa Vaitonienė</cp:lastModifiedBy>
  <cp:revision>14</cp:revision>
  <dcterms:created xsi:type="dcterms:W3CDTF">2026-03-16T06:44:00Z</dcterms:created>
  <dcterms:modified xsi:type="dcterms:W3CDTF">2026-03-20T06:29:00Z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