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2AA9" w14:textId="77777777" w:rsidR="009B6A03" w:rsidRPr="00343FE8" w:rsidRDefault="009B6A03" w:rsidP="00D0021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3FE8">
        <w:rPr>
          <w:rFonts w:ascii="Times New Roman" w:hAnsi="Times New Roman" w:cs="Times New Roman"/>
          <w:b/>
          <w:sz w:val="16"/>
          <w:szCs w:val="16"/>
        </w:rPr>
        <w:t>TECHNINĖ SPECIFIKACIJA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4"/>
        <w:gridCol w:w="4696"/>
        <w:gridCol w:w="4536"/>
      </w:tblGrid>
      <w:tr w:rsidR="000A74F1" w:rsidRPr="00343FE8" w14:paraId="56CD2AAF" w14:textId="77777777" w:rsidTr="00D86A06">
        <w:trPr>
          <w:trHeight w:val="738"/>
          <w:tblHeader/>
        </w:trPr>
        <w:tc>
          <w:tcPr>
            <w:tcW w:w="544" w:type="dxa"/>
            <w:vAlign w:val="center"/>
          </w:tcPr>
          <w:p w14:paraId="56CD2AAA" w14:textId="77777777" w:rsidR="00FC6C9B" w:rsidRPr="00343FE8" w:rsidRDefault="00FC6C9B" w:rsidP="009B6A03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4696" w:type="dxa"/>
            <w:vAlign w:val="center"/>
          </w:tcPr>
          <w:p w14:paraId="56CD2AAB" w14:textId="77777777" w:rsidR="00FC6C9B" w:rsidRPr="00343FE8" w:rsidRDefault="00652A73" w:rsidP="00F944E3">
            <w:pPr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Prekės pavadinimas ir techniniai reikalavimai</w:t>
            </w:r>
          </w:p>
        </w:tc>
        <w:tc>
          <w:tcPr>
            <w:tcW w:w="4536" w:type="dxa"/>
          </w:tcPr>
          <w:p w14:paraId="56CD2AAC" w14:textId="77777777" w:rsidR="00F944E3" w:rsidRPr="00343FE8" w:rsidRDefault="00F944E3" w:rsidP="00F944E3">
            <w:pPr>
              <w:rPr>
                <w:b/>
                <w:sz w:val="16"/>
                <w:szCs w:val="16"/>
                <w:lang w:val="lt-LT"/>
              </w:rPr>
            </w:pPr>
          </w:p>
          <w:p w14:paraId="56CD2AAD" w14:textId="77777777" w:rsidR="00652A73" w:rsidRPr="00343FE8" w:rsidRDefault="00652A73" w:rsidP="00652A73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 xml:space="preserve">Siūlomos prekės pavadinimas, gamintojas/modelis ir </w:t>
            </w:r>
          </w:p>
          <w:p w14:paraId="56CD2AAE" w14:textId="77777777" w:rsidR="00FC6C9B" w:rsidRPr="00343FE8" w:rsidRDefault="00652A73" w:rsidP="00652A73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techninė charakteristika</w:t>
            </w:r>
          </w:p>
        </w:tc>
      </w:tr>
      <w:tr w:rsidR="000A74F1" w:rsidRPr="00343FE8" w14:paraId="56CD2ABF" w14:textId="77777777" w:rsidTr="000B0A1A">
        <w:trPr>
          <w:trHeight w:val="694"/>
        </w:trPr>
        <w:tc>
          <w:tcPr>
            <w:tcW w:w="544" w:type="dxa"/>
            <w:vAlign w:val="center"/>
          </w:tcPr>
          <w:p w14:paraId="56CD2AB0" w14:textId="77777777" w:rsidR="00FC6C9B" w:rsidRPr="00343FE8" w:rsidRDefault="00FC6C9B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1</w:t>
            </w:r>
            <w:r w:rsidR="00E67BC8" w:rsidRPr="00343FE8"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4696" w:type="dxa"/>
          </w:tcPr>
          <w:p w14:paraId="56CD2AB1" w14:textId="77777777" w:rsidR="000A74F1" w:rsidRPr="00343FE8" w:rsidRDefault="000A74F1" w:rsidP="00D86A06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513x513x68;</w:t>
            </w:r>
          </w:p>
          <w:p w14:paraId="56CD2AB2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Srautas:</w:t>
            </w:r>
            <w:r w:rsidR="00C47449">
              <w:rPr>
                <w:sz w:val="16"/>
                <w:szCs w:val="16"/>
                <w:lang w:val="lt-LT"/>
              </w:rPr>
              <w:t xml:space="preserve"> ≥430 m3/h</w:t>
            </w:r>
            <w:r w:rsidR="00D86A06" w:rsidRPr="00343FE8">
              <w:rPr>
                <w:sz w:val="16"/>
                <w:szCs w:val="16"/>
                <w:lang w:val="lt-LT"/>
              </w:rPr>
              <w:t>;</w:t>
            </w:r>
          </w:p>
          <w:p w14:paraId="56CD2AB3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B4" w14:textId="77777777" w:rsidR="000A74F1" w:rsidRPr="00343FE8" w:rsidRDefault="00FE0BC3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="000A74F1" w:rsidRPr="00343FE8">
              <w:rPr>
                <w:sz w:val="16"/>
                <w:szCs w:val="16"/>
                <w:lang w:val="lt-LT"/>
              </w:rPr>
              <w:t>;</w:t>
            </w:r>
          </w:p>
          <w:p w14:paraId="56CD2AB5" w14:textId="77777777" w:rsidR="00C47449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="0087274D">
              <w:rPr>
                <w:sz w:val="16"/>
                <w:szCs w:val="16"/>
                <w:lang w:val="lt-LT"/>
              </w:rPr>
              <w:t xml:space="preserve"> iš abiejų filtro pusių</w:t>
            </w:r>
            <w:r w:rsidR="00C47449">
              <w:rPr>
                <w:sz w:val="16"/>
                <w:szCs w:val="16"/>
                <w:lang w:val="lt-LT"/>
              </w:rPr>
              <w:t>;</w:t>
            </w:r>
          </w:p>
          <w:p w14:paraId="56CD2AB6" w14:textId="77777777" w:rsidR="000A74F1" w:rsidRPr="00343FE8" w:rsidRDefault="00C47449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="000A74F1" w:rsidRPr="00343FE8">
              <w:rPr>
                <w:sz w:val="16"/>
                <w:szCs w:val="16"/>
                <w:lang w:val="lt-LT"/>
              </w:rPr>
              <w:t>;</w:t>
            </w:r>
          </w:p>
          <w:p w14:paraId="56CD2AB7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B8" w14:textId="77777777" w:rsidR="00896E87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B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</w:t>
            </w:r>
            <w:r w:rsidR="000D40DA">
              <w:rPr>
                <w:sz w:val="16"/>
                <w:szCs w:val="16"/>
                <w:lang w:val="lt-LT"/>
              </w:rPr>
              <w:t>cija (EN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BA" w14:textId="77777777" w:rsidR="00D86A06" w:rsidRPr="00343FE8" w:rsidRDefault="0087274D" w:rsidP="00D86A06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MPPS efektyvumas: ≥99,995 %;</w:t>
            </w:r>
          </w:p>
          <w:p w14:paraId="56CD2AB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BC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 w:rsidR="000D40DA"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 w:rsidR="00985A8E"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BD" w14:textId="77777777" w:rsidR="00D86A06" w:rsidRPr="00343FE8" w:rsidRDefault="00D86A06" w:rsidP="00D86A06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 w:rsidR="00F14A82">
              <w:rPr>
                <w:b/>
                <w:sz w:val="16"/>
                <w:szCs w:val="16"/>
                <w:lang w:val="lt-LT"/>
              </w:rPr>
              <w:t xml:space="preserve"> </w:t>
            </w:r>
            <w:r w:rsidR="00F14A82" w:rsidRPr="00F14A82">
              <w:rPr>
                <w:b/>
                <w:sz w:val="16"/>
                <w:szCs w:val="16"/>
                <w:lang w:val="lt-LT"/>
              </w:rPr>
              <w:t>(nutekėji</w:t>
            </w:r>
            <w:r w:rsidR="00F14A82"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BE" w14:textId="77777777" w:rsidR="00F35768" w:rsidRPr="00343FE8" w:rsidRDefault="00F35768" w:rsidP="00D86A06">
            <w:pPr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56CD2ACF" w14:textId="77777777" w:rsidTr="000B0A1A">
        <w:trPr>
          <w:trHeight w:val="561"/>
        </w:trPr>
        <w:tc>
          <w:tcPr>
            <w:tcW w:w="544" w:type="dxa"/>
            <w:vAlign w:val="center"/>
          </w:tcPr>
          <w:p w14:paraId="56CD2AC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2.</w:t>
            </w:r>
          </w:p>
        </w:tc>
        <w:tc>
          <w:tcPr>
            <w:tcW w:w="4696" w:type="dxa"/>
          </w:tcPr>
          <w:p w14:paraId="56CD2AC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513x513x78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56CD2AC2" w14:textId="77777777" w:rsidR="000A74F1" w:rsidRPr="00343FE8" w:rsidRDefault="00C47449" w:rsidP="00D86A06">
            <w:pPr>
              <w:jc w:val="both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Srautas: ≥430 m3/h</w:t>
            </w:r>
            <w:r w:rsidR="00D86A06" w:rsidRPr="00343FE8">
              <w:rPr>
                <w:sz w:val="16"/>
                <w:szCs w:val="16"/>
                <w:lang w:val="lt-LT"/>
              </w:rPr>
              <w:t>;</w:t>
            </w:r>
          </w:p>
          <w:p w14:paraId="56CD2AC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C4" w14:textId="77777777" w:rsidR="00FE0BC3" w:rsidRPr="00343FE8" w:rsidRDefault="00FE0BC3" w:rsidP="00FE0BC3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5" w14:textId="77777777" w:rsidR="0087274D" w:rsidRDefault="0087274D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</w:t>
            </w:r>
            <w:r>
              <w:rPr>
                <w:sz w:val="16"/>
                <w:szCs w:val="16"/>
                <w:lang w:val="lt-LT"/>
              </w:rPr>
              <w:t xml:space="preserve"> iš abiejų filtro pusių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6" w14:textId="77777777" w:rsidR="00C47449" w:rsidRPr="00343FE8" w:rsidRDefault="00C47449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56CD2AC8" w14:textId="77777777" w:rsidR="00D53609" w:rsidRPr="00343FE8" w:rsidRDefault="00D86A06" w:rsidP="00D86A06">
            <w:pPr>
              <w:jc w:val="both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C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</w:t>
            </w:r>
            <w:r w:rsidR="000D40DA">
              <w:rPr>
                <w:sz w:val="16"/>
                <w:szCs w:val="16"/>
                <w:lang w:val="lt-LT"/>
              </w:rPr>
              <w:t>cija (EN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A" w14:textId="77777777" w:rsidR="00D86A06" w:rsidRPr="00343FE8" w:rsidRDefault="0087274D" w:rsidP="00D86A06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MPPS efektyvumas: ≥99,995 %;</w:t>
            </w:r>
          </w:p>
          <w:p w14:paraId="56CD2AC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CC" w14:textId="77777777" w:rsidR="000D40DA" w:rsidRPr="00343FE8" w:rsidRDefault="000D40DA" w:rsidP="000D40DA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D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14A82">
              <w:rPr>
                <w:b/>
                <w:sz w:val="16"/>
                <w:szCs w:val="16"/>
                <w:lang w:val="lt-LT"/>
              </w:rPr>
              <w:t>(nutekėji</w:t>
            </w:r>
            <w:r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C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56CD2ADF" w14:textId="77777777" w:rsidTr="000B0A1A">
        <w:trPr>
          <w:trHeight w:val="413"/>
        </w:trPr>
        <w:tc>
          <w:tcPr>
            <w:tcW w:w="544" w:type="dxa"/>
            <w:vAlign w:val="center"/>
          </w:tcPr>
          <w:p w14:paraId="56CD2AD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3.</w:t>
            </w:r>
          </w:p>
        </w:tc>
        <w:tc>
          <w:tcPr>
            <w:tcW w:w="4696" w:type="dxa"/>
          </w:tcPr>
          <w:p w14:paraId="56CD2AD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610x1219x68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56CD2AD2" w14:textId="77777777" w:rsidR="00D53609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Srautas: </w:t>
            </w:r>
            <w:r w:rsidR="00C47449">
              <w:rPr>
                <w:sz w:val="16"/>
                <w:szCs w:val="16"/>
                <w:lang w:val="lt-LT"/>
              </w:rPr>
              <w:t>≥1200 m3/h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D4" w14:textId="77777777" w:rsidR="00FE0BC3" w:rsidRPr="00343FE8" w:rsidRDefault="00FE0BC3" w:rsidP="00FE0BC3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5" w14:textId="77777777" w:rsidR="0087274D" w:rsidRDefault="0087274D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</w:t>
            </w:r>
            <w:r>
              <w:rPr>
                <w:sz w:val="16"/>
                <w:szCs w:val="16"/>
                <w:lang w:val="lt-LT"/>
              </w:rPr>
              <w:t xml:space="preserve"> iš abiejų filtro pusių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6" w14:textId="77777777" w:rsidR="00C47449" w:rsidRPr="00343FE8" w:rsidRDefault="00C47449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56CD2AD8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D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Klasifikacija (E</w:t>
            </w:r>
            <w:r w:rsidR="000D40DA">
              <w:rPr>
                <w:sz w:val="16"/>
                <w:szCs w:val="16"/>
                <w:lang w:val="lt-LT"/>
              </w:rPr>
              <w:t>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A" w14:textId="77777777" w:rsidR="00D86A06" w:rsidRPr="00343FE8" w:rsidRDefault="0087274D" w:rsidP="00D86A06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MPPS efektyvumas: ≥99,995 %;</w:t>
            </w:r>
          </w:p>
          <w:p w14:paraId="56CD2AD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DC" w14:textId="77777777" w:rsidR="000D40DA" w:rsidRPr="00343FE8" w:rsidRDefault="000D40DA" w:rsidP="000D40DA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D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14A82">
              <w:rPr>
                <w:b/>
                <w:sz w:val="16"/>
                <w:szCs w:val="16"/>
                <w:lang w:val="lt-LT"/>
              </w:rPr>
              <w:t>(nutekėji</w:t>
            </w:r>
            <w:r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D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56CD2AEF" w14:textId="77777777" w:rsidTr="000B0A1A">
        <w:trPr>
          <w:trHeight w:val="48"/>
        </w:trPr>
        <w:tc>
          <w:tcPr>
            <w:tcW w:w="544" w:type="dxa"/>
            <w:vAlign w:val="center"/>
          </w:tcPr>
          <w:p w14:paraId="56CD2AE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4.</w:t>
            </w:r>
          </w:p>
        </w:tc>
        <w:tc>
          <w:tcPr>
            <w:tcW w:w="4696" w:type="dxa"/>
          </w:tcPr>
          <w:p w14:paraId="56CD2AE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610x610x68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56CD2AE2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Srautas: ≥600 m3/h</w:t>
            </w:r>
            <w:r w:rsidR="00D86A06" w:rsidRPr="00343FE8">
              <w:rPr>
                <w:sz w:val="16"/>
                <w:szCs w:val="16"/>
                <w:lang w:val="lt-LT"/>
              </w:rPr>
              <w:t>;</w:t>
            </w:r>
          </w:p>
          <w:p w14:paraId="56CD2AE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E4" w14:textId="77777777" w:rsidR="00FE0BC3" w:rsidRPr="00343FE8" w:rsidRDefault="00FE0BC3" w:rsidP="00FE0BC3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5" w14:textId="77777777" w:rsidR="0087274D" w:rsidRDefault="0087274D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</w:t>
            </w:r>
            <w:r>
              <w:rPr>
                <w:sz w:val="16"/>
                <w:szCs w:val="16"/>
                <w:lang w:val="lt-LT"/>
              </w:rPr>
              <w:t xml:space="preserve"> iš abiejų filtro pusių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6" w14:textId="77777777" w:rsidR="00C47449" w:rsidRPr="00343FE8" w:rsidRDefault="00C47449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56CD2AE8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E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</w:t>
            </w:r>
            <w:r w:rsidR="000D40DA">
              <w:rPr>
                <w:sz w:val="16"/>
                <w:szCs w:val="16"/>
                <w:lang w:val="lt-LT"/>
              </w:rPr>
              <w:t>cija (EN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A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MPPS efektyvumas:</w:t>
            </w:r>
            <w:r w:rsidR="0087274D">
              <w:rPr>
                <w:sz w:val="16"/>
                <w:szCs w:val="16"/>
                <w:lang w:val="lt-LT"/>
              </w:rPr>
              <w:t xml:space="preserve"> ≥99,995 %;</w:t>
            </w:r>
          </w:p>
          <w:p w14:paraId="56CD2AE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EC" w14:textId="77777777" w:rsidR="000D40DA" w:rsidRPr="00343FE8" w:rsidRDefault="000D40DA" w:rsidP="000D40DA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D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14A82">
              <w:rPr>
                <w:b/>
                <w:sz w:val="16"/>
                <w:szCs w:val="16"/>
                <w:lang w:val="lt-LT"/>
              </w:rPr>
              <w:t>(nutekėji</w:t>
            </w:r>
            <w:r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E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</w:tbl>
    <w:p w14:paraId="56CD2AF0" w14:textId="77777777" w:rsidR="009B6A03" w:rsidRPr="00343FE8" w:rsidRDefault="009B6A03">
      <w:pPr>
        <w:rPr>
          <w:rFonts w:ascii="Times New Roman" w:hAnsi="Times New Roman" w:cs="Times New Roman"/>
          <w:sz w:val="16"/>
          <w:szCs w:val="16"/>
        </w:rPr>
      </w:pPr>
    </w:p>
    <w:p w14:paraId="56CD2AF1" w14:textId="77777777" w:rsidR="00295BD4" w:rsidRPr="00343FE8" w:rsidRDefault="00295BD4" w:rsidP="00295BD4">
      <w:pP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343FE8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lastRenderedPageBreak/>
        <w:t>Papildomi reikalavimai:</w:t>
      </w:r>
    </w:p>
    <w:p w14:paraId="56CD2AF2" w14:textId="77777777" w:rsidR="005D1979" w:rsidRPr="00343FE8" w:rsidRDefault="005D1979" w:rsidP="00520023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</w:p>
    <w:p w14:paraId="7D0479E8" w14:textId="77777777" w:rsidR="0087040B" w:rsidRPr="00343FE8" w:rsidRDefault="0087040B" w:rsidP="0087040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Grafoje „Siūlomos prekės pavadinimas ir techninė charakteristika“ turi būti nurodyti tikslūs ir konkretūs siūlomos prekės duomenys, nepaliekant lentelėje patei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ktų dydžių reikšmių 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ir tokių reikšmių, kaip „lygiavertė“, „atitinka,“ „ne mažiau“ ir pan.</w:t>
      </w:r>
    </w:p>
    <w:p w14:paraId="2FC5BECE" w14:textId="77777777" w:rsidR="0087040B" w:rsidRPr="005F0AEF" w:rsidRDefault="0087040B" w:rsidP="0087040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Siūlomos prekės techninės charakteristikos turi būti ne blogesnės nei reikalaujamos techninėje specifikacijoje, 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t.y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. siūloma prekė savo savybėmis turi būti lygiavertė techninėje specifikacijoje reikalaujamai arba geresnių techninių parametrų.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</w:t>
      </w:r>
      <w:r w:rsidRPr="005F0AE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Kartu su pasiūlymu tiekėjas turi pateikti pasiūlyme nurodytų prekių atitikimo techninei specifikacijai įrodančius gamintojo dokumentus: aprašymus, gamintojo katalogus ar kitus gaminio dokumentus ir/ar elektronines nuorodas į juos. Pateikiamos skaitmeninės dokumentų kopijos</w:t>
      </w:r>
    </w:p>
    <w:p w14:paraId="5035B2B0" w14:textId="77777777" w:rsidR="0087040B" w:rsidRPr="00343FE8" w:rsidRDefault="0087040B" w:rsidP="0087040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Prekes numatoma užsakyti pagal poreikį, tam tikro dydžio partijomis. Prekę Tiekėjas į Kauno klinikų nurodytą vietą (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Eivenių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g. 2, Kaunas arba į Volungių g. 16, Kaunas) turės pristatyti savo transportu. Tiekimo terminas ne ilgesnis kaip 15 darbo dienų nuo užsakymo pateikimo dienos. </w:t>
      </w:r>
    </w:p>
    <w:p w14:paraId="56CD2AF6" w14:textId="77777777" w:rsidR="00E67BC8" w:rsidRPr="00343FE8" w:rsidRDefault="00E67BC8" w:rsidP="00CB44BA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bookmarkStart w:id="0" w:name="_GoBack"/>
      <w:bookmarkEnd w:id="0"/>
    </w:p>
    <w:sectPr w:rsidR="00E67BC8" w:rsidRPr="00343FE8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1C68" w14:textId="77777777" w:rsidR="00CF2AE7" w:rsidRDefault="00CF2AE7" w:rsidP="00E52216">
      <w:pPr>
        <w:spacing w:after="0" w:line="240" w:lineRule="auto"/>
      </w:pPr>
      <w:r>
        <w:separator/>
      </w:r>
    </w:p>
  </w:endnote>
  <w:endnote w:type="continuationSeparator" w:id="0">
    <w:p w14:paraId="393A51A9" w14:textId="77777777" w:rsidR="00CF2AE7" w:rsidRDefault="00CF2AE7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E0A5" w14:textId="77777777" w:rsidR="00CF2AE7" w:rsidRDefault="00CF2AE7" w:rsidP="00E52216">
      <w:pPr>
        <w:spacing w:after="0" w:line="240" w:lineRule="auto"/>
      </w:pPr>
      <w:r>
        <w:separator/>
      </w:r>
    </w:p>
  </w:footnote>
  <w:footnote w:type="continuationSeparator" w:id="0">
    <w:p w14:paraId="16FAFB7E" w14:textId="77777777" w:rsidR="00CF2AE7" w:rsidRDefault="00CF2AE7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2AFC" w14:textId="77777777" w:rsidR="00E52216" w:rsidRPr="00E31877" w:rsidRDefault="00E52216" w:rsidP="00E318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0155D"/>
    <w:rsid w:val="00024505"/>
    <w:rsid w:val="00041D76"/>
    <w:rsid w:val="000A74F1"/>
    <w:rsid w:val="000B0A1A"/>
    <w:rsid w:val="000D40DA"/>
    <w:rsid w:val="000F0EE8"/>
    <w:rsid w:val="00183A77"/>
    <w:rsid w:val="00184162"/>
    <w:rsid w:val="00184755"/>
    <w:rsid w:val="00194C8C"/>
    <w:rsid w:val="001B37A3"/>
    <w:rsid w:val="001C2EEB"/>
    <w:rsid w:val="001E3098"/>
    <w:rsid w:val="002075E1"/>
    <w:rsid w:val="00282954"/>
    <w:rsid w:val="0028500C"/>
    <w:rsid w:val="00292DFD"/>
    <w:rsid w:val="00295BD4"/>
    <w:rsid w:val="002A600C"/>
    <w:rsid w:val="00304100"/>
    <w:rsid w:val="0031035A"/>
    <w:rsid w:val="003105DD"/>
    <w:rsid w:val="00343FE8"/>
    <w:rsid w:val="00380E80"/>
    <w:rsid w:val="00393DA5"/>
    <w:rsid w:val="003A374D"/>
    <w:rsid w:val="003B329F"/>
    <w:rsid w:val="003B3C30"/>
    <w:rsid w:val="003B54D1"/>
    <w:rsid w:val="004106C0"/>
    <w:rsid w:val="004407DC"/>
    <w:rsid w:val="00520023"/>
    <w:rsid w:val="005274D8"/>
    <w:rsid w:val="005529B8"/>
    <w:rsid w:val="00575F74"/>
    <w:rsid w:val="00581154"/>
    <w:rsid w:val="005D1979"/>
    <w:rsid w:val="005D5569"/>
    <w:rsid w:val="00652A73"/>
    <w:rsid w:val="00655D4B"/>
    <w:rsid w:val="006C24F8"/>
    <w:rsid w:val="006C4237"/>
    <w:rsid w:val="00700894"/>
    <w:rsid w:val="00735180"/>
    <w:rsid w:val="00771A4A"/>
    <w:rsid w:val="00797F4F"/>
    <w:rsid w:val="007D1FE6"/>
    <w:rsid w:val="007E75CC"/>
    <w:rsid w:val="007E7923"/>
    <w:rsid w:val="007E79F7"/>
    <w:rsid w:val="00804399"/>
    <w:rsid w:val="00815792"/>
    <w:rsid w:val="00836468"/>
    <w:rsid w:val="00844DE1"/>
    <w:rsid w:val="0087040B"/>
    <w:rsid w:val="00871746"/>
    <w:rsid w:val="0087274D"/>
    <w:rsid w:val="008751A3"/>
    <w:rsid w:val="00890B61"/>
    <w:rsid w:val="00896E87"/>
    <w:rsid w:val="008C4DC3"/>
    <w:rsid w:val="00985A8E"/>
    <w:rsid w:val="009B6A03"/>
    <w:rsid w:val="009D52F7"/>
    <w:rsid w:val="009F11A0"/>
    <w:rsid w:val="00A40771"/>
    <w:rsid w:val="00A4405F"/>
    <w:rsid w:val="00A95664"/>
    <w:rsid w:val="00AB2654"/>
    <w:rsid w:val="00AD1E3D"/>
    <w:rsid w:val="00AE2D99"/>
    <w:rsid w:val="00B70C9D"/>
    <w:rsid w:val="00B87F43"/>
    <w:rsid w:val="00BC2C75"/>
    <w:rsid w:val="00C23E3B"/>
    <w:rsid w:val="00C47449"/>
    <w:rsid w:val="00C55AFB"/>
    <w:rsid w:val="00C9793A"/>
    <w:rsid w:val="00CB44BA"/>
    <w:rsid w:val="00CF2AE7"/>
    <w:rsid w:val="00D00211"/>
    <w:rsid w:val="00D1113E"/>
    <w:rsid w:val="00D1505F"/>
    <w:rsid w:val="00D24A1C"/>
    <w:rsid w:val="00D53609"/>
    <w:rsid w:val="00D674BF"/>
    <w:rsid w:val="00D86A06"/>
    <w:rsid w:val="00DC6A22"/>
    <w:rsid w:val="00DD1F0C"/>
    <w:rsid w:val="00E3173F"/>
    <w:rsid w:val="00E31877"/>
    <w:rsid w:val="00E52216"/>
    <w:rsid w:val="00E63FF9"/>
    <w:rsid w:val="00E67BC8"/>
    <w:rsid w:val="00EB5F91"/>
    <w:rsid w:val="00F05440"/>
    <w:rsid w:val="00F14A82"/>
    <w:rsid w:val="00F35768"/>
    <w:rsid w:val="00F47AAD"/>
    <w:rsid w:val="00F944E3"/>
    <w:rsid w:val="00FB0170"/>
    <w:rsid w:val="00FB1001"/>
    <w:rsid w:val="00FB1569"/>
    <w:rsid w:val="00FC0D6C"/>
    <w:rsid w:val="00FC6C9B"/>
    <w:rsid w:val="00FD44BE"/>
    <w:rsid w:val="00FE0BC3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2AA9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16"/>
  </w:style>
  <w:style w:type="paragraph" w:styleId="Footer">
    <w:name w:val="footer"/>
    <w:basedOn w:val="Normal"/>
    <w:link w:val="Foot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16"/>
  </w:style>
  <w:style w:type="paragraph" w:customStyle="1" w:styleId="Default">
    <w:name w:val="Default"/>
    <w:rsid w:val="00520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374D"/>
    <w:rPr>
      <w:color w:val="808080"/>
    </w:rPr>
  </w:style>
  <w:style w:type="paragraph" w:styleId="NoSpacing">
    <w:name w:val="No Spacing"/>
    <w:uiPriority w:val="1"/>
    <w:qFormat/>
    <w:rsid w:val="00C23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C630-B54E-4A2F-AFBB-0403ADD17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AB93E-30D3-4D8C-91F0-7D43A219B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808779-79C8-4AAF-95B2-6FB54427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EFFF2-8C86-45A1-B873-16BA2E3F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2692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3</cp:revision>
  <cp:lastPrinted>2025-05-13T12:09:00Z</cp:lastPrinted>
  <dcterms:created xsi:type="dcterms:W3CDTF">2026-03-09T12:51:00Z</dcterms:created>
  <dcterms:modified xsi:type="dcterms:W3CDTF">2026-03-19T12:46:00Z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