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1D5A8289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5501DB" w:rsidRPr="005501DB">
        <w:rPr>
          <w:i/>
          <w:lang w:eastAsia="en-US"/>
        </w:rPr>
        <w:t>Įeigos kontrolės ir apsauginės signalizacijos sistemos įrengimas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43064"/>
    <w:rsid w:val="002601E3"/>
    <w:rsid w:val="002B36BB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4C6F6F"/>
    <w:rsid w:val="00515576"/>
    <w:rsid w:val="00527F2F"/>
    <w:rsid w:val="00540F84"/>
    <w:rsid w:val="0054666B"/>
    <w:rsid w:val="005501DB"/>
    <w:rsid w:val="00553CD2"/>
    <w:rsid w:val="00567E34"/>
    <w:rsid w:val="005A7910"/>
    <w:rsid w:val="005D1E10"/>
    <w:rsid w:val="005D34DF"/>
    <w:rsid w:val="00633F3F"/>
    <w:rsid w:val="00640129"/>
    <w:rsid w:val="00653B04"/>
    <w:rsid w:val="006B77EA"/>
    <w:rsid w:val="006C5F72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10E03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1452B"/>
    <w:rsid w:val="00A20E4A"/>
    <w:rsid w:val="00A233D9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43822"/>
    <w:rsid w:val="00C6694F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00BBB"/>
    <w:rsid w:val="00F262E1"/>
    <w:rsid w:val="00F56142"/>
    <w:rsid w:val="00F7415B"/>
    <w:rsid w:val="00F83B23"/>
    <w:rsid w:val="00FB349D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5</cp:revision>
  <dcterms:created xsi:type="dcterms:W3CDTF">2026-03-02T07:06:00Z</dcterms:created>
  <dcterms:modified xsi:type="dcterms:W3CDTF">2026-03-20T10:36:00Z</dcterms:modified>
</cp:coreProperties>
</file>