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B0A" w:rsidRPr="00FA3B0A" w:rsidRDefault="00FA3B0A" w:rsidP="00FA3B0A">
      <w:pPr>
        <w:jc w:val="right"/>
        <w:rPr>
          <w:rFonts w:ascii="Times New Roman" w:hAnsi="Times New Roman" w:cs="Times New Roman"/>
          <w:sz w:val="24"/>
          <w:szCs w:val="24"/>
        </w:rPr>
      </w:pPr>
      <w:r w:rsidRPr="00FA3B0A">
        <w:rPr>
          <w:rFonts w:ascii="Times New Roman" w:hAnsi="Times New Roman" w:cs="Times New Roman"/>
          <w:sz w:val="24"/>
          <w:szCs w:val="24"/>
        </w:rPr>
        <w:t>Pirkimo sąlygų 4 priedas</w:t>
      </w:r>
    </w:p>
    <w:p w:rsidR="006C6383" w:rsidRPr="00C8275F" w:rsidRDefault="00E363E9" w:rsidP="00004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5F">
        <w:rPr>
          <w:rFonts w:ascii="Times New Roman" w:hAnsi="Times New Roman" w:cs="Times New Roman"/>
          <w:b/>
          <w:sz w:val="28"/>
          <w:szCs w:val="28"/>
        </w:rPr>
        <w:t>PASIŪLYMŲ VERTINIMO TVARKA</w:t>
      </w:r>
    </w:p>
    <w:p w:rsidR="00E363E9" w:rsidRPr="00C8275F" w:rsidRDefault="00E363E9" w:rsidP="00E363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 w:rsidRPr="00C8275F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I.</w:t>
      </w:r>
      <w:r w:rsidRPr="00C8275F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 xml:space="preserve"> </w:t>
      </w:r>
      <w:r w:rsidRPr="00C8275F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Bendrosios nuostatos</w:t>
      </w:r>
    </w:p>
    <w:p w:rsidR="00E363E9" w:rsidRPr="00C8275F" w:rsidRDefault="00E363E9" w:rsidP="00FA3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Pasiūlymai vertinami siekiant nustatyti ekonomiškai naudingiausią pasiūlymą, vadovaujantis Lietuvos Respublikos viešųjų pirkimų įstatymo nuostatomis ir pirkimo dokumentais.</w:t>
      </w:r>
    </w:p>
    <w:p w:rsidR="00E363E9" w:rsidRPr="00C8275F" w:rsidRDefault="00E363E9" w:rsidP="00FA3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t>Ekonomiškai naudingiausias pasiūlymas nustatomas pagal kainos, eksploatacinių sąnaudų, kokybės ir pristatymo termino kriterijų visumą.</w:t>
      </w:r>
    </w:p>
    <w:p w:rsidR="00E363E9" w:rsidRPr="00C8275F" w:rsidRDefault="00E363E9" w:rsidP="00FA3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Vertinimas atliekamas tik tų pasiūlymų, kurie atitinka pirkimo dokumentų reikalavimus.</w:t>
      </w:r>
    </w:p>
    <w:p w:rsidR="00E363E9" w:rsidRPr="00C8275F" w:rsidRDefault="00E363E9" w:rsidP="00FA3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t>Visi skaičiavimai atliekami remiantis tiekėjų pasiūlymuose pateikta informacija ir pirkimo dokumentuose nustatytais fiksuotais parametrais.</w:t>
      </w:r>
    </w:p>
    <w:p w:rsidR="00E363E9" w:rsidRPr="00C8275F" w:rsidRDefault="00E363E9" w:rsidP="00FA3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t>Gauti balai apvalinami matematiniu būdu iki dviejų skaitmenų po kablelio.</w:t>
      </w:r>
    </w:p>
    <w:p w:rsidR="00E363E9" w:rsidRPr="00C8275F" w:rsidRDefault="00E363E9" w:rsidP="00E363E9">
      <w:pPr>
        <w:pStyle w:val="Antrat2"/>
        <w:rPr>
          <w:sz w:val="28"/>
          <w:szCs w:val="28"/>
        </w:rPr>
      </w:pPr>
      <w:r w:rsidRPr="00C8275F">
        <w:rPr>
          <w:sz w:val="28"/>
          <w:szCs w:val="28"/>
        </w:rPr>
        <w:t>II. Vertinimo kriterijai ir jų svoriai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673"/>
        <w:gridCol w:w="1559"/>
      </w:tblGrid>
      <w:tr w:rsidR="00E363E9" w:rsidRPr="00C8275F" w:rsidTr="00FA3B0A">
        <w:trPr>
          <w:tblHeader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  <w:b/>
                <w:bCs/>
              </w:rPr>
            </w:pPr>
            <w:r w:rsidRPr="00C8275F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  <w:b/>
                <w:bCs/>
              </w:rPr>
            </w:pPr>
            <w:r w:rsidRPr="00C8275F">
              <w:rPr>
                <w:rFonts w:ascii="Times New Roman" w:hAnsi="Times New Roman" w:cs="Times New Roman"/>
                <w:b/>
                <w:bCs/>
              </w:rPr>
              <w:t>Kriterijus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  <w:b/>
                <w:bCs/>
              </w:rPr>
            </w:pPr>
            <w:r w:rsidRPr="00C8275F">
              <w:rPr>
                <w:rFonts w:ascii="Times New Roman" w:hAnsi="Times New Roman" w:cs="Times New Roman"/>
                <w:b/>
                <w:bCs/>
              </w:rPr>
              <w:t>Maksimalus balų skaičius</w:t>
            </w:r>
          </w:p>
        </w:tc>
      </w:tr>
      <w:tr w:rsidR="00E363E9" w:rsidRPr="00C8275F" w:rsidTr="00FA3B0A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Pasiūlymo kaina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jc w:val="center"/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6</w:t>
            </w:r>
            <w:r w:rsidR="00E2314E">
              <w:rPr>
                <w:rFonts w:ascii="Times New Roman" w:hAnsi="Times New Roman" w:cs="Times New Roman"/>
              </w:rPr>
              <w:t>6</w:t>
            </w:r>
          </w:p>
        </w:tc>
      </w:tr>
      <w:tr w:rsidR="00E363E9" w:rsidRPr="00C8275F" w:rsidTr="00FA3B0A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Kuro sąnaudos per 5 metus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jc w:val="center"/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15</w:t>
            </w:r>
          </w:p>
        </w:tc>
      </w:tr>
      <w:tr w:rsidR="00E363E9" w:rsidRPr="00C8275F" w:rsidTr="00FA3B0A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 xml:space="preserve">Papildoma </w:t>
            </w:r>
            <w:r w:rsidR="00B97E3C">
              <w:rPr>
                <w:rFonts w:ascii="Times New Roman" w:hAnsi="Times New Roman" w:cs="Times New Roman"/>
              </w:rPr>
              <w:t xml:space="preserve">transporto priemonės </w:t>
            </w:r>
            <w:r w:rsidRPr="00C8275F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7D1B9C" w:rsidP="00A47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63E9" w:rsidRPr="00C8275F" w:rsidTr="00FA3B0A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Papildoma įranga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7D1B9C" w:rsidP="00A47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63E9" w:rsidRPr="00C8275F" w:rsidTr="00FA3B0A">
        <w:trPr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Pristatymo terminas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3E9" w:rsidRPr="00C8275F" w:rsidRDefault="00E363E9" w:rsidP="00A476F8">
            <w:pPr>
              <w:jc w:val="center"/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10</w:t>
            </w:r>
          </w:p>
        </w:tc>
      </w:tr>
    </w:tbl>
    <w:p w:rsidR="00E363E9" w:rsidRPr="00C8275F" w:rsidRDefault="00E363E9" w:rsidP="00E363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C8275F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III. Pasiūlymo kainos vertinimas (</w:t>
      </w:r>
      <w:r w:rsidR="007822E2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maksimaliai </w:t>
      </w:r>
      <w:r w:rsidRPr="00C8275F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6</w:t>
      </w:r>
      <w:r w:rsidR="007D1B9C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6</w:t>
      </w:r>
      <w:r w:rsidRPr="00C8275F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balai</w:t>
      </w:r>
      <w:r w:rsidR="007822E2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, </w:t>
      </w:r>
      <w:proofErr w:type="spellStart"/>
      <w:r w:rsidR="007822E2" w:rsidRPr="007822E2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B</w:t>
      </w:r>
      <w:r w:rsidR="007822E2" w:rsidRPr="007822E2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lt-LT"/>
        </w:rPr>
        <w:t>k</w:t>
      </w:r>
      <w:proofErr w:type="spellEnd"/>
      <w:r w:rsidRPr="00C8275F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)</w:t>
      </w:r>
    </w:p>
    <w:p w:rsidR="00E363E9" w:rsidRPr="00C8275F" w:rsidRDefault="00E363E9" w:rsidP="00E363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Vertinama pasiūlyme nurodyta bendra transporto priemonės kaina.</w:t>
      </w:r>
    </w:p>
    <w:p w:rsidR="00E363E9" w:rsidRPr="00C8275F" w:rsidRDefault="00E363E9" w:rsidP="00E363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t>Kainos balai skaičiuojami pagal formulę:</w:t>
      </w:r>
    </w:p>
    <w:p w:rsidR="00E363E9" w:rsidRPr="00C8275F" w:rsidRDefault="00A476F8" w:rsidP="00E363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en-US" w:eastAsia="lt-LT"/>
        </w:rPr>
      </w:pPr>
      <m:oMathPara>
        <m:oMath>
          <m:r>
            <m:rPr>
              <m:sty m:val="p"/>
            </m:rPr>
            <w:rPr>
              <w:rStyle w:val="katex-mathml"/>
              <w:rFonts w:ascii="Cambria Math" w:hAnsi="Cambria Math"/>
            </w:rPr>
            <m:t xml:space="preserve">Bk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eastAsia="lt-LT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0"/>
                  <w:szCs w:val="20"/>
                  <w:lang w:eastAsia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lt-LT"/>
                </w:rPr>
                <m:t>Pₘᵢₙ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lt-LT"/>
                </w:rPr>
                <m:t>Pᵢ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eastAsia="lt-LT"/>
            </w:rPr>
            <m:t xml:space="preserve"> </m:t>
          </m:r>
          <m:r>
            <w:rPr>
              <w:rFonts w:ascii="Cambria Math" w:eastAsia="Times New Roman" w:hAnsi="Cambria Math" w:cs="Times New Roman"/>
              <w:sz w:val="20"/>
              <w:szCs w:val="20"/>
              <w:lang w:val="en-US" w:eastAsia="lt-LT"/>
            </w:rPr>
            <m:t>x 66</m:t>
          </m:r>
        </m:oMath>
      </m:oMathPara>
    </w:p>
    <w:p w:rsidR="00E363E9" w:rsidRPr="00C8275F" w:rsidRDefault="00E363E9" w:rsidP="00E36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t>kur:</w:t>
      </w: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Pᵢ – vertinamo pasiūlymo kaina,</w:t>
      </w: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Pₘᵢₙ – mažiausia pasiūlyta kaina.</w:t>
      </w:r>
    </w:p>
    <w:p w:rsidR="00E363E9" w:rsidRPr="00C8275F" w:rsidRDefault="00E363E9" w:rsidP="00E363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t>Mažiausią kainą pasiūlęs tiekėjas gauna maksimalų balų skaičių.</w:t>
      </w:r>
    </w:p>
    <w:p w:rsidR="00E363E9" w:rsidRPr="00C8275F" w:rsidRDefault="00E363E9" w:rsidP="00E363E9">
      <w:pPr>
        <w:pStyle w:val="Antrat2"/>
        <w:rPr>
          <w:sz w:val="28"/>
          <w:szCs w:val="28"/>
        </w:rPr>
      </w:pPr>
      <w:r w:rsidRPr="00C8275F">
        <w:rPr>
          <w:sz w:val="28"/>
          <w:szCs w:val="28"/>
        </w:rPr>
        <w:t>IV. Kuro sąnaudų  per 5 metus vertinimas (</w:t>
      </w:r>
      <w:r w:rsidR="007822E2">
        <w:rPr>
          <w:sz w:val="28"/>
          <w:szCs w:val="28"/>
        </w:rPr>
        <w:t xml:space="preserve">maksimaliai </w:t>
      </w:r>
      <w:r w:rsidRPr="00C8275F">
        <w:rPr>
          <w:sz w:val="28"/>
          <w:szCs w:val="28"/>
        </w:rPr>
        <w:t>15 balų</w:t>
      </w:r>
      <w:r w:rsidR="00BF4E14" w:rsidRPr="00C8275F">
        <w:rPr>
          <w:sz w:val="28"/>
          <w:szCs w:val="28"/>
        </w:rPr>
        <w:t xml:space="preserve">, </w:t>
      </w:r>
      <w:proofErr w:type="spellStart"/>
      <w:r w:rsidR="00BF4E14" w:rsidRPr="00C8275F">
        <w:rPr>
          <w:sz w:val="28"/>
          <w:szCs w:val="28"/>
        </w:rPr>
        <w:t>B</w:t>
      </w:r>
      <w:r w:rsidR="00BF4E14" w:rsidRPr="00C8275F">
        <w:rPr>
          <w:sz w:val="28"/>
          <w:szCs w:val="28"/>
          <w:vertAlign w:val="subscript"/>
        </w:rPr>
        <w:t>s</w:t>
      </w:r>
      <w:proofErr w:type="spellEnd"/>
      <w:r w:rsidRPr="00C8275F">
        <w:rPr>
          <w:sz w:val="28"/>
          <w:szCs w:val="28"/>
        </w:rPr>
        <w:t>)</w:t>
      </w:r>
    </w:p>
    <w:p w:rsidR="00E363E9" w:rsidRPr="00C8275F" w:rsidRDefault="00E363E9" w:rsidP="00C8275F">
      <w:pPr>
        <w:pStyle w:val="Antrat3"/>
        <w:spacing w:before="0"/>
        <w:rPr>
          <w:rFonts w:ascii="Times New Roman" w:hAnsi="Times New Roman" w:cs="Times New Roman"/>
          <w:color w:val="auto"/>
        </w:rPr>
      </w:pPr>
      <w:r w:rsidRPr="00C8275F">
        <w:rPr>
          <w:rFonts w:ascii="Times New Roman" w:hAnsi="Times New Roman" w:cs="Times New Roman"/>
        </w:rPr>
        <w:t xml:space="preserve">1. </w:t>
      </w:r>
      <w:r w:rsidRPr="00C8275F">
        <w:rPr>
          <w:rFonts w:ascii="Times New Roman" w:hAnsi="Times New Roman" w:cs="Times New Roman"/>
          <w:color w:val="auto"/>
        </w:rPr>
        <w:t>Skaičiavimo parametrai</w:t>
      </w:r>
    </w:p>
    <w:p w:rsidR="00E363E9" w:rsidRPr="00C8275F" w:rsidRDefault="00E363E9" w:rsidP="00C8275F">
      <w:pPr>
        <w:pStyle w:val="prastasiniatinklio"/>
        <w:spacing w:before="0" w:beforeAutospacing="0" w:after="0" w:afterAutospacing="0"/>
      </w:pPr>
      <w:r w:rsidRPr="00C8275F">
        <w:t>Vertinimui taikomi šie vienodi dydžiai:</w:t>
      </w:r>
    </w:p>
    <w:p w:rsidR="00E363E9" w:rsidRPr="00C8275F" w:rsidRDefault="00E363E9" w:rsidP="00E363E9">
      <w:pPr>
        <w:pStyle w:val="prastasiniatinklio"/>
        <w:numPr>
          <w:ilvl w:val="0"/>
          <w:numId w:val="4"/>
        </w:numPr>
      </w:pPr>
      <w:r w:rsidRPr="00C8275F">
        <w:t>vertinimo laikotarpis – 5 metai;</w:t>
      </w:r>
    </w:p>
    <w:p w:rsidR="00E363E9" w:rsidRPr="00C8275F" w:rsidRDefault="00E363E9" w:rsidP="00E363E9">
      <w:pPr>
        <w:pStyle w:val="prastasiniatinklio"/>
        <w:numPr>
          <w:ilvl w:val="0"/>
          <w:numId w:val="4"/>
        </w:numPr>
      </w:pPr>
      <w:r w:rsidRPr="00C8275F">
        <w:t>metinė rida – 25 000 km;</w:t>
      </w:r>
    </w:p>
    <w:p w:rsidR="00E363E9" w:rsidRPr="00C8275F" w:rsidRDefault="00E363E9" w:rsidP="00E363E9">
      <w:pPr>
        <w:pStyle w:val="prastasiniatinklio"/>
        <w:numPr>
          <w:ilvl w:val="0"/>
          <w:numId w:val="4"/>
        </w:numPr>
      </w:pPr>
      <w:r w:rsidRPr="00C8275F">
        <w:t>bendra rida – 125 000 km;</w:t>
      </w:r>
    </w:p>
    <w:p w:rsidR="00E363E9" w:rsidRPr="00C8275F" w:rsidRDefault="00E363E9" w:rsidP="00E363E9">
      <w:pPr>
        <w:pStyle w:val="prastasiniatinklio"/>
        <w:numPr>
          <w:ilvl w:val="0"/>
          <w:numId w:val="4"/>
        </w:numPr>
      </w:pPr>
      <w:r w:rsidRPr="00C8275F">
        <w:t>kuro kaina – 1,60 Eur/l;</w:t>
      </w:r>
    </w:p>
    <w:p w:rsidR="00E363E9" w:rsidRPr="00C8275F" w:rsidRDefault="00E363E9" w:rsidP="00E363E9">
      <w:pPr>
        <w:pStyle w:val="prastasiniatinklio"/>
        <w:numPr>
          <w:ilvl w:val="0"/>
          <w:numId w:val="4"/>
        </w:numPr>
      </w:pPr>
      <w:r w:rsidRPr="00C8275F">
        <w:t>sąnaudos – pagal WLTP</w:t>
      </w:r>
    </w:p>
    <w:p w:rsidR="00E363E9" w:rsidRPr="00C8275F" w:rsidRDefault="00E363E9" w:rsidP="00E363E9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8275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Kuro kaštų skaičiavimas</w:t>
      </w:r>
    </w:p>
    <w:p w:rsidR="00E363E9" w:rsidRPr="00D00C93" w:rsidRDefault="00E363E9" w:rsidP="00E363E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  <w:lang w:val="en-US" w:eastAsia="lt-LT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eastAsia="lt-LT"/>
            </w:rPr>
            <m:t>Ki=</m:t>
          </m:r>
          <m:f>
            <m:fPr>
              <m:ctrlPr>
                <w:rPr>
                  <w:rFonts w:ascii="Cambria Math" w:eastAsia="Times New Roman" w:hAnsi="Cambria Math" w:cs="Times New Roman"/>
                  <w:sz w:val="20"/>
                  <w:szCs w:val="20"/>
                  <w:lang w:eastAsia="lt-L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Sᵢ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lt-LT"/>
                </w:rPr>
                <m:t>*125000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lt-LT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eastAsia="lt-LT"/>
            </w:rPr>
            <m:t xml:space="preserve"> </m:t>
          </m:r>
          <m:r>
            <w:rPr>
              <w:rFonts w:ascii="Cambria Math" w:eastAsia="Times New Roman" w:hAnsi="Cambria Math" w:cs="Times New Roman"/>
              <w:sz w:val="20"/>
              <w:szCs w:val="20"/>
              <w:lang w:val="en-US" w:eastAsia="lt-LT"/>
            </w:rPr>
            <m:t>x 1,60</m:t>
          </m:r>
        </m:oMath>
      </m:oMathPara>
    </w:p>
    <w:p w:rsidR="00E363E9" w:rsidRDefault="00E363E9" w:rsidP="00E363E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8275F">
        <w:rPr>
          <w:rFonts w:ascii="Times New Roman" w:hAnsi="Times New Roman" w:cs="Times New Roman"/>
        </w:rPr>
        <w:t>kur Sᵢ – tiekėjo nurodytos vidutinės kuro sąnaudos.</w:t>
      </w:r>
    </w:p>
    <w:p w:rsidR="00691BEE" w:rsidRPr="00691BEE" w:rsidRDefault="00691BEE" w:rsidP="00691BEE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iCs/>
          <w:lang w:val="en-US"/>
        </w:rPr>
      </w:pPr>
      <m:oMath>
        <m:r>
          <w:rPr>
            <w:rFonts w:ascii="Cambria Math" w:hAnsi="Cambria Math" w:cs="Times New Roman"/>
          </w:rPr>
          <m:t>Bs=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Kmin</m:t>
            </m:r>
          </m:num>
          <m:den>
            <m:r>
              <w:rPr>
                <w:rFonts w:ascii="Cambria Math" w:hAnsi="Cambria Math" w:cs="Times New Roman"/>
              </w:rPr>
              <m:t>Ki</m:t>
            </m:r>
          </m:den>
        </m:f>
      </m:oMath>
      <w:r>
        <w:rPr>
          <w:rFonts w:ascii="Times New Roman" w:eastAsiaTheme="minorEastAsia" w:hAnsi="Times New Roman" w:cs="Times New Roman"/>
          <w:iCs/>
        </w:rPr>
        <w:t xml:space="preserve">  </w:t>
      </w:r>
      <m:oMath>
        <m:r>
          <w:rPr>
            <w:rFonts w:ascii="Cambria Math" w:eastAsia="Times New Roman" w:hAnsi="Cambria Math" w:cs="Times New Roman"/>
            <w:sz w:val="20"/>
            <w:szCs w:val="20"/>
            <w:lang w:val="en-US" w:eastAsia="lt-LT"/>
          </w:rPr>
          <m:t>x</m:t>
        </m:r>
      </m:oMath>
      <w:r>
        <w:rPr>
          <w:rFonts w:ascii="Times New Roman" w:eastAsiaTheme="minorEastAsia" w:hAnsi="Times New Roman" w:cs="Times New Roman"/>
          <w:iCs/>
          <w:lang w:val="en-US"/>
        </w:rPr>
        <w:t xml:space="preserve"> 15</w:t>
      </w:r>
    </w:p>
    <w:p w:rsidR="00691BEE" w:rsidRPr="00C8275F" w:rsidRDefault="00691BEE" w:rsidP="00E363E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</w:t>
      </w:r>
      <w:r w:rsidRPr="00691BEE">
        <w:rPr>
          <w:rFonts w:ascii="Times New Roman" w:hAnsi="Times New Roman" w:cs="Times New Roman"/>
          <w:vertAlign w:val="subscript"/>
        </w:rPr>
        <w:t>min</w:t>
      </w:r>
      <w:proofErr w:type="spellEnd"/>
      <w:r>
        <w:rPr>
          <w:rFonts w:ascii="Times New Roman" w:hAnsi="Times New Roman" w:cs="Times New Roman"/>
        </w:rPr>
        <w:t xml:space="preserve"> – pasiūlytos minimalios kuro sąnaudos</w:t>
      </w:r>
    </w:p>
    <w:p w:rsidR="00B7062E" w:rsidRPr="00C8275F" w:rsidRDefault="00B7062E" w:rsidP="00B7062E">
      <w:pPr>
        <w:pStyle w:val="Antrat2"/>
        <w:rPr>
          <w:sz w:val="28"/>
          <w:szCs w:val="28"/>
        </w:rPr>
      </w:pPr>
      <w:r w:rsidRPr="00C8275F">
        <w:rPr>
          <w:sz w:val="28"/>
          <w:szCs w:val="28"/>
        </w:rPr>
        <w:t>V. Papildomos garantijos vertinimas (</w:t>
      </w:r>
      <w:r w:rsidR="007822E2">
        <w:rPr>
          <w:sz w:val="28"/>
          <w:szCs w:val="28"/>
        </w:rPr>
        <w:t xml:space="preserve">maksimaliai </w:t>
      </w:r>
      <w:r w:rsidR="00FE043C">
        <w:rPr>
          <w:sz w:val="28"/>
          <w:szCs w:val="28"/>
        </w:rPr>
        <w:t>5</w:t>
      </w:r>
      <w:r w:rsidRPr="00C8275F">
        <w:rPr>
          <w:sz w:val="28"/>
          <w:szCs w:val="28"/>
        </w:rPr>
        <w:t xml:space="preserve"> balai</w:t>
      </w:r>
      <w:r w:rsidR="00BF4E14" w:rsidRPr="00C8275F">
        <w:rPr>
          <w:sz w:val="28"/>
          <w:szCs w:val="28"/>
        </w:rPr>
        <w:t xml:space="preserve">, </w:t>
      </w:r>
      <w:proofErr w:type="spellStart"/>
      <w:r w:rsidR="00BF4E14" w:rsidRPr="00C8275F">
        <w:rPr>
          <w:sz w:val="28"/>
          <w:szCs w:val="28"/>
        </w:rPr>
        <w:t>B</w:t>
      </w:r>
      <w:r w:rsidR="00BF4E14" w:rsidRPr="00C8275F">
        <w:rPr>
          <w:sz w:val="28"/>
          <w:szCs w:val="28"/>
          <w:vertAlign w:val="subscript"/>
        </w:rPr>
        <w:t>g</w:t>
      </w:r>
      <w:proofErr w:type="spellEnd"/>
      <w:r w:rsidRPr="00C8275F">
        <w:rPr>
          <w:sz w:val="28"/>
          <w:szCs w:val="28"/>
        </w:rPr>
        <w:t>)</w:t>
      </w:r>
    </w:p>
    <w:p w:rsidR="00B7062E" w:rsidRPr="00C8275F" w:rsidRDefault="00B7062E" w:rsidP="00B7062E">
      <w:pPr>
        <w:pStyle w:val="prastasiniatinklio"/>
        <w:numPr>
          <w:ilvl w:val="0"/>
          <w:numId w:val="5"/>
        </w:numPr>
      </w:pPr>
      <w:r w:rsidRPr="00C8275F">
        <w:t xml:space="preserve">Vertinamas papildomas garantijos laikotarpis, viršijantis minimalų </w:t>
      </w:r>
      <w:r w:rsidR="00B97E3C">
        <w:t xml:space="preserve">standartinės transporto priemonės </w:t>
      </w:r>
      <w:r w:rsidRPr="00C8275F">
        <w:t>garantijos terminą, nustatytą techninėje specifikacijoje.</w:t>
      </w:r>
    </w:p>
    <w:p w:rsidR="00B7062E" w:rsidRPr="00C8275F" w:rsidRDefault="00B7062E" w:rsidP="00B7062E">
      <w:pPr>
        <w:pStyle w:val="prastasiniatinklio"/>
        <w:numPr>
          <w:ilvl w:val="0"/>
          <w:numId w:val="5"/>
        </w:numPr>
      </w:pPr>
      <w:r w:rsidRPr="00C8275F">
        <w:t>Balai skiriami pagal šią skalę: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993"/>
      </w:tblGrid>
      <w:tr w:rsidR="00B7062E" w:rsidRPr="00C8275F" w:rsidTr="00B7062E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:rsidR="00B7062E" w:rsidRPr="00C8275F" w:rsidRDefault="00B7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75F">
              <w:rPr>
                <w:rFonts w:ascii="Times New Roman" w:hAnsi="Times New Roman" w:cs="Times New Roman"/>
                <w:b/>
                <w:bCs/>
              </w:rPr>
              <w:t>Papildoma garantija</w:t>
            </w:r>
          </w:p>
        </w:tc>
        <w:tc>
          <w:tcPr>
            <w:tcW w:w="948" w:type="dxa"/>
            <w:vAlign w:val="center"/>
            <w:hideMark/>
          </w:tcPr>
          <w:p w:rsidR="00B7062E" w:rsidRPr="00C8275F" w:rsidRDefault="00B7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75F">
              <w:rPr>
                <w:rFonts w:ascii="Times New Roman" w:hAnsi="Times New Roman" w:cs="Times New Roman"/>
                <w:b/>
                <w:bCs/>
              </w:rPr>
              <w:t>Balai</w:t>
            </w:r>
          </w:p>
        </w:tc>
      </w:tr>
      <w:tr w:rsidR="00B7062E" w:rsidRPr="00C8275F" w:rsidTr="00B7062E">
        <w:trPr>
          <w:tblCellSpacing w:w="15" w:type="dxa"/>
        </w:trPr>
        <w:tc>
          <w:tcPr>
            <w:tcW w:w="2218" w:type="dxa"/>
            <w:vAlign w:val="center"/>
            <w:hideMark/>
          </w:tcPr>
          <w:p w:rsidR="00B7062E" w:rsidRPr="00C8275F" w:rsidRDefault="00B7062E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Nėra</w:t>
            </w:r>
          </w:p>
        </w:tc>
        <w:tc>
          <w:tcPr>
            <w:tcW w:w="948" w:type="dxa"/>
            <w:vAlign w:val="center"/>
            <w:hideMark/>
          </w:tcPr>
          <w:p w:rsidR="00B7062E" w:rsidRPr="00C8275F" w:rsidRDefault="00B7062E" w:rsidP="00B7062E">
            <w:pPr>
              <w:jc w:val="center"/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0</w:t>
            </w:r>
          </w:p>
        </w:tc>
      </w:tr>
      <w:tr w:rsidR="00B7062E" w:rsidRPr="00C8275F" w:rsidTr="00B7062E">
        <w:trPr>
          <w:tblCellSpacing w:w="15" w:type="dxa"/>
        </w:trPr>
        <w:tc>
          <w:tcPr>
            <w:tcW w:w="2218" w:type="dxa"/>
            <w:vAlign w:val="center"/>
            <w:hideMark/>
          </w:tcPr>
          <w:p w:rsidR="00B7062E" w:rsidRPr="00C8275F" w:rsidRDefault="00B7062E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+1 metai</w:t>
            </w:r>
          </w:p>
        </w:tc>
        <w:tc>
          <w:tcPr>
            <w:tcW w:w="948" w:type="dxa"/>
            <w:vAlign w:val="center"/>
            <w:hideMark/>
          </w:tcPr>
          <w:p w:rsidR="00B7062E" w:rsidRPr="00C8275F" w:rsidRDefault="00E51758" w:rsidP="00B70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062E" w:rsidRPr="00C8275F" w:rsidTr="00B7062E">
        <w:trPr>
          <w:tblCellSpacing w:w="15" w:type="dxa"/>
        </w:trPr>
        <w:tc>
          <w:tcPr>
            <w:tcW w:w="2218" w:type="dxa"/>
            <w:vAlign w:val="center"/>
            <w:hideMark/>
          </w:tcPr>
          <w:p w:rsidR="00B7062E" w:rsidRPr="00C8275F" w:rsidRDefault="00B7062E">
            <w:pPr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 xml:space="preserve">+2 metai </w:t>
            </w:r>
          </w:p>
        </w:tc>
        <w:tc>
          <w:tcPr>
            <w:tcW w:w="948" w:type="dxa"/>
            <w:vAlign w:val="center"/>
            <w:hideMark/>
          </w:tcPr>
          <w:p w:rsidR="00B7062E" w:rsidRPr="00C8275F" w:rsidRDefault="00E51758" w:rsidP="00B70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1758" w:rsidRPr="00C8275F" w:rsidTr="00B7062E">
        <w:trPr>
          <w:tblCellSpacing w:w="15" w:type="dxa"/>
        </w:trPr>
        <w:tc>
          <w:tcPr>
            <w:tcW w:w="2218" w:type="dxa"/>
            <w:vAlign w:val="center"/>
          </w:tcPr>
          <w:p w:rsidR="00E51758" w:rsidRPr="00C8275F" w:rsidRDefault="00E51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 metai</w:t>
            </w:r>
          </w:p>
        </w:tc>
        <w:tc>
          <w:tcPr>
            <w:tcW w:w="948" w:type="dxa"/>
            <w:vAlign w:val="center"/>
          </w:tcPr>
          <w:p w:rsidR="00E51758" w:rsidRDefault="00E51758" w:rsidP="00B70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51758" w:rsidRPr="00C8275F" w:rsidTr="00B7062E">
        <w:trPr>
          <w:tblCellSpacing w:w="15" w:type="dxa"/>
        </w:trPr>
        <w:tc>
          <w:tcPr>
            <w:tcW w:w="2218" w:type="dxa"/>
            <w:vAlign w:val="center"/>
          </w:tcPr>
          <w:p w:rsidR="00E51758" w:rsidRDefault="00E51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+4 metai </w:t>
            </w:r>
          </w:p>
        </w:tc>
        <w:tc>
          <w:tcPr>
            <w:tcW w:w="948" w:type="dxa"/>
            <w:vAlign w:val="center"/>
          </w:tcPr>
          <w:p w:rsidR="00E51758" w:rsidRDefault="00E51758" w:rsidP="00B70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1758" w:rsidRPr="00C8275F" w:rsidTr="00B7062E">
        <w:trPr>
          <w:tblCellSpacing w:w="15" w:type="dxa"/>
        </w:trPr>
        <w:tc>
          <w:tcPr>
            <w:tcW w:w="2218" w:type="dxa"/>
            <w:vAlign w:val="center"/>
          </w:tcPr>
          <w:p w:rsidR="00E51758" w:rsidRDefault="00E51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 metai</w:t>
            </w:r>
          </w:p>
        </w:tc>
        <w:tc>
          <w:tcPr>
            <w:tcW w:w="948" w:type="dxa"/>
            <w:vAlign w:val="center"/>
          </w:tcPr>
          <w:p w:rsidR="00E51758" w:rsidRDefault="00E51758" w:rsidP="00B70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B7062E" w:rsidRPr="00B97E3C" w:rsidRDefault="00B7062E" w:rsidP="00B7062E">
      <w:pPr>
        <w:pStyle w:val="prastasiniatinklio"/>
        <w:numPr>
          <w:ilvl w:val="0"/>
          <w:numId w:val="6"/>
        </w:numPr>
      </w:pPr>
      <w:r w:rsidRPr="00C8275F">
        <w:t xml:space="preserve">Garantija turi būti pagrįsta pasiūlyme pateiktais dokumentais </w:t>
      </w:r>
      <w:r w:rsidRPr="00B97E3C">
        <w:t xml:space="preserve">(Pirkimo sąlygų  </w:t>
      </w:r>
      <w:r w:rsidR="00B97E3C" w:rsidRPr="00B97E3C">
        <w:t xml:space="preserve">6 </w:t>
      </w:r>
      <w:r w:rsidRPr="00B97E3C">
        <w:t>priedas) .</w:t>
      </w:r>
    </w:p>
    <w:p w:rsidR="00B7062E" w:rsidRPr="00C8275F" w:rsidRDefault="00B7062E" w:rsidP="00B7062E">
      <w:pPr>
        <w:pStyle w:val="Antrat2"/>
        <w:rPr>
          <w:sz w:val="28"/>
          <w:szCs w:val="28"/>
        </w:rPr>
      </w:pPr>
      <w:r w:rsidRPr="00C8275F">
        <w:rPr>
          <w:sz w:val="28"/>
          <w:szCs w:val="28"/>
        </w:rPr>
        <w:t>VI. Papildomos saugos įrangos vertinimas (</w:t>
      </w:r>
      <w:r w:rsidR="007822E2">
        <w:rPr>
          <w:sz w:val="28"/>
          <w:szCs w:val="28"/>
        </w:rPr>
        <w:t xml:space="preserve">maksimaliai </w:t>
      </w:r>
      <w:r w:rsidR="00E2314E">
        <w:rPr>
          <w:sz w:val="28"/>
          <w:szCs w:val="28"/>
        </w:rPr>
        <w:t>4</w:t>
      </w:r>
      <w:r w:rsidRPr="00C8275F">
        <w:rPr>
          <w:sz w:val="28"/>
          <w:szCs w:val="28"/>
        </w:rPr>
        <w:t xml:space="preserve"> balai</w:t>
      </w:r>
      <w:r w:rsidR="00BF4E14" w:rsidRPr="00C8275F">
        <w:rPr>
          <w:sz w:val="28"/>
          <w:szCs w:val="28"/>
        </w:rPr>
        <w:t xml:space="preserve">, </w:t>
      </w:r>
      <w:proofErr w:type="spellStart"/>
      <w:r w:rsidR="00BF4E14" w:rsidRPr="00C8275F">
        <w:rPr>
          <w:sz w:val="28"/>
          <w:szCs w:val="28"/>
        </w:rPr>
        <w:t>B</w:t>
      </w:r>
      <w:r w:rsidR="00BF4E14" w:rsidRPr="00C8275F">
        <w:rPr>
          <w:sz w:val="28"/>
          <w:szCs w:val="28"/>
          <w:vertAlign w:val="subscript"/>
        </w:rPr>
        <w:t>sa</w:t>
      </w:r>
      <w:proofErr w:type="spellEnd"/>
      <w:r w:rsidRPr="00C8275F">
        <w:rPr>
          <w:sz w:val="28"/>
          <w:szCs w:val="28"/>
        </w:rPr>
        <w:t>)</w:t>
      </w:r>
    </w:p>
    <w:p w:rsidR="00B7062E" w:rsidRPr="00C8275F" w:rsidRDefault="00B7062E" w:rsidP="00B7062E">
      <w:pPr>
        <w:pStyle w:val="prastasiniatinklio"/>
        <w:numPr>
          <w:ilvl w:val="0"/>
          <w:numId w:val="7"/>
        </w:numPr>
      </w:pPr>
      <w:r w:rsidRPr="00C8275F">
        <w:t>Vertinama tik papildoma saugos įranga, viršijanti techninėje specifikacijoje nustatytus minimalius reikalavimus.</w:t>
      </w:r>
    </w:p>
    <w:p w:rsidR="00B7062E" w:rsidRPr="00C8275F" w:rsidRDefault="00B7062E" w:rsidP="00B7062E">
      <w:pPr>
        <w:pStyle w:val="prastasiniatinklio"/>
        <w:numPr>
          <w:ilvl w:val="0"/>
          <w:numId w:val="7"/>
        </w:numPr>
      </w:pPr>
      <w:r w:rsidRPr="00C8275F">
        <w:t>Balai skiriami pagal šią sistemą: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708"/>
      </w:tblGrid>
      <w:tr w:rsidR="00B7062E" w:rsidRPr="00C8275F" w:rsidTr="00B7062E">
        <w:trPr>
          <w:tblHeader/>
          <w:tblCellSpacing w:w="15" w:type="dxa"/>
        </w:trPr>
        <w:tc>
          <w:tcPr>
            <w:tcW w:w="4912" w:type="dxa"/>
            <w:vAlign w:val="center"/>
            <w:hideMark/>
          </w:tcPr>
          <w:p w:rsidR="00B7062E" w:rsidRPr="00C8275F" w:rsidRDefault="00B7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75F">
              <w:rPr>
                <w:rFonts w:ascii="Times New Roman" w:hAnsi="Times New Roman" w:cs="Times New Roman"/>
                <w:b/>
                <w:bCs/>
              </w:rPr>
              <w:t>Įranga</w:t>
            </w:r>
          </w:p>
        </w:tc>
        <w:tc>
          <w:tcPr>
            <w:tcW w:w="663" w:type="dxa"/>
            <w:vAlign w:val="center"/>
            <w:hideMark/>
          </w:tcPr>
          <w:p w:rsidR="00B7062E" w:rsidRPr="00C8275F" w:rsidRDefault="00B7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75F">
              <w:rPr>
                <w:rFonts w:ascii="Times New Roman" w:hAnsi="Times New Roman" w:cs="Times New Roman"/>
                <w:b/>
                <w:bCs/>
              </w:rPr>
              <w:t>Balai</w:t>
            </w:r>
          </w:p>
        </w:tc>
      </w:tr>
      <w:tr w:rsidR="00B7062E" w:rsidRPr="00C8275F" w:rsidTr="00B7062E">
        <w:trPr>
          <w:tblCellSpacing w:w="15" w:type="dxa"/>
        </w:trPr>
        <w:tc>
          <w:tcPr>
            <w:tcW w:w="4912" w:type="dxa"/>
            <w:vAlign w:val="center"/>
            <w:hideMark/>
          </w:tcPr>
          <w:p w:rsidR="00B7062E" w:rsidRPr="00C8275F" w:rsidRDefault="00B7062E">
            <w:pPr>
              <w:rPr>
                <w:rFonts w:ascii="Times New Roman" w:hAnsi="Times New Roman" w:cs="Times New Roman"/>
              </w:rPr>
            </w:pPr>
            <w:bookmarkStart w:id="0" w:name="_Hlk223075265"/>
            <w:r w:rsidRPr="00C8275F">
              <w:rPr>
                <w:rFonts w:ascii="Times New Roman" w:hAnsi="Times New Roman" w:cs="Times New Roman"/>
              </w:rPr>
              <w:t>Automatinė avarinio stabdymo sistema (AEB)</w:t>
            </w:r>
          </w:p>
        </w:tc>
        <w:tc>
          <w:tcPr>
            <w:tcW w:w="663" w:type="dxa"/>
            <w:vAlign w:val="center"/>
            <w:hideMark/>
          </w:tcPr>
          <w:p w:rsidR="00B7062E" w:rsidRPr="00C8275F" w:rsidRDefault="00E51758" w:rsidP="00B70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7062E" w:rsidRPr="00C8275F" w:rsidTr="00B7062E">
        <w:trPr>
          <w:tblCellSpacing w:w="15" w:type="dxa"/>
        </w:trPr>
        <w:tc>
          <w:tcPr>
            <w:tcW w:w="4912" w:type="dxa"/>
            <w:vAlign w:val="center"/>
            <w:hideMark/>
          </w:tcPr>
          <w:p w:rsidR="00B7062E" w:rsidRPr="00C8275F" w:rsidRDefault="00E51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E51758">
              <w:rPr>
                <w:rFonts w:ascii="Times New Roman" w:hAnsi="Times New Roman" w:cs="Times New Roman"/>
              </w:rPr>
              <w:t>Android Auto“ ir „</w:t>
            </w:r>
            <w:proofErr w:type="spellStart"/>
            <w:r w:rsidRPr="00E51758">
              <w:rPr>
                <w:rFonts w:ascii="Times New Roman" w:hAnsi="Times New Roman" w:cs="Times New Roman"/>
              </w:rPr>
              <w:t>CarPlay</w:t>
            </w:r>
            <w:proofErr w:type="spellEnd"/>
            <w:r w:rsidRPr="00E51758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663" w:type="dxa"/>
            <w:vAlign w:val="center"/>
            <w:hideMark/>
          </w:tcPr>
          <w:p w:rsidR="00B7062E" w:rsidRPr="00C8275F" w:rsidRDefault="00B7062E" w:rsidP="00B7062E">
            <w:pPr>
              <w:jc w:val="center"/>
              <w:rPr>
                <w:rFonts w:ascii="Times New Roman" w:hAnsi="Times New Roman" w:cs="Times New Roman"/>
              </w:rPr>
            </w:pPr>
            <w:r w:rsidRPr="00C8275F">
              <w:rPr>
                <w:rFonts w:ascii="Times New Roman" w:hAnsi="Times New Roman" w:cs="Times New Roman"/>
              </w:rPr>
              <w:t>1</w:t>
            </w:r>
          </w:p>
        </w:tc>
      </w:tr>
      <w:tr w:rsidR="00E2314E" w:rsidRPr="00C8275F" w:rsidTr="00B7062E">
        <w:trPr>
          <w:tblCellSpacing w:w="15" w:type="dxa"/>
        </w:trPr>
        <w:tc>
          <w:tcPr>
            <w:tcW w:w="4912" w:type="dxa"/>
            <w:vAlign w:val="center"/>
          </w:tcPr>
          <w:p w:rsidR="00E2314E" w:rsidRPr="00C8275F" w:rsidRDefault="00E23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Nuovargio atpažinimo sistema </w:t>
            </w:r>
            <w:r w:rsidRPr="00E2314E">
              <w:rPr>
                <w:rFonts w:ascii="Times New Roman" w:hAnsi="Times New Roman" w:cs="Times New Roman"/>
              </w:rPr>
              <w:t>(„</w:t>
            </w:r>
            <w:proofErr w:type="spellStart"/>
            <w:r w:rsidRPr="00E2314E">
              <w:rPr>
                <w:rFonts w:ascii="Times New Roman" w:hAnsi="Times New Roman" w:cs="Times New Roman"/>
              </w:rPr>
              <w:t>Driver</w:t>
            </w:r>
            <w:proofErr w:type="spellEnd"/>
            <w:r w:rsidRPr="00E23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4E">
              <w:rPr>
                <w:rFonts w:ascii="Times New Roman" w:hAnsi="Times New Roman" w:cs="Times New Roman"/>
              </w:rPr>
              <w:t>attention</w:t>
            </w:r>
            <w:proofErr w:type="spellEnd"/>
            <w:r w:rsidRPr="00E2314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2314E">
              <w:rPr>
                <w:rFonts w:ascii="Times New Roman" w:hAnsi="Times New Roman" w:cs="Times New Roman"/>
              </w:rPr>
              <w:t>Drowsiness</w:t>
            </w:r>
            <w:proofErr w:type="spellEnd"/>
            <w:r w:rsidRPr="00E23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14E">
              <w:rPr>
                <w:rFonts w:ascii="Times New Roman" w:hAnsi="Times New Roman" w:cs="Times New Roman"/>
              </w:rPr>
              <w:t>alert</w:t>
            </w:r>
            <w:proofErr w:type="spellEnd"/>
            <w:r w:rsidRPr="00E2314E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63" w:type="dxa"/>
            <w:vAlign w:val="center"/>
          </w:tcPr>
          <w:p w:rsidR="00E2314E" w:rsidRPr="00C8275F" w:rsidRDefault="00E2314E" w:rsidP="00B70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1758" w:rsidRPr="00C8275F" w:rsidTr="00B7062E">
        <w:trPr>
          <w:tblCellSpacing w:w="15" w:type="dxa"/>
        </w:trPr>
        <w:tc>
          <w:tcPr>
            <w:tcW w:w="4912" w:type="dxa"/>
            <w:vAlign w:val="center"/>
          </w:tcPr>
          <w:p w:rsidR="00E51758" w:rsidRDefault="00E517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Galinė statymo kamera</w:t>
            </w:r>
            <w:bookmarkStart w:id="1" w:name="_GoBack"/>
            <w:bookmarkEnd w:id="1"/>
          </w:p>
        </w:tc>
        <w:tc>
          <w:tcPr>
            <w:tcW w:w="663" w:type="dxa"/>
            <w:vAlign w:val="center"/>
          </w:tcPr>
          <w:p w:rsidR="00E51758" w:rsidRDefault="00E51758" w:rsidP="00B70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bookmarkEnd w:id="0"/>
    <w:p w:rsidR="00B7062E" w:rsidRPr="00FA3B0A" w:rsidRDefault="00B7062E" w:rsidP="00B7062E">
      <w:pPr>
        <w:pStyle w:val="prastasiniatinklio"/>
        <w:numPr>
          <w:ilvl w:val="0"/>
          <w:numId w:val="9"/>
        </w:numPr>
      </w:pPr>
      <w:r w:rsidRPr="00C8275F">
        <w:t>Papildomos įrangos būvimas turi būti pagrįstas pasiūlyme pateiktais dokumentais (</w:t>
      </w:r>
      <w:r w:rsidRPr="00FA3B0A">
        <w:t xml:space="preserve">Pirkimo sąlygų  </w:t>
      </w:r>
      <w:r w:rsidR="00FA3B0A" w:rsidRPr="00FA3B0A">
        <w:t xml:space="preserve">6 </w:t>
      </w:r>
      <w:r w:rsidRPr="00FA3B0A">
        <w:t>priedas).</w:t>
      </w:r>
    </w:p>
    <w:p w:rsidR="00B7062E" w:rsidRPr="00C8275F" w:rsidRDefault="00B7062E" w:rsidP="00B7062E">
      <w:pPr>
        <w:pStyle w:val="Antrat2"/>
        <w:rPr>
          <w:sz w:val="28"/>
          <w:szCs w:val="28"/>
        </w:rPr>
      </w:pPr>
      <w:r w:rsidRPr="00C8275F">
        <w:rPr>
          <w:sz w:val="28"/>
          <w:szCs w:val="28"/>
        </w:rPr>
        <w:t>VII. Pristatymo termino vertinimas (</w:t>
      </w:r>
      <w:r w:rsidR="00BE30D0">
        <w:rPr>
          <w:sz w:val="28"/>
          <w:szCs w:val="28"/>
        </w:rPr>
        <w:t>maksimal</w:t>
      </w:r>
      <w:r w:rsidR="007822E2">
        <w:rPr>
          <w:sz w:val="28"/>
          <w:szCs w:val="28"/>
        </w:rPr>
        <w:t>iai</w:t>
      </w:r>
      <w:r w:rsidR="00BE30D0">
        <w:rPr>
          <w:sz w:val="28"/>
          <w:szCs w:val="28"/>
        </w:rPr>
        <w:t xml:space="preserve"> </w:t>
      </w:r>
      <w:r w:rsidRPr="00C8275F">
        <w:rPr>
          <w:sz w:val="28"/>
          <w:szCs w:val="28"/>
        </w:rPr>
        <w:t>10 balų</w:t>
      </w:r>
      <w:r w:rsidR="00BF4E14" w:rsidRPr="00C8275F">
        <w:rPr>
          <w:sz w:val="28"/>
          <w:szCs w:val="28"/>
        </w:rPr>
        <w:t xml:space="preserve">, </w:t>
      </w:r>
      <w:proofErr w:type="spellStart"/>
      <w:r w:rsidR="00BF4E14" w:rsidRPr="00C8275F">
        <w:rPr>
          <w:sz w:val="28"/>
          <w:szCs w:val="28"/>
        </w:rPr>
        <w:t>B</w:t>
      </w:r>
      <w:r w:rsidR="00BF4E14" w:rsidRPr="00C8275F">
        <w:rPr>
          <w:sz w:val="28"/>
          <w:szCs w:val="28"/>
          <w:vertAlign w:val="subscript"/>
        </w:rPr>
        <w:t>t</w:t>
      </w:r>
      <w:proofErr w:type="spellEnd"/>
      <w:r w:rsidRPr="00C8275F">
        <w:rPr>
          <w:sz w:val="28"/>
          <w:szCs w:val="28"/>
        </w:rPr>
        <w:t>)</w:t>
      </w:r>
    </w:p>
    <w:p w:rsidR="00B7062E" w:rsidRPr="00C8275F" w:rsidRDefault="00B7062E" w:rsidP="00B7062E">
      <w:pPr>
        <w:pStyle w:val="prastasiniatinklio"/>
        <w:numPr>
          <w:ilvl w:val="0"/>
          <w:numId w:val="10"/>
        </w:numPr>
      </w:pPr>
      <w:r w:rsidRPr="00C8275F">
        <w:lastRenderedPageBreak/>
        <w:t>Maksimalus leidžiamas transporto priemonės pristatymo terminas – 6 mėnesiai nuo sutarties įsigaliojimo dienos. Trumpesni terminai vertinami mėnesio tikslumu.</w:t>
      </w:r>
    </w:p>
    <w:p w:rsidR="00B7062E" w:rsidRPr="00C8275F" w:rsidRDefault="00B7062E" w:rsidP="00B7062E">
      <w:pPr>
        <w:pStyle w:val="prastasiniatinklio"/>
        <w:numPr>
          <w:ilvl w:val="0"/>
          <w:numId w:val="10"/>
        </w:numPr>
      </w:pPr>
      <w:r w:rsidRPr="00C8275F">
        <w:t>Pasiūlymai, kuriuose nurodomas ilgesnis nei maksimalus leidžiamas terminas, atmetami.</w:t>
      </w:r>
    </w:p>
    <w:p w:rsidR="00B7062E" w:rsidRPr="00C8275F" w:rsidRDefault="00B7062E" w:rsidP="00B7062E">
      <w:pPr>
        <w:pStyle w:val="prastasiniatinklio"/>
        <w:numPr>
          <w:ilvl w:val="0"/>
          <w:numId w:val="10"/>
        </w:numPr>
      </w:pPr>
      <w:r w:rsidRPr="00C8275F">
        <w:t>Pristatymo terminas vertinamas pagal formulę:</w:t>
      </w:r>
    </w:p>
    <w:p w:rsidR="00B7062E" w:rsidRPr="00C8275F" w:rsidRDefault="00B7062E" w:rsidP="00B7062E">
      <w:pPr>
        <w:pStyle w:val="prastasiniatinklio"/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Bt=</m:t>
          </m:r>
          <m:f>
            <m:fPr>
              <m:ctrlPr>
                <w:rPr>
                  <w:rFonts w:ascii="Cambria Math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Tₘₐₓ </m:t>
              </m:r>
              <m:r>
                <w:rPr>
                  <w:rFonts w:ascii="Cambria Math" w:hAnsi="Cambria Math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Tᵢ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Tₘₐₓ</m:t>
              </m:r>
              <m:r>
                <w:rPr>
                  <w:rFonts w:ascii="Cambria Math" w:hAnsi="Cambria Math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Tₘᵢₙ </m:t>
              </m:r>
            </m:den>
          </m:f>
          <m:r>
            <w:rPr>
              <w:rFonts w:ascii="Cambria Math" w:hAnsi="Cambria Math"/>
              <w:sz w:val="20"/>
              <w:szCs w:val="20"/>
            </w:rPr>
            <m:t xml:space="preserve"> </m:t>
          </m:r>
          <m:r>
            <w:rPr>
              <w:rFonts w:ascii="Cambria Math" w:hAnsi="Cambria Math"/>
              <w:sz w:val="20"/>
              <w:szCs w:val="20"/>
              <w:lang w:val="en-US"/>
            </w:rPr>
            <m:t>x 10</m:t>
          </m:r>
        </m:oMath>
      </m:oMathPara>
    </w:p>
    <w:p w:rsidR="00B7062E" w:rsidRPr="00C8275F" w:rsidRDefault="00B7062E" w:rsidP="00E363E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8275F">
        <w:rPr>
          <w:rFonts w:ascii="Times New Roman" w:hAnsi="Times New Roman" w:cs="Times New Roman"/>
        </w:rPr>
        <w:t>kur:</w:t>
      </w:r>
      <w:r w:rsidRPr="00C8275F">
        <w:rPr>
          <w:rFonts w:ascii="Times New Roman" w:hAnsi="Times New Roman" w:cs="Times New Roman"/>
        </w:rPr>
        <w:br/>
        <w:t>Tᵢ – tiekėjo pasiūlytas terminas,</w:t>
      </w:r>
      <w:r w:rsidRPr="00C8275F">
        <w:rPr>
          <w:rFonts w:ascii="Times New Roman" w:hAnsi="Times New Roman" w:cs="Times New Roman"/>
        </w:rPr>
        <w:br/>
        <w:t>Tₘₐₓ – 6 mėnesiai,</w:t>
      </w:r>
      <w:r w:rsidRPr="00C8275F">
        <w:rPr>
          <w:rFonts w:ascii="Times New Roman" w:hAnsi="Times New Roman" w:cs="Times New Roman"/>
        </w:rPr>
        <w:br/>
        <w:t>Tₘᵢₙ – trumpiausias pasiūlytas terminas.</w:t>
      </w:r>
    </w:p>
    <w:p w:rsidR="00B7062E" w:rsidRPr="00C8275F" w:rsidRDefault="00B7062E" w:rsidP="00E36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7062E" w:rsidRPr="00C8275F" w:rsidRDefault="00B7062E" w:rsidP="00B7062E">
      <w:pPr>
        <w:pStyle w:val="Antrat2"/>
        <w:rPr>
          <w:sz w:val="28"/>
          <w:szCs w:val="28"/>
        </w:rPr>
      </w:pPr>
      <w:r w:rsidRPr="00C8275F">
        <w:rPr>
          <w:sz w:val="28"/>
          <w:szCs w:val="28"/>
        </w:rPr>
        <w:t>VIII. Galutinio balo apskaičiavimas</w:t>
      </w:r>
      <w:r w:rsidR="007822E2">
        <w:rPr>
          <w:sz w:val="28"/>
          <w:szCs w:val="28"/>
        </w:rPr>
        <w:t xml:space="preserve"> (EN)</w:t>
      </w:r>
    </w:p>
    <w:p w:rsidR="00B7062E" w:rsidRPr="00C8275F" w:rsidRDefault="00B7062E" w:rsidP="00B7062E">
      <w:pPr>
        <w:pStyle w:val="prastasiniatinklio"/>
        <w:numPr>
          <w:ilvl w:val="0"/>
          <w:numId w:val="12"/>
        </w:numPr>
      </w:pPr>
      <w:r w:rsidRPr="00C8275F">
        <w:t>Kiekvieno pasiūlymo galutinis balas apskaičiuojamas sudedant visų kriterijų balus:</w:t>
      </w:r>
    </w:p>
    <w:p w:rsidR="00B7062E" w:rsidRPr="00C8275F" w:rsidRDefault="00B7062E" w:rsidP="00BF4E14">
      <w:pPr>
        <w:jc w:val="center"/>
        <w:rPr>
          <w:rStyle w:val="katex-mathml"/>
          <w:rFonts w:ascii="Times New Roman" w:hAnsi="Times New Roman" w:cs="Times New Roman"/>
          <w:vertAlign w:val="subscript"/>
        </w:rPr>
      </w:pPr>
      <w:r w:rsidRPr="00C8275F">
        <w:rPr>
          <w:rStyle w:val="katex-mathml"/>
          <w:rFonts w:ascii="Times New Roman" w:hAnsi="Times New Roman" w:cs="Times New Roman"/>
        </w:rPr>
        <w:t xml:space="preserve">EN= </w:t>
      </w:r>
      <w:proofErr w:type="spellStart"/>
      <w:r w:rsidRPr="00C8275F">
        <w:rPr>
          <w:rStyle w:val="katex-mathml"/>
          <w:rFonts w:ascii="Times New Roman" w:hAnsi="Times New Roman" w:cs="Times New Roman"/>
        </w:rPr>
        <w:t>B</w:t>
      </w:r>
      <w:r w:rsidRPr="00C8275F">
        <w:rPr>
          <w:rStyle w:val="katex-mathml"/>
          <w:rFonts w:ascii="Times New Roman" w:hAnsi="Times New Roman" w:cs="Times New Roman"/>
          <w:vertAlign w:val="subscript"/>
        </w:rPr>
        <w:t>k</w:t>
      </w:r>
      <w:proofErr w:type="spellEnd"/>
      <w:r w:rsidRPr="00C8275F">
        <w:rPr>
          <w:rStyle w:val="katex-mathml"/>
          <w:rFonts w:ascii="Times New Roman" w:hAnsi="Times New Roman" w:cs="Times New Roman"/>
        </w:rPr>
        <w:t xml:space="preserve"> +</w:t>
      </w:r>
      <w:proofErr w:type="spellStart"/>
      <w:r w:rsidRPr="00C8275F">
        <w:rPr>
          <w:rStyle w:val="katex-mathml"/>
          <w:rFonts w:ascii="Times New Roman" w:hAnsi="Times New Roman" w:cs="Times New Roman"/>
        </w:rPr>
        <w:t>B</w:t>
      </w:r>
      <w:r w:rsidRPr="00C8275F">
        <w:rPr>
          <w:rStyle w:val="katex-mathml"/>
          <w:rFonts w:ascii="Times New Roman" w:hAnsi="Times New Roman" w:cs="Times New Roman"/>
          <w:vertAlign w:val="subscript"/>
        </w:rPr>
        <w:t>s</w:t>
      </w:r>
      <w:r w:rsidRPr="00C8275F">
        <w:rPr>
          <w:rStyle w:val="katex-mathml"/>
          <w:rFonts w:ascii="Times New Roman" w:hAnsi="Times New Roman" w:cs="Times New Roman"/>
        </w:rPr>
        <w:t>+B</w:t>
      </w:r>
      <w:r w:rsidRPr="00C8275F">
        <w:rPr>
          <w:rStyle w:val="katex-mathml"/>
          <w:rFonts w:ascii="Times New Roman" w:hAnsi="Times New Roman" w:cs="Times New Roman"/>
          <w:vertAlign w:val="subscript"/>
        </w:rPr>
        <w:t>g</w:t>
      </w:r>
      <w:r w:rsidRPr="00C8275F">
        <w:rPr>
          <w:rStyle w:val="katex-mathml"/>
          <w:rFonts w:ascii="Times New Roman" w:hAnsi="Times New Roman" w:cs="Times New Roman"/>
        </w:rPr>
        <w:t>+B</w:t>
      </w:r>
      <w:r w:rsidRPr="00C8275F">
        <w:rPr>
          <w:rStyle w:val="katex-mathml"/>
          <w:rFonts w:ascii="Times New Roman" w:hAnsi="Times New Roman" w:cs="Times New Roman"/>
          <w:vertAlign w:val="subscript"/>
        </w:rPr>
        <w:t>sa</w:t>
      </w:r>
      <w:r w:rsidRPr="00C8275F">
        <w:rPr>
          <w:rStyle w:val="katex-mathml"/>
          <w:rFonts w:ascii="Times New Roman" w:hAnsi="Times New Roman" w:cs="Times New Roman"/>
        </w:rPr>
        <w:t>+B</w:t>
      </w:r>
      <w:r w:rsidRPr="00C8275F">
        <w:rPr>
          <w:rStyle w:val="katex-mathml"/>
          <w:rFonts w:ascii="Times New Roman" w:hAnsi="Times New Roman" w:cs="Times New Roman"/>
          <w:vertAlign w:val="subscript"/>
        </w:rPr>
        <w:t>t</w:t>
      </w:r>
      <w:proofErr w:type="spellEnd"/>
    </w:p>
    <w:p w:rsidR="00B7062E" w:rsidRPr="00C8275F" w:rsidRDefault="00B7062E" w:rsidP="00B7062E">
      <w:pPr>
        <w:rPr>
          <w:rFonts w:ascii="Times New Roman" w:hAnsi="Times New Roman" w:cs="Times New Roman"/>
        </w:rPr>
      </w:pPr>
      <w:r w:rsidRPr="00C8275F">
        <w:rPr>
          <w:rFonts w:ascii="Times New Roman" w:hAnsi="Times New Roman" w:cs="Times New Roman"/>
        </w:rPr>
        <w:t xml:space="preserve"> Ekonomiškai naudingiausiu pripažįstamas pasiūlymas, surinkęs didžiausią bendrą balų skaičių.</w:t>
      </w:r>
    </w:p>
    <w:p w:rsidR="00BF4E14" w:rsidRPr="00C8275F" w:rsidRDefault="00BF4E14" w:rsidP="00BF4E14">
      <w:pPr>
        <w:pStyle w:val="Antrat2"/>
        <w:rPr>
          <w:sz w:val="28"/>
          <w:szCs w:val="28"/>
        </w:rPr>
      </w:pPr>
      <w:r w:rsidRPr="00C8275F">
        <w:rPr>
          <w:sz w:val="28"/>
          <w:szCs w:val="28"/>
          <w:lang w:val="en-US"/>
        </w:rPr>
        <w:t xml:space="preserve">IX. </w:t>
      </w:r>
      <w:r w:rsidRPr="00C8275F">
        <w:rPr>
          <w:sz w:val="28"/>
          <w:szCs w:val="28"/>
        </w:rPr>
        <w:t>Baigiamosios nuostatos</w:t>
      </w:r>
    </w:p>
    <w:p w:rsidR="00BF4E14" w:rsidRPr="00C8275F" w:rsidRDefault="00BF4E14" w:rsidP="00A476F8">
      <w:pPr>
        <w:pStyle w:val="prastasiniatinklio"/>
        <w:numPr>
          <w:ilvl w:val="0"/>
          <w:numId w:val="14"/>
        </w:numPr>
        <w:jc w:val="both"/>
      </w:pPr>
      <w:r w:rsidRPr="00C8275F">
        <w:t>Jeigu keli pasiūlymai surenka vienodą balų skaičių, pirmenybė teikiama pasiūlymui su mažesne kaina. Jeigu ir kainos yra vienodos, laimėtojas nustatomas pirkimo dokumentuose nustatyta tvarka (</w:t>
      </w:r>
      <w:r w:rsidR="00C8275F">
        <w:t xml:space="preserve">laimėjusiu bus pripažintas </w:t>
      </w:r>
      <w:r w:rsidRPr="00C8275F">
        <w:t xml:space="preserve">pasiūlymas, kuris pateiktas </w:t>
      </w:r>
      <w:r w:rsidR="00C8275F">
        <w:t xml:space="preserve">CVP IS priemonėmis </w:t>
      </w:r>
      <w:r w:rsidRPr="00C8275F">
        <w:t>anksčiau</w:t>
      </w:r>
      <w:r w:rsidR="00A476F8">
        <w:t>siai</w:t>
      </w:r>
      <w:r w:rsidRPr="00C8275F">
        <w:t>).</w:t>
      </w:r>
    </w:p>
    <w:p w:rsidR="00BF4E14" w:rsidRPr="00C8275F" w:rsidRDefault="00BF4E14" w:rsidP="00A476F8">
      <w:pPr>
        <w:pStyle w:val="prastasiniatinklio"/>
        <w:numPr>
          <w:ilvl w:val="0"/>
          <w:numId w:val="14"/>
        </w:numPr>
        <w:jc w:val="both"/>
      </w:pPr>
      <w:r w:rsidRPr="00C8275F">
        <w:t>Perkančioji organizacija pasilieka teisę tikrinti pateiktų duomenų pagrįstumą.</w:t>
      </w:r>
    </w:p>
    <w:p w:rsidR="00BF4E14" w:rsidRDefault="00BF4E14" w:rsidP="00A476F8">
      <w:pPr>
        <w:pStyle w:val="prastasiniatinklio"/>
        <w:numPr>
          <w:ilvl w:val="0"/>
          <w:numId w:val="14"/>
        </w:numPr>
        <w:jc w:val="both"/>
      </w:pPr>
      <w:r w:rsidRPr="00C8275F">
        <w:t>Nepagrįstai pateikti duomenys laikomi neatitinkančiais pirkimo dokumentų reikalavimų.</w:t>
      </w:r>
    </w:p>
    <w:p w:rsidR="00C8275F" w:rsidRPr="00AB2EDF" w:rsidRDefault="00C8275F" w:rsidP="00A476F8">
      <w:pPr>
        <w:pStyle w:val="prastasiniatinklio"/>
        <w:numPr>
          <w:ilvl w:val="0"/>
          <w:numId w:val="14"/>
        </w:numPr>
        <w:jc w:val="both"/>
        <w:rPr>
          <w:b/>
        </w:rPr>
      </w:pPr>
      <w:r w:rsidRPr="00AB2EDF">
        <w:rPr>
          <w:b/>
        </w:rPr>
        <w:t>Jei tiekėjui pasiūlymo vertinimo metu bus suteikti papildomi balai už nustatytus vertinimo kriterijus</w:t>
      </w:r>
      <w:r w:rsidR="00AB2EDF">
        <w:rPr>
          <w:b/>
        </w:rPr>
        <w:t>,</w:t>
      </w:r>
      <w:r w:rsidRPr="00AB2EDF">
        <w:rPr>
          <w:b/>
        </w:rPr>
        <w:t xml:space="preserve"> į sutartį bus įrašytos šios sąlygos:</w:t>
      </w:r>
    </w:p>
    <w:p w:rsidR="00AB2EDF" w:rsidRDefault="00C8275F" w:rsidP="00DB7849">
      <w:pPr>
        <w:pStyle w:val="prastasiniatinklio"/>
        <w:jc w:val="both"/>
      </w:pPr>
      <w:r>
        <w:t xml:space="preserve">4.1. </w:t>
      </w:r>
      <w:r w:rsidR="00AB2EDF">
        <w:t>Jeigu tiekėjas vėluoja pristatyti transporto priemonę per pasiūlyme ir Sutartyje nustatytą terminą, Užsakovas už kiekvieną pavėluotą kalendorinę dieną taiko: 0,02</w:t>
      </w:r>
      <w:r w:rsidR="00FF6299">
        <w:t xml:space="preserve"> % (dvi šimtosios procento)</w:t>
      </w:r>
      <w:r w:rsidR="00AB2EDF">
        <w:t xml:space="preserve"> dydžio delspinigius nuo</w:t>
      </w:r>
      <w:r w:rsidR="00FF6299">
        <w:t xml:space="preserve"> Pradinės sutarties vertės</w:t>
      </w:r>
      <w:r w:rsidR="00AB2EDF">
        <w:t xml:space="preserve">, ir 30 (trisdešimties) eurų baudą. Delspinigiai ir bauda skaičiuojami nuo kitos dienos po nustatyto pristatymo termino pabaigos iki faktinio tinkamo transporto priemonės perdavimo dienos. </w:t>
      </w:r>
      <w:r w:rsidR="00FF6299">
        <w:t>Jei faktinis pristatymo terminas viršija pasiūlyme nurodytą terminą daugiau kaip 30 (trisdešimt) kalendorinių dienų – laikoma esminiu sutarties pažeidimu.</w:t>
      </w:r>
    </w:p>
    <w:p w:rsidR="00AB2EDF" w:rsidRDefault="00AB2EDF" w:rsidP="00DB7849">
      <w:pPr>
        <w:pStyle w:val="prastasiniatinklio"/>
        <w:jc w:val="both"/>
      </w:pPr>
      <w:r>
        <w:t>4.2. Jei automobilis pristatomas be deklaruotos papildomos įrangos, tiekėjas savo sąskaita privalo ne vėliau kaip per 30</w:t>
      </w:r>
      <w:r w:rsidR="00FF6299">
        <w:t xml:space="preserve"> </w:t>
      </w:r>
      <w:r>
        <w:t xml:space="preserve">(trisdešimt) kalendorinių dienų sumontuoti įrangą. Už kiekvieną pavėluotą dieną – </w:t>
      </w:r>
      <w:r w:rsidR="00FF6299">
        <w:t xml:space="preserve">taikomi </w:t>
      </w:r>
      <w:r>
        <w:t xml:space="preserve">0,02 % </w:t>
      </w:r>
      <w:r w:rsidR="00FF6299">
        <w:t xml:space="preserve">(dvi šimtosios procento) </w:t>
      </w:r>
      <w:r>
        <w:t>delspinigiai</w:t>
      </w:r>
      <w:r w:rsidR="00FF6299">
        <w:t xml:space="preserve"> nuo pradinės sutarties vertės. Jei įranga techniškai negali būti sumontuota tiekėjas sumoka 5% (penkių procentų) nuo pradinės sutarties vertės baudą, kuri gali būti išskaičiuota iš Sutarties kainos.</w:t>
      </w:r>
    </w:p>
    <w:p w:rsidR="00DB7849" w:rsidRDefault="00DB7849" w:rsidP="00DB7849">
      <w:pPr>
        <w:pStyle w:val="prastasiniatinklio"/>
        <w:jc w:val="both"/>
      </w:pPr>
      <w:r>
        <w:t>4.3. Jeigu tiekėjas nesuteikia pasiūlyme deklaruotos papildomos garantijos, Užsakovas taiko 3%</w:t>
      </w:r>
      <w:r w:rsidR="00A476F8">
        <w:t xml:space="preserve"> </w:t>
      </w:r>
      <w:r>
        <w:t>(trijų procentų) nuo pradinės sutarties vertės baudą. Garantijos įsipareigojimų neišpildymas laikomas esminiu sutarties pažeidimu.</w:t>
      </w:r>
    </w:p>
    <w:p w:rsidR="00DB7849" w:rsidRDefault="00DB7849" w:rsidP="00DB7849">
      <w:pPr>
        <w:pStyle w:val="prastasiniatinklio"/>
        <w:jc w:val="both"/>
      </w:pPr>
      <w:r>
        <w:t>4.4. Jeigu paaiškėja, kad pasiūlyme pateikti WLTP duomenys neatitinka oficialių gamintojo duomenų, laikoma, kad tiekėjas pateikė melagingą informaciją. Užsakovas įtraukia tiekėją į melagingos informacijos pateikusių tiekėjų sąrašą VPĮ nustatyta tvarka.</w:t>
      </w:r>
    </w:p>
    <w:p w:rsidR="00C8275F" w:rsidRPr="00C8275F" w:rsidRDefault="00C8275F" w:rsidP="00C8275F">
      <w:pPr>
        <w:pStyle w:val="prastasiniatinklio"/>
        <w:ind w:left="720"/>
      </w:pPr>
    </w:p>
    <w:p w:rsidR="00BF4E14" w:rsidRPr="00C8275F" w:rsidRDefault="00BF4E14" w:rsidP="00B7062E">
      <w:pPr>
        <w:rPr>
          <w:rFonts w:ascii="Times New Roman" w:hAnsi="Times New Roman" w:cs="Times New Roman"/>
        </w:rPr>
      </w:pPr>
    </w:p>
    <w:p w:rsidR="00B7062E" w:rsidRPr="00C8275F" w:rsidRDefault="00B7062E" w:rsidP="00E36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B7062E" w:rsidRPr="00C8275F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237"/>
    <w:multiLevelType w:val="multilevel"/>
    <w:tmpl w:val="059C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4061A"/>
    <w:multiLevelType w:val="multilevel"/>
    <w:tmpl w:val="A806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970BE"/>
    <w:multiLevelType w:val="multilevel"/>
    <w:tmpl w:val="059C7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9413E"/>
    <w:multiLevelType w:val="multilevel"/>
    <w:tmpl w:val="059C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2068E"/>
    <w:multiLevelType w:val="multilevel"/>
    <w:tmpl w:val="2848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06D60"/>
    <w:multiLevelType w:val="multilevel"/>
    <w:tmpl w:val="9E5A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C1E08"/>
    <w:multiLevelType w:val="multilevel"/>
    <w:tmpl w:val="059C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2473A"/>
    <w:multiLevelType w:val="multilevel"/>
    <w:tmpl w:val="9FB4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93A98"/>
    <w:multiLevelType w:val="multilevel"/>
    <w:tmpl w:val="4688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51481"/>
    <w:multiLevelType w:val="multilevel"/>
    <w:tmpl w:val="059C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E224D"/>
    <w:multiLevelType w:val="multilevel"/>
    <w:tmpl w:val="059C7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FC2436"/>
    <w:multiLevelType w:val="multilevel"/>
    <w:tmpl w:val="B60C71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97106A"/>
    <w:multiLevelType w:val="multilevel"/>
    <w:tmpl w:val="D80E2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936212"/>
    <w:multiLevelType w:val="multilevel"/>
    <w:tmpl w:val="1AB0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A41ABD"/>
    <w:multiLevelType w:val="multilevel"/>
    <w:tmpl w:val="059C7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7"/>
  </w:num>
  <w:num w:numId="6">
    <w:abstractNumId w:val="2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E9"/>
    <w:rsid w:val="00004DA8"/>
    <w:rsid w:val="00147150"/>
    <w:rsid w:val="0028128D"/>
    <w:rsid w:val="00691BEE"/>
    <w:rsid w:val="00695949"/>
    <w:rsid w:val="006C6383"/>
    <w:rsid w:val="007822E2"/>
    <w:rsid w:val="007D1B9C"/>
    <w:rsid w:val="00A476F8"/>
    <w:rsid w:val="00AA0D58"/>
    <w:rsid w:val="00AB2EDF"/>
    <w:rsid w:val="00B7062E"/>
    <w:rsid w:val="00B97E3C"/>
    <w:rsid w:val="00BE30D0"/>
    <w:rsid w:val="00BF4E14"/>
    <w:rsid w:val="00C8275F"/>
    <w:rsid w:val="00D00C93"/>
    <w:rsid w:val="00D24E6C"/>
    <w:rsid w:val="00DB7849"/>
    <w:rsid w:val="00E114DB"/>
    <w:rsid w:val="00E2314E"/>
    <w:rsid w:val="00E363E9"/>
    <w:rsid w:val="00E51758"/>
    <w:rsid w:val="00F770DC"/>
    <w:rsid w:val="00FA3B0A"/>
    <w:rsid w:val="00FE043C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612F"/>
  <w15:chartTrackingRefBased/>
  <w15:docId w15:val="{6B18D811-22EB-4B22-8320-7B38CFDF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E36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63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E363E9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3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363E9"/>
    <w:rPr>
      <w:b/>
      <w:bCs/>
    </w:rPr>
  </w:style>
  <w:style w:type="character" w:customStyle="1" w:styleId="katex-mathml">
    <w:name w:val="katex-mathml"/>
    <w:basedOn w:val="Numatytasispastraiposriftas"/>
    <w:rsid w:val="00E363E9"/>
  </w:style>
  <w:style w:type="character" w:customStyle="1" w:styleId="mord">
    <w:name w:val="mord"/>
    <w:basedOn w:val="Numatytasispastraiposriftas"/>
    <w:rsid w:val="00E363E9"/>
  </w:style>
  <w:style w:type="character" w:customStyle="1" w:styleId="vlist-s">
    <w:name w:val="vlist-s"/>
    <w:basedOn w:val="Numatytasispastraiposriftas"/>
    <w:rsid w:val="00E363E9"/>
  </w:style>
  <w:style w:type="character" w:customStyle="1" w:styleId="mrel">
    <w:name w:val="mrel"/>
    <w:basedOn w:val="Numatytasispastraiposriftas"/>
    <w:rsid w:val="00E363E9"/>
  </w:style>
  <w:style w:type="character" w:customStyle="1" w:styleId="mbin">
    <w:name w:val="mbin"/>
    <w:basedOn w:val="Numatytasispastraiposriftas"/>
    <w:rsid w:val="00E363E9"/>
  </w:style>
  <w:style w:type="character" w:styleId="Vietosrezervavimoenklotekstas">
    <w:name w:val="Placeholder Text"/>
    <w:basedOn w:val="Numatytasispastraiposriftas"/>
    <w:uiPriority w:val="99"/>
    <w:semiHidden/>
    <w:rsid w:val="00E363E9"/>
    <w:rPr>
      <w:color w:val="80808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63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3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3492</Words>
  <Characters>1992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10</cp:revision>
  <dcterms:created xsi:type="dcterms:W3CDTF">2026-02-25T14:39:00Z</dcterms:created>
  <dcterms:modified xsi:type="dcterms:W3CDTF">2026-03-20T09:43:00Z</dcterms:modified>
</cp:coreProperties>
</file>