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EFD" w:rsidRPr="00286EFD" w:rsidRDefault="00286EFD" w:rsidP="00286EFD">
      <w:pPr>
        <w:spacing w:after="0"/>
        <w:jc w:val="right"/>
        <w:rPr>
          <w:rFonts w:ascii="Times New Roman" w:hAnsi="Times New Roman" w:cs="Times New Roman"/>
          <w:b/>
          <w:sz w:val="24"/>
          <w:szCs w:val="24"/>
        </w:rPr>
      </w:pPr>
      <w:r w:rsidRPr="00286EFD">
        <w:rPr>
          <w:rFonts w:ascii="Times New Roman" w:hAnsi="Times New Roman" w:cs="Times New Roman"/>
          <w:b/>
          <w:sz w:val="24"/>
          <w:szCs w:val="24"/>
        </w:rPr>
        <w:t>Specialiųjų pirkimo sąlygų</w:t>
      </w:r>
    </w:p>
    <w:p w:rsidR="00286EFD" w:rsidRPr="00286EFD" w:rsidRDefault="00286EFD" w:rsidP="00286EFD">
      <w:pPr>
        <w:spacing w:after="0"/>
        <w:jc w:val="right"/>
        <w:rPr>
          <w:rFonts w:ascii="Times New Roman" w:hAnsi="Times New Roman" w:cs="Times New Roman"/>
          <w:b/>
          <w:sz w:val="24"/>
          <w:szCs w:val="24"/>
        </w:rPr>
      </w:pPr>
      <w:r w:rsidRPr="00286EFD">
        <w:rPr>
          <w:rFonts w:ascii="Times New Roman" w:hAnsi="Times New Roman" w:cs="Times New Roman"/>
          <w:b/>
          <w:sz w:val="24"/>
          <w:szCs w:val="24"/>
        </w:rPr>
        <w:t xml:space="preserve"> 2 priedas „Techninė specifikacija“</w:t>
      </w:r>
    </w:p>
    <w:p w:rsidR="00286EFD" w:rsidRPr="00286EFD" w:rsidRDefault="00286EFD" w:rsidP="00286EFD">
      <w:pPr>
        <w:jc w:val="center"/>
        <w:rPr>
          <w:rFonts w:ascii="Times New Roman" w:hAnsi="Times New Roman" w:cs="Times New Roman"/>
          <w:b/>
          <w:sz w:val="24"/>
          <w:szCs w:val="24"/>
        </w:rPr>
      </w:pPr>
    </w:p>
    <w:p w:rsidR="006D7A7C" w:rsidRDefault="00286EFD" w:rsidP="006D7A7C">
      <w:pPr>
        <w:spacing w:after="0"/>
        <w:jc w:val="center"/>
        <w:rPr>
          <w:rFonts w:ascii="Times New Roman" w:hAnsi="Times New Roman" w:cs="Times New Roman"/>
          <w:b/>
          <w:sz w:val="24"/>
          <w:szCs w:val="24"/>
        </w:rPr>
      </w:pPr>
      <w:r w:rsidRPr="00286EFD">
        <w:rPr>
          <w:rFonts w:ascii="Times New Roman" w:hAnsi="Times New Roman" w:cs="Times New Roman"/>
          <w:b/>
          <w:sz w:val="24"/>
          <w:szCs w:val="24"/>
        </w:rPr>
        <w:t>TECHNINĖ SPECIFIKACIJA</w:t>
      </w:r>
    </w:p>
    <w:p w:rsidR="00286EFD" w:rsidRDefault="00286EFD" w:rsidP="006D7A7C">
      <w:pPr>
        <w:spacing w:after="0"/>
        <w:jc w:val="center"/>
        <w:rPr>
          <w:rFonts w:ascii="Times New Roman" w:hAnsi="Times New Roman" w:cs="Times New Roman"/>
          <w:b/>
          <w:sz w:val="24"/>
          <w:szCs w:val="24"/>
        </w:rPr>
      </w:pPr>
      <w:r w:rsidRPr="00286EFD">
        <w:rPr>
          <w:rFonts w:ascii="Times New Roman" w:hAnsi="Times New Roman" w:cs="Times New Roman"/>
          <w:b/>
          <w:sz w:val="24"/>
          <w:szCs w:val="24"/>
        </w:rPr>
        <w:t xml:space="preserve"> </w:t>
      </w:r>
      <w:r w:rsidR="00D0734C">
        <w:rPr>
          <w:rFonts w:ascii="Times New Roman" w:hAnsi="Times New Roman" w:cs="Times New Roman"/>
          <w:b/>
          <w:sz w:val="24"/>
          <w:szCs w:val="24"/>
        </w:rPr>
        <w:t>DĖL 2</w:t>
      </w:r>
      <w:r w:rsidR="006D7A7C">
        <w:rPr>
          <w:rFonts w:ascii="Times New Roman" w:hAnsi="Times New Roman" w:cs="Times New Roman"/>
          <w:b/>
          <w:sz w:val="24"/>
          <w:szCs w:val="24"/>
        </w:rPr>
        <w:t>-OS PIRKIMŲ DALIES „</w:t>
      </w:r>
      <w:r w:rsidR="00D0734C">
        <w:rPr>
          <w:rFonts w:ascii="Times New Roman" w:hAnsi="Times New Roman" w:cs="Times New Roman"/>
          <w:b/>
          <w:sz w:val="24"/>
          <w:szCs w:val="24"/>
        </w:rPr>
        <w:t>DARBUOTIJŲ IR LANKYTOJŲ KĖDĖS</w:t>
      </w:r>
      <w:r w:rsidR="006D7A7C">
        <w:rPr>
          <w:rFonts w:ascii="Times New Roman" w:hAnsi="Times New Roman" w:cs="Times New Roman"/>
          <w:b/>
          <w:sz w:val="24"/>
          <w:szCs w:val="24"/>
        </w:rPr>
        <w:t>“</w:t>
      </w:r>
    </w:p>
    <w:p w:rsidR="00E11262" w:rsidRPr="00286EFD" w:rsidRDefault="00E11262" w:rsidP="006D7A7C">
      <w:pPr>
        <w:spacing w:after="0"/>
        <w:jc w:val="center"/>
        <w:rPr>
          <w:rFonts w:ascii="Times New Roman" w:hAnsi="Times New Roman" w:cs="Times New Roman"/>
          <w:b/>
          <w:sz w:val="24"/>
          <w:szCs w:val="24"/>
        </w:rPr>
      </w:pPr>
    </w:p>
    <w:p w:rsidR="00286EFD" w:rsidRPr="00E11262" w:rsidRDefault="00286EFD" w:rsidP="008B0F0E">
      <w:pPr>
        <w:spacing w:after="0"/>
        <w:rPr>
          <w:rFonts w:ascii="Times New Roman" w:hAnsi="Times New Roman" w:cs="Times New Roman"/>
          <w:sz w:val="24"/>
          <w:szCs w:val="24"/>
        </w:rPr>
      </w:pPr>
      <w:r w:rsidRPr="00286EFD">
        <w:rPr>
          <w:rFonts w:ascii="Times New Roman" w:hAnsi="Times New Roman" w:cs="Times New Roman"/>
          <w:sz w:val="24"/>
          <w:szCs w:val="24"/>
        </w:rPr>
        <w:t xml:space="preserve">1. </w:t>
      </w:r>
      <w:r w:rsidRPr="00E11262">
        <w:rPr>
          <w:rFonts w:ascii="Times New Roman" w:hAnsi="Times New Roman" w:cs="Times New Roman"/>
          <w:sz w:val="24"/>
          <w:szCs w:val="24"/>
        </w:rPr>
        <w:t>Pasiūlymas turi būti pateiktas su montavimo darbais ir pristatymu į Saltoniškių 19, Vilnius.</w:t>
      </w:r>
    </w:p>
    <w:p w:rsidR="00286EFD" w:rsidRPr="00E11262" w:rsidRDefault="00286EFD" w:rsidP="008B0F0E">
      <w:pPr>
        <w:spacing w:after="0"/>
        <w:rPr>
          <w:rFonts w:ascii="Times New Roman" w:hAnsi="Times New Roman" w:cs="Times New Roman"/>
          <w:sz w:val="24"/>
          <w:szCs w:val="24"/>
        </w:rPr>
      </w:pPr>
      <w:r w:rsidRPr="00E11262">
        <w:rPr>
          <w:rFonts w:ascii="Times New Roman" w:hAnsi="Times New Roman" w:cs="Times New Roman"/>
          <w:sz w:val="24"/>
          <w:szCs w:val="24"/>
        </w:rPr>
        <w:t xml:space="preserve">2. Prekių galiojimas ne trumpesnis nei 24 mėnesiai nuo </w:t>
      </w:r>
      <w:r w:rsidR="00D0734C" w:rsidRPr="00E11262">
        <w:rPr>
          <w:rFonts w:ascii="Times New Roman" w:hAnsi="Times New Roman" w:cs="Times New Roman"/>
          <w:sz w:val="24"/>
          <w:szCs w:val="24"/>
        </w:rPr>
        <w:t>pristatymo ir sumontavimo</w:t>
      </w:r>
      <w:r w:rsidRPr="00E11262">
        <w:rPr>
          <w:rFonts w:ascii="Times New Roman" w:hAnsi="Times New Roman" w:cs="Times New Roman"/>
          <w:sz w:val="24"/>
          <w:szCs w:val="24"/>
        </w:rPr>
        <w:t xml:space="preserve"> Saltoniškių g. 19, Vilnius dienos. </w:t>
      </w:r>
    </w:p>
    <w:p w:rsidR="00286EFD" w:rsidRPr="00E11262" w:rsidRDefault="00286EFD" w:rsidP="008B0F0E">
      <w:pPr>
        <w:spacing w:after="0"/>
        <w:rPr>
          <w:rFonts w:ascii="Times New Roman" w:hAnsi="Times New Roman" w:cs="Times New Roman"/>
          <w:sz w:val="24"/>
          <w:szCs w:val="24"/>
        </w:rPr>
      </w:pPr>
      <w:r w:rsidRPr="00E11262">
        <w:rPr>
          <w:rFonts w:ascii="Times New Roman" w:hAnsi="Times New Roman" w:cs="Times New Roman"/>
          <w:sz w:val="24"/>
          <w:szCs w:val="24"/>
        </w:rPr>
        <w:t xml:space="preserve">3. Tiekėjas privalo </w:t>
      </w:r>
      <w:r w:rsidR="00D0734C" w:rsidRPr="00E11262">
        <w:rPr>
          <w:rFonts w:ascii="Times New Roman" w:hAnsi="Times New Roman" w:cs="Times New Roman"/>
          <w:sz w:val="24"/>
          <w:szCs w:val="24"/>
        </w:rPr>
        <w:t>kėdes pristatyti</w:t>
      </w:r>
      <w:r w:rsidRPr="00E11262">
        <w:rPr>
          <w:rFonts w:ascii="Times New Roman" w:hAnsi="Times New Roman" w:cs="Times New Roman"/>
          <w:sz w:val="24"/>
          <w:szCs w:val="24"/>
        </w:rPr>
        <w:t xml:space="preserve"> ne vėliau kaip per 2 mėnesius nuo sutarties įsigaliojimo dienos.</w:t>
      </w:r>
    </w:p>
    <w:p w:rsidR="00E10AAF" w:rsidRPr="00E11262" w:rsidRDefault="00E10AAF" w:rsidP="00E10AAF">
      <w:pPr>
        <w:contextualSpacing/>
        <w:rPr>
          <w:rFonts w:ascii="Times New Roman" w:hAnsi="Times New Roman" w:cs="Times New Roman"/>
          <w:sz w:val="24"/>
          <w:szCs w:val="24"/>
        </w:rPr>
      </w:pPr>
      <w:r w:rsidRPr="00E11262">
        <w:rPr>
          <w:rFonts w:ascii="Times New Roman" w:hAnsi="Times New Roman" w:cs="Times New Roman"/>
          <w:sz w:val="24"/>
          <w:szCs w:val="24"/>
        </w:rPr>
        <w:t>4. Pateikti kėdžių nuotraukas ar vizualizacijas.</w:t>
      </w:r>
    </w:p>
    <w:p w:rsidR="00286EFD" w:rsidRPr="00E11262" w:rsidRDefault="00E10AAF" w:rsidP="008B0F0E">
      <w:pPr>
        <w:spacing w:after="0"/>
        <w:contextualSpacing/>
        <w:jc w:val="both"/>
        <w:rPr>
          <w:rFonts w:ascii="Times New Roman" w:hAnsi="Times New Roman" w:cs="Times New Roman"/>
          <w:sz w:val="24"/>
          <w:szCs w:val="24"/>
        </w:rPr>
      </w:pPr>
      <w:r w:rsidRPr="00E11262">
        <w:rPr>
          <w:rFonts w:ascii="Times New Roman" w:hAnsi="Times New Roman" w:cs="Times New Roman"/>
          <w:sz w:val="24"/>
          <w:szCs w:val="24"/>
        </w:rPr>
        <w:t>5</w:t>
      </w:r>
      <w:r w:rsidR="00286EFD" w:rsidRPr="00E11262">
        <w:rPr>
          <w:rFonts w:ascii="Times New Roman" w:hAnsi="Times New Roman" w:cs="Times New Roman"/>
          <w:sz w:val="24"/>
          <w:szCs w:val="24"/>
        </w:rPr>
        <w:t xml:space="preserve">. </w:t>
      </w:r>
      <w:r w:rsidR="00D0734C" w:rsidRPr="00E11262">
        <w:rPr>
          <w:rFonts w:ascii="Times New Roman" w:hAnsi="Times New Roman" w:cs="Times New Roman"/>
          <w:sz w:val="24"/>
          <w:szCs w:val="24"/>
        </w:rPr>
        <w:t>Kėdės</w:t>
      </w:r>
      <w:r w:rsidR="00286EFD" w:rsidRPr="00E11262">
        <w:rPr>
          <w:rFonts w:ascii="Times New Roman" w:hAnsi="Times New Roman" w:cs="Times New Roman"/>
          <w:sz w:val="24"/>
          <w:szCs w:val="24"/>
        </w:rPr>
        <w:t xml:space="preserve"> turi atitikti aplinkos apsaugos kriterijus, patvirtintus LR Aplinkos ministro 2022 m. gruodžio 13 d. įsakymu Nr. D1-401 „Dėl aplinkos apsaugos kriterijų taikymo, vykdant žaliuosius pirkimus, tvarkos aprašo patvirtinimo“ (toliau – Tvarkos aprašas). Tvarkos aprašo 2 priedo VII skyriuje:</w:t>
      </w:r>
    </w:p>
    <w:p w:rsidR="00286EFD" w:rsidRPr="00286EFD" w:rsidRDefault="00E10AAF" w:rsidP="008B0F0E">
      <w:pPr>
        <w:spacing w:after="0"/>
        <w:contextualSpacing/>
        <w:jc w:val="both"/>
        <w:rPr>
          <w:rFonts w:ascii="Times New Roman" w:hAnsi="Times New Roman" w:cs="Times New Roman"/>
          <w:sz w:val="24"/>
          <w:szCs w:val="24"/>
        </w:rPr>
      </w:pPr>
      <w:r w:rsidRPr="00E11262">
        <w:rPr>
          <w:rFonts w:ascii="Times New Roman" w:hAnsi="Times New Roman" w:cs="Times New Roman"/>
          <w:sz w:val="24"/>
          <w:szCs w:val="24"/>
          <w:lang w:val="en-US"/>
        </w:rPr>
        <w:t>5</w:t>
      </w:r>
      <w:r w:rsidR="00286EFD" w:rsidRPr="00E11262">
        <w:rPr>
          <w:rFonts w:ascii="Times New Roman" w:hAnsi="Times New Roman" w:cs="Times New Roman"/>
          <w:sz w:val="24"/>
          <w:szCs w:val="24"/>
          <w:lang w:val="en-US"/>
        </w:rPr>
        <w:t xml:space="preserve">.1. </w:t>
      </w:r>
      <w:r w:rsidR="00286EFD" w:rsidRPr="00E11262">
        <w:rPr>
          <w:rFonts w:ascii="Times New Roman" w:hAnsi="Times New Roman" w:cs="Times New Roman"/>
          <w:sz w:val="24"/>
          <w:szCs w:val="24"/>
        </w:rPr>
        <w:t>Ne mažiau 80 proc. balduose naudojamos medienos, medienos medžiagų ir gaminių turi būti iš miškų, sertifikuotų naudojant</w:t>
      </w:r>
      <w:r w:rsidR="00286EFD" w:rsidRPr="00286EFD">
        <w:rPr>
          <w:rFonts w:ascii="Times New Roman" w:hAnsi="Times New Roman" w:cs="Times New Roman"/>
          <w:sz w:val="24"/>
          <w:szCs w:val="24"/>
        </w:rPr>
        <w:t xml:space="preserve"> FSC ar PEFC miškų sertifikavimo sistemas arba lygiavertes sertifikavimo sistemas;</w:t>
      </w:r>
    </w:p>
    <w:p w:rsidR="00286EFD" w:rsidRPr="00286EFD" w:rsidRDefault="00E10AAF" w:rsidP="008B0F0E">
      <w:pPr>
        <w:spacing w:after="0"/>
        <w:contextualSpacing/>
        <w:jc w:val="both"/>
        <w:rPr>
          <w:rFonts w:ascii="Times New Roman" w:hAnsi="Times New Roman" w:cs="Times New Roman"/>
          <w:sz w:val="24"/>
          <w:szCs w:val="24"/>
        </w:rPr>
      </w:pPr>
      <w:r>
        <w:rPr>
          <w:rFonts w:ascii="Times New Roman" w:hAnsi="Times New Roman" w:cs="Times New Roman"/>
          <w:sz w:val="24"/>
          <w:szCs w:val="24"/>
        </w:rPr>
        <w:t>5</w:t>
      </w:r>
      <w:r w:rsidR="00286EFD">
        <w:rPr>
          <w:rFonts w:ascii="Times New Roman" w:hAnsi="Times New Roman" w:cs="Times New Roman"/>
          <w:sz w:val="24"/>
          <w:szCs w:val="24"/>
        </w:rPr>
        <w:t>.</w:t>
      </w:r>
      <w:r w:rsidR="00286EFD" w:rsidRPr="00286EFD">
        <w:rPr>
          <w:rFonts w:ascii="Times New Roman" w:hAnsi="Times New Roman" w:cs="Times New Roman"/>
          <w:sz w:val="24"/>
          <w:szCs w:val="24"/>
        </w:rPr>
        <w:t>2. Visos plastikinės dalys, kurių masė ≥ 50 g, turi būti paženklintos kaip tinkamos perdirbti pagal LST EN ISO 11469 „Bendrasis plastikinių gaminių identifikavimas ir ženklinimas“ (toliau – LST EN ISO 11469) ar lygiavertį standartą;</w:t>
      </w:r>
    </w:p>
    <w:p w:rsidR="00286EFD" w:rsidRPr="00286EFD" w:rsidRDefault="00E10AAF" w:rsidP="008B0F0E">
      <w:pPr>
        <w:spacing w:after="0"/>
        <w:contextualSpacing/>
        <w:jc w:val="both"/>
        <w:rPr>
          <w:rFonts w:ascii="Times New Roman" w:hAnsi="Times New Roman" w:cs="Times New Roman"/>
          <w:sz w:val="24"/>
          <w:szCs w:val="24"/>
        </w:rPr>
      </w:pPr>
      <w:r>
        <w:rPr>
          <w:rFonts w:ascii="Times New Roman" w:hAnsi="Times New Roman" w:cs="Times New Roman"/>
          <w:sz w:val="24"/>
          <w:szCs w:val="24"/>
        </w:rPr>
        <w:t>5</w:t>
      </w:r>
      <w:r w:rsidR="00286EFD">
        <w:rPr>
          <w:rFonts w:ascii="Times New Roman" w:hAnsi="Times New Roman" w:cs="Times New Roman"/>
          <w:sz w:val="24"/>
          <w:szCs w:val="24"/>
        </w:rPr>
        <w:t>.</w:t>
      </w:r>
      <w:r w:rsidR="00286EFD" w:rsidRPr="00286EFD">
        <w:rPr>
          <w:rFonts w:ascii="Times New Roman" w:hAnsi="Times New Roman" w:cs="Times New Roman"/>
          <w:sz w:val="24"/>
          <w:szCs w:val="24"/>
        </w:rPr>
        <w:t>3. Jei baldo kamšalo sudėtyje naudojamos sintetinės poliesterio medžiagos, jų sudėtyje turi būti dalis perdirbtų medžiagų.</w:t>
      </w:r>
    </w:p>
    <w:p w:rsidR="00286EFD" w:rsidRPr="00286EFD" w:rsidRDefault="00E10AAF" w:rsidP="008B0F0E">
      <w:pPr>
        <w:spacing w:after="0"/>
        <w:contextualSpacing/>
        <w:jc w:val="both"/>
        <w:rPr>
          <w:rFonts w:ascii="Times New Roman" w:hAnsi="Times New Roman" w:cs="Times New Roman"/>
          <w:sz w:val="24"/>
          <w:szCs w:val="24"/>
        </w:rPr>
      </w:pPr>
      <w:r>
        <w:rPr>
          <w:rFonts w:ascii="Times New Roman" w:hAnsi="Times New Roman" w:cs="Times New Roman"/>
          <w:sz w:val="24"/>
          <w:szCs w:val="24"/>
          <w:lang w:val="en-US"/>
        </w:rPr>
        <w:t>5</w:t>
      </w:r>
      <w:r w:rsidR="00286EFD">
        <w:rPr>
          <w:rFonts w:ascii="Times New Roman" w:hAnsi="Times New Roman" w:cs="Times New Roman"/>
          <w:sz w:val="24"/>
          <w:szCs w:val="24"/>
          <w:lang w:val="en-US"/>
        </w:rPr>
        <w:t>.</w:t>
      </w:r>
      <w:r w:rsidR="00286EFD" w:rsidRPr="00286EFD">
        <w:rPr>
          <w:rFonts w:ascii="Times New Roman" w:hAnsi="Times New Roman" w:cs="Times New Roman"/>
          <w:sz w:val="24"/>
          <w:szCs w:val="24"/>
          <w:lang w:val="en-US"/>
        </w:rPr>
        <w:t xml:space="preserve">4. </w:t>
      </w:r>
      <w:r w:rsidR="00286EFD" w:rsidRPr="00286EFD">
        <w:rPr>
          <w:rFonts w:ascii="Times New Roman" w:hAnsi="Times New Roman" w:cs="Times New Roman"/>
          <w:sz w:val="24"/>
          <w:szCs w:val="24"/>
        </w:rPr>
        <w:t>Paviršiams dengti naudojamuose produktuose:</w:t>
      </w:r>
    </w:p>
    <w:p w:rsidR="00286EFD" w:rsidRPr="00286EFD" w:rsidRDefault="00E10AAF" w:rsidP="008B0F0E">
      <w:pPr>
        <w:spacing w:after="0"/>
        <w:contextualSpacing/>
        <w:jc w:val="both"/>
        <w:rPr>
          <w:rFonts w:ascii="Times New Roman" w:hAnsi="Times New Roman" w:cs="Times New Roman"/>
          <w:sz w:val="24"/>
          <w:szCs w:val="24"/>
        </w:rPr>
      </w:pPr>
      <w:r>
        <w:rPr>
          <w:rFonts w:ascii="Times New Roman" w:hAnsi="Times New Roman" w:cs="Times New Roman"/>
          <w:sz w:val="24"/>
          <w:szCs w:val="24"/>
        </w:rPr>
        <w:t>5</w:t>
      </w:r>
      <w:r w:rsidR="00286EFD">
        <w:rPr>
          <w:rFonts w:ascii="Times New Roman" w:hAnsi="Times New Roman" w:cs="Times New Roman"/>
          <w:sz w:val="24"/>
          <w:szCs w:val="24"/>
        </w:rPr>
        <w:t>.</w:t>
      </w:r>
      <w:r w:rsidR="00286EFD" w:rsidRPr="00286EFD">
        <w:rPr>
          <w:rFonts w:ascii="Times New Roman" w:hAnsi="Times New Roman" w:cs="Times New Roman"/>
          <w:sz w:val="24"/>
          <w:szCs w:val="24"/>
        </w:rPr>
        <w:t xml:space="preserve">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w:t>
      </w:r>
    </w:p>
    <w:p w:rsidR="00286EFD" w:rsidRPr="00286EFD" w:rsidRDefault="00E10AAF" w:rsidP="008B0F0E">
      <w:pPr>
        <w:spacing w:after="0"/>
        <w:contextualSpacing/>
        <w:jc w:val="both"/>
        <w:rPr>
          <w:rFonts w:ascii="Times New Roman" w:hAnsi="Times New Roman" w:cs="Times New Roman"/>
          <w:sz w:val="24"/>
          <w:szCs w:val="24"/>
        </w:rPr>
      </w:pPr>
      <w:r>
        <w:rPr>
          <w:rFonts w:ascii="Times New Roman" w:hAnsi="Times New Roman" w:cs="Times New Roman"/>
          <w:sz w:val="24"/>
          <w:szCs w:val="24"/>
        </w:rPr>
        <w:t>5</w:t>
      </w:r>
      <w:r w:rsidR="00286EFD">
        <w:rPr>
          <w:rFonts w:ascii="Times New Roman" w:hAnsi="Times New Roman" w:cs="Times New Roman"/>
          <w:sz w:val="24"/>
          <w:szCs w:val="24"/>
        </w:rPr>
        <w:t>.</w:t>
      </w:r>
      <w:r w:rsidR="00286EFD" w:rsidRPr="00286EFD">
        <w:rPr>
          <w:rFonts w:ascii="Times New Roman" w:hAnsi="Times New Roman" w:cs="Times New Roman"/>
          <w:sz w:val="24"/>
          <w:szCs w:val="24"/>
        </w:rPr>
        <w:t>4.2.  neturi būti daugiau kaip 5 proc. masės lakiųjų organinių junginių (LOJ);</w:t>
      </w:r>
    </w:p>
    <w:p w:rsidR="00286EFD" w:rsidRPr="00286EFD" w:rsidRDefault="00E10AAF" w:rsidP="008B0F0E">
      <w:pPr>
        <w:spacing w:after="0"/>
        <w:contextualSpacing/>
        <w:jc w:val="both"/>
        <w:rPr>
          <w:rFonts w:ascii="Times New Roman" w:hAnsi="Times New Roman" w:cs="Times New Roman"/>
          <w:sz w:val="24"/>
          <w:szCs w:val="24"/>
        </w:rPr>
      </w:pPr>
      <w:r>
        <w:rPr>
          <w:rFonts w:ascii="Times New Roman" w:hAnsi="Times New Roman" w:cs="Times New Roman"/>
          <w:sz w:val="24"/>
          <w:szCs w:val="24"/>
        </w:rPr>
        <w:t>5</w:t>
      </w:r>
      <w:r w:rsidR="00286EFD">
        <w:rPr>
          <w:rFonts w:ascii="Times New Roman" w:hAnsi="Times New Roman" w:cs="Times New Roman"/>
          <w:sz w:val="24"/>
          <w:szCs w:val="24"/>
        </w:rPr>
        <w:t>.</w:t>
      </w:r>
      <w:r w:rsidR="00286EFD" w:rsidRPr="00286EFD">
        <w:rPr>
          <w:rFonts w:ascii="Times New Roman" w:hAnsi="Times New Roman" w:cs="Times New Roman"/>
          <w:sz w:val="24"/>
          <w:szCs w:val="24"/>
        </w:rPr>
        <w:t xml:space="preserve"> 4.3. neturi būti chromo (VI) junginių; </w:t>
      </w:r>
    </w:p>
    <w:p w:rsidR="00286EFD" w:rsidRPr="00286EFD" w:rsidRDefault="00E10AAF" w:rsidP="008B0F0E">
      <w:pPr>
        <w:spacing w:after="0"/>
        <w:contextualSpacing/>
        <w:jc w:val="both"/>
        <w:rPr>
          <w:rFonts w:ascii="Times New Roman" w:hAnsi="Times New Roman" w:cs="Times New Roman"/>
          <w:sz w:val="24"/>
          <w:szCs w:val="24"/>
        </w:rPr>
      </w:pPr>
      <w:r>
        <w:rPr>
          <w:rFonts w:ascii="Times New Roman" w:hAnsi="Times New Roman" w:cs="Times New Roman"/>
          <w:sz w:val="24"/>
          <w:szCs w:val="24"/>
        </w:rPr>
        <w:t>5</w:t>
      </w:r>
      <w:r w:rsidR="00286EFD">
        <w:rPr>
          <w:rFonts w:ascii="Times New Roman" w:hAnsi="Times New Roman" w:cs="Times New Roman"/>
          <w:sz w:val="24"/>
          <w:szCs w:val="24"/>
        </w:rPr>
        <w:t>.</w:t>
      </w:r>
      <w:r w:rsidR="00286EFD" w:rsidRPr="00286EFD">
        <w:rPr>
          <w:rFonts w:ascii="Times New Roman" w:hAnsi="Times New Roman" w:cs="Times New Roman"/>
          <w:sz w:val="24"/>
          <w:szCs w:val="24"/>
        </w:rPr>
        <w:t xml:space="preserve">5.  </w:t>
      </w:r>
      <w:proofErr w:type="spellStart"/>
      <w:r w:rsidR="00286EFD" w:rsidRPr="00286EFD">
        <w:rPr>
          <w:rFonts w:ascii="Times New Roman" w:hAnsi="Times New Roman" w:cs="Times New Roman"/>
          <w:sz w:val="24"/>
          <w:szCs w:val="24"/>
        </w:rPr>
        <w:t>formaldehido</w:t>
      </w:r>
      <w:proofErr w:type="spellEnd"/>
      <w:r w:rsidR="00286EFD" w:rsidRPr="00286EFD">
        <w:rPr>
          <w:rFonts w:ascii="Times New Roman" w:hAnsi="Times New Roman" w:cs="Times New Roman"/>
          <w:sz w:val="24"/>
          <w:szCs w:val="24"/>
        </w:rPr>
        <w:t xml:space="preserve"> išmetamieji teršalai neturi viršyti 0,05 </w:t>
      </w:r>
      <w:proofErr w:type="spellStart"/>
      <w:r w:rsidR="00286EFD" w:rsidRPr="00286EFD">
        <w:rPr>
          <w:rFonts w:ascii="Times New Roman" w:hAnsi="Times New Roman" w:cs="Times New Roman"/>
          <w:sz w:val="24"/>
          <w:szCs w:val="24"/>
        </w:rPr>
        <w:t>ppm</w:t>
      </w:r>
      <w:proofErr w:type="spellEnd"/>
      <w:r w:rsidR="00286EFD" w:rsidRPr="00286EFD">
        <w:rPr>
          <w:rFonts w:ascii="Times New Roman" w:hAnsi="Times New Roman" w:cs="Times New Roman"/>
          <w:sz w:val="24"/>
          <w:szCs w:val="24"/>
        </w:rPr>
        <w:t>.</w:t>
      </w:r>
      <w:r w:rsidR="00286EFD" w:rsidRPr="00286EFD">
        <w:rPr>
          <w:rFonts w:ascii="Times New Roman" w:hAnsi="Times New Roman" w:cs="Times New Roman"/>
          <w:sz w:val="24"/>
          <w:szCs w:val="24"/>
        </w:rPr>
        <w:tab/>
      </w:r>
    </w:p>
    <w:p w:rsidR="00C0589F" w:rsidRDefault="00E10AAF" w:rsidP="008B0F0E">
      <w:pPr>
        <w:spacing w:after="0"/>
        <w:rPr>
          <w:rFonts w:ascii="Times New Roman" w:hAnsi="Times New Roman" w:cs="Times New Roman"/>
          <w:sz w:val="24"/>
          <w:szCs w:val="24"/>
        </w:rPr>
      </w:pPr>
      <w:r>
        <w:rPr>
          <w:rFonts w:ascii="Times New Roman" w:hAnsi="Times New Roman" w:cs="Times New Roman"/>
          <w:sz w:val="24"/>
          <w:szCs w:val="24"/>
        </w:rPr>
        <w:t>6</w:t>
      </w:r>
      <w:r w:rsidR="00286EFD">
        <w:rPr>
          <w:rFonts w:ascii="Times New Roman" w:hAnsi="Times New Roman" w:cs="Times New Roman"/>
          <w:sz w:val="24"/>
          <w:szCs w:val="24"/>
        </w:rPr>
        <w:t>. J</w:t>
      </w:r>
      <w:r w:rsidR="00286EFD" w:rsidRPr="00286EFD">
        <w:rPr>
          <w:rFonts w:ascii="Times New Roman" w:hAnsi="Times New Roman" w:cs="Times New Roman"/>
          <w:sz w:val="24"/>
          <w:szCs w:val="24"/>
        </w:rPr>
        <w:t xml:space="preserve">ei </w:t>
      </w:r>
      <w:r w:rsidR="00D0734C">
        <w:rPr>
          <w:rFonts w:ascii="Times New Roman" w:hAnsi="Times New Roman" w:cs="Times New Roman"/>
          <w:sz w:val="24"/>
          <w:szCs w:val="24"/>
        </w:rPr>
        <w:t>kėdės</w:t>
      </w:r>
      <w:r w:rsidR="00286EFD">
        <w:rPr>
          <w:rFonts w:ascii="Times New Roman" w:hAnsi="Times New Roman" w:cs="Times New Roman"/>
          <w:sz w:val="24"/>
          <w:szCs w:val="24"/>
        </w:rPr>
        <w:t xml:space="preserve"> bus</w:t>
      </w:r>
      <w:r w:rsidR="00286EFD" w:rsidRPr="00286EFD">
        <w:rPr>
          <w:rFonts w:ascii="Times New Roman" w:hAnsi="Times New Roman" w:cs="Times New Roman"/>
          <w:sz w:val="24"/>
          <w:szCs w:val="24"/>
        </w:rPr>
        <w:t xml:space="preserve"> </w:t>
      </w:r>
      <w:r w:rsidR="00D0734C">
        <w:rPr>
          <w:rFonts w:ascii="Times New Roman" w:hAnsi="Times New Roman" w:cs="Times New Roman"/>
          <w:sz w:val="24"/>
          <w:szCs w:val="24"/>
        </w:rPr>
        <w:t>pristatytos</w:t>
      </w:r>
      <w:r w:rsidR="00286EFD" w:rsidRPr="00286EFD">
        <w:rPr>
          <w:rFonts w:ascii="Times New Roman" w:hAnsi="Times New Roman" w:cs="Times New Roman"/>
          <w:sz w:val="24"/>
          <w:szCs w:val="24"/>
        </w:rPr>
        <w:t xml:space="preserve"> antrinėje pakuotėje, tai pakuotės turi būti laikytinos perdirbamosiomis pakuotėmis pagal Lietuvos Respublikos mokesčio už aplinkos teršimą įstatymo nuostatas, nebent tai prieštarauja higienos normoms.</w:t>
      </w:r>
    </w:p>
    <w:tbl>
      <w:tblPr>
        <w:tblStyle w:val="TableGrid"/>
        <w:tblW w:w="10490" w:type="dxa"/>
        <w:tblInd w:w="-856" w:type="dxa"/>
        <w:tblLook w:val="04A0" w:firstRow="1" w:lastRow="0" w:firstColumn="1" w:lastColumn="0" w:noHBand="0" w:noVBand="1"/>
      </w:tblPr>
      <w:tblGrid>
        <w:gridCol w:w="567"/>
        <w:gridCol w:w="3970"/>
        <w:gridCol w:w="1134"/>
        <w:gridCol w:w="4819"/>
      </w:tblGrid>
      <w:tr w:rsidR="00441545" w:rsidTr="00441545">
        <w:tc>
          <w:tcPr>
            <w:tcW w:w="567" w:type="dxa"/>
          </w:tcPr>
          <w:p w:rsidR="00441545" w:rsidRDefault="00441545" w:rsidP="00DD52F8">
            <w:pPr>
              <w:contextualSpacing/>
              <w:jc w:val="center"/>
              <w:rPr>
                <w:rFonts w:hAnsi="Times New Roman" w:cs="Times New Roman"/>
                <w:b/>
              </w:rPr>
            </w:pPr>
            <w:r>
              <w:rPr>
                <w:rFonts w:hAnsi="Times New Roman" w:cs="Times New Roman"/>
                <w:b/>
              </w:rPr>
              <w:t>Eil.</w:t>
            </w:r>
          </w:p>
          <w:p w:rsidR="00441545" w:rsidRDefault="00441545" w:rsidP="00DD52F8">
            <w:pPr>
              <w:contextualSpacing/>
              <w:jc w:val="center"/>
              <w:rPr>
                <w:rFonts w:hAnsi="Times New Roman" w:cs="Times New Roman"/>
                <w:b/>
              </w:rPr>
            </w:pPr>
            <w:r>
              <w:rPr>
                <w:rFonts w:hAnsi="Times New Roman" w:cs="Times New Roman"/>
                <w:b/>
              </w:rPr>
              <w:t>Nr.</w:t>
            </w:r>
          </w:p>
        </w:tc>
        <w:tc>
          <w:tcPr>
            <w:tcW w:w="3970" w:type="dxa"/>
          </w:tcPr>
          <w:p w:rsidR="00441545" w:rsidRDefault="00441545" w:rsidP="00DD52F8">
            <w:pPr>
              <w:contextualSpacing/>
              <w:jc w:val="center"/>
              <w:rPr>
                <w:rFonts w:hAnsi="Times New Roman" w:cs="Times New Roman"/>
                <w:b/>
              </w:rPr>
            </w:pPr>
            <w:r>
              <w:rPr>
                <w:rFonts w:hAnsi="Times New Roman" w:cs="Times New Roman"/>
                <w:b/>
              </w:rPr>
              <w:t>Parametro apibūdinimas,</w:t>
            </w:r>
          </w:p>
          <w:p w:rsidR="00441545" w:rsidRDefault="00441545" w:rsidP="00DD52F8">
            <w:pPr>
              <w:contextualSpacing/>
              <w:jc w:val="center"/>
              <w:rPr>
                <w:rFonts w:hAnsi="Times New Roman" w:cs="Times New Roman"/>
                <w:b/>
              </w:rPr>
            </w:pPr>
            <w:r>
              <w:rPr>
                <w:rFonts w:hAnsi="Times New Roman" w:cs="Times New Roman"/>
                <w:b/>
              </w:rPr>
              <w:t>Reikalavimai</w:t>
            </w:r>
          </w:p>
        </w:tc>
        <w:tc>
          <w:tcPr>
            <w:tcW w:w="1134" w:type="dxa"/>
          </w:tcPr>
          <w:p w:rsidR="00441545" w:rsidRPr="00441545" w:rsidRDefault="00441545" w:rsidP="00DD52F8">
            <w:pPr>
              <w:contextualSpacing/>
              <w:jc w:val="center"/>
              <w:rPr>
                <w:rFonts w:hAnsi="Times New Roman" w:cs="Times New Roman"/>
                <w:b/>
              </w:rPr>
            </w:pPr>
            <w:r>
              <w:rPr>
                <w:rFonts w:hAnsi="Times New Roman" w:cs="Times New Roman"/>
                <w:b/>
              </w:rPr>
              <w:t xml:space="preserve">Kiekis, </w:t>
            </w:r>
            <w:proofErr w:type="spellStart"/>
            <w:r>
              <w:rPr>
                <w:rFonts w:hAnsi="Times New Roman" w:cs="Times New Roman"/>
                <w:b/>
              </w:rPr>
              <w:t>vnt</w:t>
            </w:r>
            <w:proofErr w:type="spellEnd"/>
          </w:p>
        </w:tc>
        <w:tc>
          <w:tcPr>
            <w:tcW w:w="4819" w:type="dxa"/>
          </w:tcPr>
          <w:p w:rsidR="00441545" w:rsidRDefault="00441545" w:rsidP="00DD52F8">
            <w:pPr>
              <w:contextualSpacing/>
              <w:jc w:val="center"/>
              <w:rPr>
                <w:rFonts w:hAnsi="Times New Roman" w:cs="Times New Roman"/>
                <w:b/>
              </w:rPr>
            </w:pPr>
            <w:r>
              <w:rPr>
                <w:rFonts w:hAnsi="Times New Roman" w:cs="Times New Roman"/>
                <w:b/>
              </w:rPr>
              <w:t>Pavyzdys</w:t>
            </w:r>
          </w:p>
          <w:p w:rsidR="00441545" w:rsidRPr="00441545" w:rsidRDefault="00441545" w:rsidP="00DD52F8">
            <w:pPr>
              <w:contextualSpacing/>
              <w:jc w:val="center"/>
              <w:rPr>
                <w:rFonts w:hAnsi="Times New Roman" w:cs="Times New Roman"/>
                <w:b/>
              </w:rPr>
            </w:pPr>
          </w:p>
        </w:tc>
      </w:tr>
      <w:tr w:rsidR="00E10AAF" w:rsidTr="00E10AAF">
        <w:tc>
          <w:tcPr>
            <w:tcW w:w="567" w:type="dxa"/>
          </w:tcPr>
          <w:p w:rsidR="00E10AAF" w:rsidRDefault="00E10AAF" w:rsidP="00E10AAF">
            <w:pPr>
              <w:contextualSpacing/>
              <w:rPr>
                <w:rFonts w:hAnsi="Times New Roman" w:cs="Times New Roman"/>
              </w:rPr>
            </w:pPr>
            <w:r>
              <w:rPr>
                <w:rFonts w:hAnsi="Times New Roman" w:cs="Times New Roman"/>
              </w:rPr>
              <w:t>1.</w:t>
            </w:r>
          </w:p>
        </w:tc>
        <w:tc>
          <w:tcPr>
            <w:tcW w:w="3970" w:type="dxa"/>
          </w:tcPr>
          <w:p w:rsidR="00E10AAF" w:rsidRPr="009C0804" w:rsidRDefault="00E10AAF" w:rsidP="00E10AAF">
            <w:pPr>
              <w:contextualSpacing/>
              <w:rPr>
                <w:rFonts w:hAnsi="Times New Roman" w:cs="Times New Roman"/>
                <w:b/>
              </w:rPr>
            </w:pPr>
            <w:r w:rsidRPr="009C0804">
              <w:rPr>
                <w:rFonts w:hAnsi="Times New Roman" w:cs="Times New Roman"/>
                <w:b/>
              </w:rPr>
              <w:t>Darbuotojo kėdė.</w:t>
            </w:r>
          </w:p>
          <w:p w:rsidR="00E10AAF" w:rsidRDefault="00E10AAF" w:rsidP="00E10AAF">
            <w:pPr>
              <w:contextualSpacing/>
              <w:jc w:val="both"/>
            </w:pPr>
            <w:r>
              <w:t>Atlo</w:t>
            </w:r>
            <w:r>
              <w:t>š</w:t>
            </w:r>
            <w:r>
              <w:t>o plotis (+/- 1 mm) 450 mm per vis</w:t>
            </w:r>
            <w:r>
              <w:t>ą</w:t>
            </w:r>
            <w:r>
              <w:t xml:space="preserve"> atlo</w:t>
            </w:r>
            <w:r>
              <w:t>š</w:t>
            </w:r>
            <w:r>
              <w:t>o auk</w:t>
            </w:r>
            <w:r>
              <w:t>š</w:t>
            </w:r>
            <w:r>
              <w:t>t</w:t>
            </w:r>
            <w:r>
              <w:t>į</w:t>
            </w:r>
            <w:r>
              <w:t>, atlo</w:t>
            </w:r>
            <w:r>
              <w:t>š</w:t>
            </w:r>
            <w:r>
              <w:t>as sta</w:t>
            </w:r>
            <w:r>
              <w:t>č</w:t>
            </w:r>
            <w:r>
              <w:t>iakampio formos nei siaur</w:t>
            </w:r>
            <w:r>
              <w:t>ė</w:t>
            </w:r>
            <w:r>
              <w:t>jantis nei plat</w:t>
            </w:r>
            <w:r>
              <w:t>ė</w:t>
            </w:r>
            <w:r>
              <w:t xml:space="preserve">jantis. </w:t>
            </w:r>
          </w:p>
          <w:p w:rsidR="00E10AAF" w:rsidRDefault="00E10AAF" w:rsidP="00E10AAF">
            <w:pPr>
              <w:contextualSpacing/>
              <w:jc w:val="both"/>
            </w:pPr>
            <w:r>
              <w:t>Atlo</w:t>
            </w:r>
            <w:r>
              <w:t>š</w:t>
            </w:r>
            <w:r>
              <w:t>o auk</w:t>
            </w:r>
            <w:r>
              <w:t>š</w:t>
            </w:r>
            <w:r>
              <w:t>tis(+/- 1 mm) 600 mm, kampai neu</w:t>
            </w:r>
            <w:r>
              <w:t>ž</w:t>
            </w:r>
            <w:r>
              <w:t xml:space="preserve">apvalinti. </w:t>
            </w:r>
          </w:p>
          <w:p w:rsidR="00E10AAF" w:rsidRDefault="00E10AAF" w:rsidP="00E10AAF">
            <w:pPr>
              <w:contextualSpacing/>
              <w:jc w:val="both"/>
            </w:pPr>
            <w:r>
              <w:t>Atlo</w:t>
            </w:r>
            <w:r>
              <w:t>š</w:t>
            </w:r>
            <w:r>
              <w:t>o tinklelio spalva ir fakt</w:t>
            </w:r>
            <w:r>
              <w:t>ū</w:t>
            </w:r>
            <w:r>
              <w:t>ra, ir s</w:t>
            </w:r>
            <w:r>
              <w:t>ė</w:t>
            </w:r>
            <w:r>
              <w:t>dimosios dalies gobelenas pasirenkama i</w:t>
            </w:r>
            <w:r>
              <w:t>š</w:t>
            </w:r>
            <w:r>
              <w:t xml:space="preserve"> 24 spalv</w:t>
            </w:r>
            <w:r>
              <w:t>ų</w:t>
            </w:r>
            <w:r>
              <w:t xml:space="preserve"> ir fakt</w:t>
            </w:r>
            <w:r>
              <w:t>ū</w:t>
            </w:r>
            <w:r>
              <w:t>r</w:t>
            </w:r>
            <w:r>
              <w:t>ų</w:t>
            </w:r>
            <w:r>
              <w:t>.</w:t>
            </w:r>
          </w:p>
          <w:p w:rsidR="00E10AAF" w:rsidRDefault="00E10AAF" w:rsidP="00E10AAF">
            <w:pPr>
              <w:contextualSpacing/>
              <w:jc w:val="both"/>
            </w:pPr>
            <w:r>
              <w:t xml:space="preserve"> Kartu su pasi</w:t>
            </w:r>
            <w:r>
              <w:t>ū</w:t>
            </w:r>
            <w:r>
              <w:t>lymu pateikti tinklelio palet</w:t>
            </w:r>
            <w:r>
              <w:t>ę</w:t>
            </w:r>
            <w:r>
              <w:t>, s</w:t>
            </w:r>
            <w:r>
              <w:t>ė</w:t>
            </w:r>
            <w:r>
              <w:t>dimos dalies gobeleno palet</w:t>
            </w:r>
            <w:r>
              <w:t>ę</w:t>
            </w:r>
            <w:r>
              <w:t xml:space="preserve"> (kurioje b</w:t>
            </w:r>
            <w:r>
              <w:t>ū</w:t>
            </w:r>
            <w:r>
              <w:t>t</w:t>
            </w:r>
            <w:r>
              <w:t>ų</w:t>
            </w:r>
            <w:r>
              <w:t xml:space="preserve"> pilkos spalvos ir pana</w:t>
            </w:r>
            <w:r>
              <w:t>š</w:t>
            </w:r>
            <w:r>
              <w:t>i</w:t>
            </w:r>
            <w:r>
              <w:t>ų</w:t>
            </w:r>
            <w:r>
              <w:t xml:space="preserve"> atspalvi</w:t>
            </w:r>
            <w:r>
              <w:t>ų</w:t>
            </w:r>
            <w:r>
              <w:t>). Atlo</w:t>
            </w:r>
            <w:r>
              <w:t>š</w:t>
            </w:r>
            <w:r>
              <w:t xml:space="preserve">o </w:t>
            </w:r>
            <w:r>
              <w:lastRenderedPageBreak/>
              <w:t>vir</w:t>
            </w:r>
            <w:r>
              <w:t>š</w:t>
            </w:r>
            <w:r>
              <w:t>uje turi b</w:t>
            </w:r>
            <w:r>
              <w:t>ū</w:t>
            </w:r>
            <w:r>
              <w:t>ti rankena k</w:t>
            </w:r>
            <w:r>
              <w:t>ė</w:t>
            </w:r>
            <w:r>
              <w:t>dei atitraukti nelie</w:t>
            </w:r>
            <w:r>
              <w:t>č</w:t>
            </w:r>
            <w:r>
              <w:t>iant tinklelio. Atlo</w:t>
            </w:r>
            <w:r>
              <w:t>š</w:t>
            </w:r>
            <w:r>
              <w:t>o tinklelis turi b</w:t>
            </w:r>
            <w:r>
              <w:t>ū</w:t>
            </w:r>
            <w:r>
              <w:t xml:space="preserve">ti </w:t>
            </w:r>
            <w:r>
              <w:t>į</w:t>
            </w:r>
            <w:r>
              <w:t>temptas plastiko r</w:t>
            </w:r>
            <w:r>
              <w:t>ė</w:t>
            </w:r>
            <w:r>
              <w:t>melyje, kurio plotis aplink i</w:t>
            </w:r>
            <w:r>
              <w:t>š</w:t>
            </w:r>
            <w:r>
              <w:t xml:space="preserve"> 3 kra</w:t>
            </w:r>
            <w:r>
              <w:t>š</w:t>
            </w:r>
            <w:r>
              <w:t>tini</w:t>
            </w:r>
            <w:r>
              <w:t>ų</w:t>
            </w:r>
            <w:r>
              <w:t xml:space="preserve"> (+/- 1 mm) 30 mm, juodos spalvos. Atlo</w:t>
            </w:r>
            <w:r>
              <w:t>š</w:t>
            </w:r>
            <w:r>
              <w:t>as turi b</w:t>
            </w:r>
            <w:r>
              <w:t>ū</w:t>
            </w:r>
            <w:r>
              <w:t>ti pritvirtintas prie s</w:t>
            </w:r>
            <w:r>
              <w:t>ė</w:t>
            </w:r>
            <w:r>
              <w:t>dimos dalies mechanizmo Y Formos plastikine detale, kuri jungia atlo</w:t>
            </w:r>
            <w:r>
              <w:t>šą</w:t>
            </w:r>
            <w:r>
              <w:t xml:space="preserve"> kra</w:t>
            </w:r>
            <w:r>
              <w:t>š</w:t>
            </w:r>
            <w:r>
              <w:t>tuose (+/- 1 mm) 50mm plo</w:t>
            </w:r>
            <w:r>
              <w:t>č</w:t>
            </w:r>
            <w:r>
              <w:t>io ir atlo</w:t>
            </w:r>
            <w:r>
              <w:t>šą</w:t>
            </w:r>
            <w:r>
              <w:t xml:space="preserve"> apa</w:t>
            </w:r>
            <w:r>
              <w:t>č</w:t>
            </w:r>
            <w:r>
              <w:t>ioje (+/- 1 mm) 160 mm plo</w:t>
            </w:r>
            <w:r>
              <w:t>č</w:t>
            </w:r>
            <w:r>
              <w:t>io. Atlo</w:t>
            </w:r>
            <w:r>
              <w:t>š</w:t>
            </w:r>
            <w:r>
              <w:t>as turi b</w:t>
            </w:r>
            <w:r>
              <w:t>ū</w:t>
            </w:r>
            <w:r>
              <w:t>ti  reguliuojamo auk</w:t>
            </w:r>
            <w:r>
              <w:t>šč</w:t>
            </w:r>
            <w:r>
              <w:t xml:space="preserve">io. </w:t>
            </w:r>
          </w:p>
          <w:p w:rsidR="00E10AAF" w:rsidRDefault="00E10AAF" w:rsidP="00E10AAF">
            <w:pPr>
              <w:contextualSpacing/>
              <w:jc w:val="both"/>
            </w:pPr>
            <w:r>
              <w:t>K</w:t>
            </w:r>
            <w:r>
              <w:t>ė</w:t>
            </w:r>
            <w:r>
              <w:t>d</w:t>
            </w:r>
            <w:r>
              <w:t>ė</w:t>
            </w:r>
            <w:r>
              <w:t>s plotis (+/- 1 mm) 650 mm. S</w:t>
            </w:r>
            <w:r>
              <w:t>ė</w:t>
            </w:r>
            <w:r>
              <w:t>dyn</w:t>
            </w:r>
            <w:r>
              <w:t>ė</w:t>
            </w:r>
            <w:r>
              <w:t>s gylis D=460. K</w:t>
            </w:r>
            <w:r>
              <w:t>ė</w:t>
            </w:r>
            <w:r>
              <w:t>d</w:t>
            </w:r>
            <w:r>
              <w:t>ė</w:t>
            </w:r>
            <w:r>
              <w:t>s auk</w:t>
            </w:r>
            <w:r>
              <w:t>š</w:t>
            </w:r>
            <w:r>
              <w:t>tis H=990-1170.  Atlo</w:t>
            </w:r>
            <w:r>
              <w:t>š</w:t>
            </w:r>
            <w:r>
              <w:t>o auk</w:t>
            </w:r>
            <w:r>
              <w:t>š</w:t>
            </w:r>
            <w:r>
              <w:t xml:space="preserve">tis (+/- 1 mm) 600 mm, </w:t>
            </w:r>
            <w:r>
              <w:t>ž</w:t>
            </w:r>
            <w:r>
              <w:t>vaig</w:t>
            </w:r>
            <w:r>
              <w:t>ž</w:t>
            </w:r>
            <w:r>
              <w:t>d</w:t>
            </w:r>
            <w:r>
              <w:t>ė</w:t>
            </w:r>
            <w:r>
              <w:t xml:space="preserve">s diametras (+/- 1 mm) 640 mm. </w:t>
            </w:r>
          </w:p>
          <w:p w:rsidR="00E10AAF" w:rsidRDefault="00E10AAF" w:rsidP="00E10AAF">
            <w:pPr>
              <w:contextualSpacing/>
              <w:jc w:val="both"/>
            </w:pPr>
            <w:r>
              <w:t>Darbuotojo k</w:t>
            </w:r>
            <w:r>
              <w:t>ė</w:t>
            </w:r>
            <w:r>
              <w:t>d</w:t>
            </w:r>
            <w:r>
              <w:t>ė</w:t>
            </w:r>
            <w:r>
              <w:t>s atlo</w:t>
            </w:r>
            <w:r>
              <w:t>š</w:t>
            </w:r>
            <w:r>
              <w:t>as: taisyklingo sta</w:t>
            </w:r>
            <w:r>
              <w:t>č</w:t>
            </w:r>
            <w:r>
              <w:t>iakampio formos, aptrauktas tekstiliniu tinkleliu.</w:t>
            </w:r>
          </w:p>
          <w:p w:rsidR="00E10AAF" w:rsidRDefault="00E10AAF" w:rsidP="00E10AAF">
            <w:pPr>
              <w:contextualSpacing/>
              <w:jc w:val="both"/>
            </w:pPr>
            <w:r>
              <w:t>Darbuotojo k</w:t>
            </w:r>
            <w:r>
              <w:t>ė</w:t>
            </w:r>
            <w:r>
              <w:t>d</w:t>
            </w:r>
            <w:r>
              <w:t>ė</w:t>
            </w:r>
            <w:r>
              <w:t>s s</w:t>
            </w:r>
            <w:r>
              <w:t>ė</w:t>
            </w:r>
            <w:r>
              <w:t xml:space="preserve">dimoji dalis: aptraukta gobelenu, tvirtinama ant juodos </w:t>
            </w:r>
            <w:r>
              <w:t>ž</w:t>
            </w:r>
            <w:r>
              <w:t>vaig</w:t>
            </w:r>
            <w:r>
              <w:t>ž</w:t>
            </w:r>
            <w:r>
              <w:t>d</w:t>
            </w:r>
            <w:r>
              <w:t>ė</w:t>
            </w:r>
            <w:r>
              <w:t>s su ratukais, kurie pritaikyti PVC arba kietai akmens mas</w:t>
            </w:r>
            <w:r>
              <w:t>ė</w:t>
            </w:r>
            <w:r>
              <w:t>s plyteli</w:t>
            </w:r>
            <w:r>
              <w:t>ų</w:t>
            </w:r>
            <w:r>
              <w:t xml:space="preserve"> grind</w:t>
            </w:r>
            <w:r>
              <w:t>ų</w:t>
            </w:r>
            <w:r>
              <w:t xml:space="preserve"> dangai. </w:t>
            </w:r>
          </w:p>
          <w:p w:rsidR="00E10AAF" w:rsidRDefault="00E10AAF" w:rsidP="00E10AAF">
            <w:pPr>
              <w:contextualSpacing/>
              <w:jc w:val="both"/>
            </w:pPr>
            <w:r>
              <w:t>Reguliuojamo auk</w:t>
            </w:r>
            <w:r>
              <w:t>šč</w:t>
            </w:r>
            <w:r>
              <w:t xml:space="preserve">io </w:t>
            </w:r>
            <w:proofErr w:type="spellStart"/>
            <w:r>
              <w:t>porankiai</w:t>
            </w:r>
            <w:proofErr w:type="spellEnd"/>
            <w:r>
              <w:t xml:space="preserve">: su poliuretano Atrama </w:t>
            </w:r>
            <w:r>
              <w:t>„</w:t>
            </w:r>
            <w:proofErr w:type="spellStart"/>
            <w:r>
              <w:t>soft</w:t>
            </w:r>
            <w:proofErr w:type="spellEnd"/>
            <w:r>
              <w:t>“</w:t>
            </w:r>
            <w:r>
              <w:t xml:space="preserve"> tipo, su pamink</w:t>
            </w:r>
            <w:r>
              <w:t>š</w:t>
            </w:r>
            <w:r>
              <w:t>tinimu i</w:t>
            </w:r>
            <w:r>
              <w:t>š</w:t>
            </w:r>
            <w:r>
              <w:t xml:space="preserve"> i</w:t>
            </w:r>
            <w:r>
              <w:t>š</w:t>
            </w:r>
            <w:r>
              <w:t>or</w:t>
            </w:r>
            <w:r>
              <w:t>ė</w:t>
            </w:r>
            <w:r>
              <w:t>s u</w:t>
            </w:r>
            <w:r>
              <w:t>ž</w:t>
            </w:r>
            <w:r>
              <w:t xml:space="preserve">apvalintos trapecijos formos. </w:t>
            </w:r>
          </w:p>
          <w:p w:rsidR="00E10AAF" w:rsidRDefault="00E10AAF" w:rsidP="00E10AAF">
            <w:pPr>
              <w:contextualSpacing/>
              <w:jc w:val="both"/>
            </w:pPr>
            <w:r>
              <w:t>K</w:t>
            </w:r>
            <w:r>
              <w:t>ė</w:t>
            </w:r>
            <w:r>
              <w:t>d</w:t>
            </w:r>
            <w:r>
              <w:t>ė</w:t>
            </w:r>
            <w:r>
              <w:t>s atlo</w:t>
            </w:r>
            <w:r>
              <w:t>š</w:t>
            </w:r>
            <w:r>
              <w:t>as ir s</w:t>
            </w:r>
            <w:r>
              <w:t>ė</w:t>
            </w:r>
            <w:r>
              <w:t>dimoji dalis turi b</w:t>
            </w:r>
            <w:r>
              <w:t>ū</w:t>
            </w:r>
            <w:r>
              <w:t>ti atskiri ir pritaikyti reguliavimui nepriklausomai vienas nuo kito. K</w:t>
            </w:r>
            <w:r>
              <w:t>ė</w:t>
            </w:r>
            <w:r>
              <w:t>d</w:t>
            </w:r>
            <w:r>
              <w:t>ė</w:t>
            </w:r>
            <w:r>
              <w:t xml:space="preserve"> turi tur</w:t>
            </w:r>
            <w:r>
              <w:t>ė</w:t>
            </w:r>
            <w:r>
              <w:t>ti s</w:t>
            </w:r>
            <w:r>
              <w:t>ė</w:t>
            </w:r>
            <w:r>
              <w:t>dimosios dalies auk</w:t>
            </w:r>
            <w:r>
              <w:t>šč</w:t>
            </w:r>
            <w:r>
              <w:t>io reguliavimo mechanizm</w:t>
            </w:r>
            <w:r>
              <w:t>ą</w:t>
            </w:r>
            <w:r>
              <w:t xml:space="preserve"> ir sinchronin</w:t>
            </w:r>
            <w:r>
              <w:t>į</w:t>
            </w:r>
            <w:r>
              <w:t xml:space="preserve"> mechanizm</w:t>
            </w:r>
            <w:r>
              <w:t>ą</w:t>
            </w:r>
            <w:r>
              <w:t xml:space="preserve"> fiksuojam</w:t>
            </w:r>
            <w:r>
              <w:t>ą</w:t>
            </w:r>
            <w:r>
              <w:t xml:space="preserve"> 5 pad</w:t>
            </w:r>
            <w:r>
              <w:t>ė</w:t>
            </w:r>
            <w:r>
              <w:t>tyse, reguliuojam</w:t>
            </w:r>
            <w:r>
              <w:t>ą</w:t>
            </w:r>
            <w:r>
              <w:t xml:space="preserve"> pasiprie</w:t>
            </w:r>
            <w:r>
              <w:t>š</w:t>
            </w:r>
            <w:r>
              <w:t>inim</w:t>
            </w:r>
            <w:r>
              <w:t>ą</w:t>
            </w:r>
            <w:r>
              <w:t xml:space="preserve"> atsilo</w:t>
            </w:r>
            <w:r>
              <w:t>š</w:t>
            </w:r>
            <w:r>
              <w:t>imui. K</w:t>
            </w:r>
            <w:r>
              <w:t>ė</w:t>
            </w:r>
            <w:r>
              <w:t>d</w:t>
            </w:r>
            <w:r>
              <w:t>ė</w:t>
            </w:r>
            <w:r>
              <w:t>s atlo</w:t>
            </w:r>
            <w:r>
              <w:t>š</w:t>
            </w:r>
            <w:r>
              <w:t>as turi b</w:t>
            </w:r>
            <w:r>
              <w:t>ū</w:t>
            </w:r>
            <w:r>
              <w:t>ti reguliuojamo auk</w:t>
            </w:r>
            <w:r>
              <w:t>šč</w:t>
            </w:r>
            <w:r>
              <w:t xml:space="preserve">io (+/- 1 mm) 80 mm </w:t>
            </w:r>
            <w:proofErr w:type="spellStart"/>
            <w:r>
              <w:t>diapozone</w:t>
            </w:r>
            <w:proofErr w:type="spellEnd"/>
            <w:r>
              <w:t>. Tinklelis turi b</w:t>
            </w:r>
            <w:r>
              <w:t>ū</w:t>
            </w:r>
            <w:r>
              <w:t>ti gaminamas i</w:t>
            </w:r>
            <w:r>
              <w:t>š</w:t>
            </w:r>
            <w:r>
              <w:t xml:space="preserve"> 75 proc. PVC ir 25 proc. poliesterio, kurio svoris yra 560g/m2, tvirtumas 100,000 cikl</w:t>
            </w:r>
            <w:r>
              <w:t>ų</w:t>
            </w:r>
            <w:r>
              <w:t xml:space="preserve"> (pagal </w:t>
            </w:r>
            <w:proofErr w:type="spellStart"/>
            <w:r>
              <w:t>Martindeilo</w:t>
            </w:r>
            <w:proofErr w:type="spellEnd"/>
            <w:r>
              <w:t xml:space="preserve"> skal</w:t>
            </w:r>
            <w:r>
              <w:t>ę</w:t>
            </w:r>
            <w:r>
              <w:t xml:space="preserve">), spalvos atsparumas 5 (EN ISO 105-B02). </w:t>
            </w:r>
          </w:p>
          <w:p w:rsidR="00E10AAF" w:rsidRDefault="00E10AAF" w:rsidP="00E10AAF">
            <w:pPr>
              <w:contextualSpacing/>
              <w:jc w:val="both"/>
            </w:pPr>
            <w:r>
              <w:t>Tinklelio pasirinkimas 24 spalv</w:t>
            </w:r>
            <w:r>
              <w:t>ų</w:t>
            </w:r>
            <w:r>
              <w:t>. K</w:t>
            </w:r>
            <w:r>
              <w:t>ė</w:t>
            </w:r>
            <w:r>
              <w:t>d</w:t>
            </w:r>
            <w:r>
              <w:t>ė</w:t>
            </w:r>
            <w:r>
              <w:t>s s</w:t>
            </w:r>
            <w:r>
              <w:t>ė</w:t>
            </w:r>
            <w:r>
              <w:t>dimoji dalis- jos pagrindas turi b</w:t>
            </w:r>
            <w:r>
              <w:t>ū</w:t>
            </w:r>
            <w:r>
              <w:t>ti pamink</w:t>
            </w:r>
            <w:r>
              <w:t>š</w:t>
            </w:r>
            <w:r>
              <w:t>tintas (+/- 1 mm) 45 mm storio poliuretano put</w:t>
            </w:r>
            <w:r>
              <w:t>ų</w:t>
            </w:r>
            <w:r>
              <w:t xml:space="preserve"> liejinio sluoksnio ir aptrauktas gobelenu. </w:t>
            </w:r>
          </w:p>
          <w:p w:rsidR="00E10AAF" w:rsidRDefault="00E10AAF" w:rsidP="00E10AAF">
            <w:pPr>
              <w:contextualSpacing/>
              <w:jc w:val="both"/>
            </w:pPr>
            <w:r>
              <w:t>Gobelenas kuriuo aptraukta s</w:t>
            </w:r>
            <w:r>
              <w:t>ė</w:t>
            </w:r>
            <w:r>
              <w:t>dyn</w:t>
            </w:r>
            <w:r>
              <w:t>ė</w:t>
            </w:r>
            <w:r>
              <w:t xml:space="preserve"> turi b</w:t>
            </w:r>
            <w:r>
              <w:t>ū</w:t>
            </w:r>
            <w:r>
              <w:t>ti 100 proc. poliesteris (turi b</w:t>
            </w:r>
            <w:r>
              <w:t>ū</w:t>
            </w:r>
            <w:r>
              <w:t xml:space="preserve">ti sertifikuotas pagal UNE EN14465; UNE-EN ISO 12947-2; </w:t>
            </w:r>
            <w:proofErr w:type="spellStart"/>
            <w:r>
              <w:t>martindeilo</w:t>
            </w:r>
            <w:proofErr w:type="spellEnd"/>
            <w:r>
              <w:t xml:space="preserve"> koeficientas 90000 cikl</w:t>
            </w:r>
            <w:r>
              <w:t>ų</w:t>
            </w:r>
            <w:r>
              <w:t xml:space="preserve">, trinties koeficientas 5 pagal UNE-NE ISO 12945-2;2001, atsparumas </w:t>
            </w:r>
            <w:r>
              <w:t>š</w:t>
            </w:r>
            <w:r>
              <w:t>viesai koeficientas 6 pagal UNE-EN ISO 105-B02).</w:t>
            </w:r>
          </w:p>
          <w:p w:rsidR="00E10AAF" w:rsidRDefault="00E10AAF" w:rsidP="00E10AAF">
            <w:pPr>
              <w:contextualSpacing/>
              <w:jc w:val="both"/>
            </w:pPr>
            <w:r>
              <w:t>K</w:t>
            </w:r>
            <w:r>
              <w:t>ė</w:t>
            </w:r>
            <w:r>
              <w:t>d</w:t>
            </w:r>
            <w:r>
              <w:t>ė</w:t>
            </w:r>
            <w:r>
              <w:t xml:space="preserve"> turi atitikti UNE EN 1335-1, UNE EN 1335-2, ir UNE EN 1335-3. </w:t>
            </w:r>
          </w:p>
          <w:p w:rsidR="00E10AAF" w:rsidRDefault="00E10AAF" w:rsidP="00E10AAF">
            <w:pPr>
              <w:contextualSpacing/>
              <w:jc w:val="both"/>
            </w:pPr>
            <w:r>
              <w:t>Baz</w:t>
            </w:r>
            <w:r>
              <w:t>ė</w:t>
            </w:r>
            <w:r>
              <w:t xml:space="preserve">s, </w:t>
            </w:r>
            <w:proofErr w:type="spellStart"/>
            <w:r>
              <w:t>poranki</w:t>
            </w:r>
            <w:r>
              <w:t>ų</w:t>
            </w:r>
            <w:proofErr w:type="spellEnd"/>
            <w:r>
              <w:t xml:space="preserve"> ir kit</w:t>
            </w:r>
            <w:r>
              <w:t>ų</w:t>
            </w:r>
            <w:r>
              <w:t xml:space="preserve"> detali</w:t>
            </w:r>
            <w:r>
              <w:t>ų</w:t>
            </w:r>
            <w:r>
              <w:t xml:space="preserve"> spalva juoda.</w:t>
            </w:r>
          </w:p>
          <w:p w:rsidR="00E10AAF" w:rsidRDefault="00E10AAF" w:rsidP="00E10AAF">
            <w:pPr>
              <w:contextualSpacing/>
              <w:jc w:val="both"/>
            </w:pPr>
            <w:r>
              <w:t>Nurodyti gamintoj</w:t>
            </w:r>
            <w:r>
              <w:t>ą</w:t>
            </w:r>
            <w:r>
              <w:t>, model</w:t>
            </w:r>
            <w:r>
              <w:t>į</w:t>
            </w:r>
            <w:r>
              <w:t>.</w:t>
            </w:r>
          </w:p>
          <w:p w:rsidR="00E10AAF" w:rsidRPr="00770AE2" w:rsidRDefault="00E10AAF" w:rsidP="00E10AAF">
            <w:pPr>
              <w:contextualSpacing/>
              <w:jc w:val="both"/>
              <w:rPr>
                <w:rFonts w:hAnsi="Times New Roman" w:cs="Times New Roman"/>
                <w:i/>
              </w:rPr>
            </w:pPr>
            <w:r w:rsidRPr="00770AE2">
              <w:rPr>
                <w:rFonts w:hAnsi="Times New Roman" w:cs="Times New Roman"/>
                <w:b/>
                <w:i/>
              </w:rPr>
              <w:t xml:space="preserve">Pateikti </w:t>
            </w:r>
            <w:r w:rsidRPr="00770AE2">
              <w:rPr>
                <w:rFonts w:hAnsi="Times New Roman" w:cs="Times New Roman"/>
                <w:i/>
              </w:rPr>
              <w:t>sertifikatų EN 1335-1, EN 1335-2, EN 1335-3 (arba lygiaverčių) su bandymo protokolais skaitmenines kopijas.</w:t>
            </w:r>
          </w:p>
          <w:p w:rsidR="00E10AAF" w:rsidRDefault="00E10AAF" w:rsidP="00E10AAF">
            <w:pPr>
              <w:contextualSpacing/>
              <w:jc w:val="both"/>
              <w:rPr>
                <w:rFonts w:hAnsi="Times New Roman" w:cs="Times New Roman"/>
              </w:rPr>
            </w:pPr>
            <w:r w:rsidRPr="00770AE2">
              <w:rPr>
                <w:rFonts w:hAnsi="Times New Roman" w:cs="Times New Roman"/>
                <w:i/>
              </w:rPr>
              <w:lastRenderedPageBreak/>
              <w:t>Pateikti gobeleno savybes įrodančių sertifikatų skaitmenines kopijas</w:t>
            </w:r>
          </w:p>
        </w:tc>
        <w:tc>
          <w:tcPr>
            <w:tcW w:w="1134" w:type="dxa"/>
          </w:tcPr>
          <w:p w:rsidR="00E10AAF" w:rsidRDefault="00D12C2C" w:rsidP="00E10AAF">
            <w:pPr>
              <w:contextualSpacing/>
              <w:rPr>
                <w:rFonts w:hAnsi="Times New Roman" w:cs="Times New Roman"/>
              </w:rPr>
            </w:pPr>
            <w:r>
              <w:rPr>
                <w:rFonts w:hAnsi="Times New Roman" w:cs="Times New Roman"/>
              </w:rPr>
              <w:lastRenderedPageBreak/>
              <w:t>25</w:t>
            </w:r>
          </w:p>
        </w:tc>
        <w:tc>
          <w:tcPr>
            <w:tcW w:w="4819" w:type="dxa"/>
          </w:tcPr>
          <w:p w:rsidR="00E10AAF" w:rsidRDefault="00E10AAF" w:rsidP="00E10AAF">
            <w:pPr>
              <w:contextualSpacing/>
              <w:rPr>
                <w:rFonts w:hAnsi="Times New Roman" w:cs="Times New Roman"/>
              </w:rPr>
            </w:pPr>
            <w:r>
              <w:rPr>
                <w:noProof/>
                <w:lang w:eastAsia="lt-LT"/>
              </w:rPr>
              <w:drawing>
                <wp:inline distT="0" distB="0" distL="0" distR="0" wp14:anchorId="3C4FEA0C" wp14:editId="60D29D55">
                  <wp:extent cx="1831920" cy="1844280"/>
                  <wp:effectExtent l="0" t="0" r="0" b="3810"/>
                  <wp:docPr id="7" name="Image 10"/>
                  <wp:cNvGraphicFramePr/>
                  <a:graphic xmlns:a="http://schemas.openxmlformats.org/drawingml/2006/main">
                    <a:graphicData uri="http://schemas.openxmlformats.org/drawingml/2006/picture">
                      <pic:pic xmlns:pic="http://schemas.openxmlformats.org/drawingml/2006/picture">
                        <pic:nvPicPr>
                          <pic:cNvPr id="7" name="Image 10"/>
                          <pic:cNvPicPr/>
                        </pic:nvPicPr>
                        <pic:blipFill>
                          <a:blip r:embed="rId4"/>
                          <a:stretch/>
                        </pic:blipFill>
                        <pic:spPr>
                          <a:xfrm>
                            <a:off x="0" y="0"/>
                            <a:ext cx="1831920" cy="1844280"/>
                          </a:xfrm>
                          <a:prstGeom prst="rect">
                            <a:avLst/>
                          </a:prstGeom>
                          <a:noFill/>
                          <a:ln w="0">
                            <a:noFill/>
                          </a:ln>
                        </pic:spPr>
                      </pic:pic>
                    </a:graphicData>
                  </a:graphic>
                </wp:inline>
              </w:drawing>
            </w:r>
          </w:p>
        </w:tc>
      </w:tr>
      <w:tr w:rsidR="00E10AAF" w:rsidTr="00E10AAF">
        <w:tc>
          <w:tcPr>
            <w:tcW w:w="567" w:type="dxa"/>
          </w:tcPr>
          <w:p w:rsidR="00E10AAF" w:rsidRDefault="00E10AAF" w:rsidP="00E10AAF">
            <w:pPr>
              <w:contextualSpacing/>
              <w:rPr>
                <w:rFonts w:hAnsi="Times New Roman" w:cs="Times New Roman"/>
              </w:rPr>
            </w:pPr>
            <w:r>
              <w:rPr>
                <w:rFonts w:hAnsi="Times New Roman" w:cs="Times New Roman"/>
              </w:rPr>
              <w:lastRenderedPageBreak/>
              <w:t>2.</w:t>
            </w:r>
          </w:p>
        </w:tc>
        <w:tc>
          <w:tcPr>
            <w:tcW w:w="3970" w:type="dxa"/>
          </w:tcPr>
          <w:p w:rsidR="00E10AAF" w:rsidRDefault="00E10AAF" w:rsidP="00E10AAF">
            <w:pPr>
              <w:contextualSpacing/>
              <w:jc w:val="both"/>
              <w:rPr>
                <w:rFonts w:hAnsi="Times New Roman" w:cs="Times New Roman"/>
                <w:b/>
              </w:rPr>
            </w:pPr>
            <w:r w:rsidRPr="00780680">
              <w:rPr>
                <w:rFonts w:hAnsi="Times New Roman" w:cs="Times New Roman"/>
                <w:b/>
              </w:rPr>
              <w:t>Lankytojų kėdė</w:t>
            </w:r>
          </w:p>
          <w:p w:rsidR="00E10AAF" w:rsidRDefault="00E10AAF" w:rsidP="00E10AAF">
            <w:pPr>
              <w:contextualSpacing/>
              <w:jc w:val="both"/>
            </w:pPr>
            <w:r>
              <w:t>R</w:t>
            </w:r>
            <w:r>
              <w:t>ė</w:t>
            </w:r>
            <w:r>
              <w:t>mas metalinis. S</w:t>
            </w:r>
            <w:r>
              <w:t>ė</w:t>
            </w:r>
            <w:r>
              <w:t>dyn</w:t>
            </w:r>
            <w:r>
              <w:t>ė</w:t>
            </w:r>
            <w:r>
              <w:t xml:space="preserve"> ir atlo</w:t>
            </w:r>
            <w:r>
              <w:t>š</w:t>
            </w:r>
            <w:r>
              <w:t>as mink</w:t>
            </w:r>
            <w:r>
              <w:t>š</w:t>
            </w:r>
            <w:r>
              <w:t>tai aptraukti dirbtine oda. Spalva juoda. Spalvas derinti su u</w:t>
            </w:r>
            <w:r>
              <w:t>ž</w:t>
            </w:r>
            <w:r>
              <w:t xml:space="preserve">sakovu. </w:t>
            </w:r>
          </w:p>
          <w:p w:rsidR="00E10AAF" w:rsidRDefault="00E10AAF" w:rsidP="00E10AAF">
            <w:pPr>
              <w:contextualSpacing/>
            </w:pPr>
            <w:r>
              <w:t>Plotis: (+/- 1 mm) 41 cm, Auk</w:t>
            </w:r>
            <w:r>
              <w:t>š</w:t>
            </w:r>
            <w:r>
              <w:t>tis: (+/- 1 mm) 81 cm</w:t>
            </w:r>
          </w:p>
          <w:p w:rsidR="00E10AAF" w:rsidRDefault="00E10AAF" w:rsidP="00E10AAF">
            <w:pPr>
              <w:contextualSpacing/>
              <w:jc w:val="both"/>
              <w:rPr>
                <w:rFonts w:hAnsi="Times New Roman" w:cs="Times New Roman"/>
              </w:rPr>
            </w:pPr>
            <w:r>
              <w:t>Nurodyti gamintoj</w:t>
            </w:r>
            <w:r>
              <w:t>ą</w:t>
            </w:r>
            <w:r>
              <w:t>, model</w:t>
            </w:r>
            <w:r>
              <w:t>į</w:t>
            </w:r>
            <w:r>
              <w:t>.</w:t>
            </w:r>
          </w:p>
        </w:tc>
        <w:tc>
          <w:tcPr>
            <w:tcW w:w="1134" w:type="dxa"/>
          </w:tcPr>
          <w:p w:rsidR="00E10AAF" w:rsidRDefault="00D12C2C" w:rsidP="00E10AAF">
            <w:pPr>
              <w:contextualSpacing/>
              <w:rPr>
                <w:rFonts w:hAnsi="Times New Roman" w:cs="Times New Roman"/>
              </w:rPr>
            </w:pPr>
            <w:r>
              <w:rPr>
                <w:rFonts w:hAnsi="Times New Roman" w:cs="Times New Roman"/>
              </w:rPr>
              <w:t>69</w:t>
            </w:r>
            <w:bookmarkStart w:id="0" w:name="_GoBack"/>
            <w:bookmarkEnd w:id="0"/>
          </w:p>
        </w:tc>
        <w:tc>
          <w:tcPr>
            <w:tcW w:w="4819" w:type="dxa"/>
          </w:tcPr>
          <w:p w:rsidR="00E10AAF" w:rsidRDefault="00E10AAF" w:rsidP="00E10AAF">
            <w:pPr>
              <w:contextualSpacing/>
              <w:rPr>
                <w:rFonts w:hAnsi="Times New Roman" w:cs="Times New Roman"/>
              </w:rPr>
            </w:pPr>
            <w:r>
              <w:rPr>
                <w:noProof/>
                <w:lang w:eastAsia="lt-LT"/>
              </w:rPr>
              <w:drawing>
                <wp:inline distT="0" distB="0" distL="0" distR="0" wp14:anchorId="0AEAB0F4" wp14:editId="689349C5">
                  <wp:extent cx="1470240" cy="1765080"/>
                  <wp:effectExtent l="19050" t="19050" r="34925" b="26035"/>
                  <wp:docPr id="1" name="Image 2"/>
                  <wp:cNvGraphicFramePr/>
                  <a:graphic xmlns:a="http://schemas.openxmlformats.org/drawingml/2006/main">
                    <a:graphicData uri="http://schemas.openxmlformats.org/drawingml/2006/picture">
                      <pic:pic xmlns:pic="http://schemas.openxmlformats.org/drawingml/2006/picture">
                        <pic:nvPicPr>
                          <pic:cNvPr id="7" name="Image 2"/>
                          <pic:cNvPicPr/>
                        </pic:nvPicPr>
                        <pic:blipFill>
                          <a:blip r:embed="rId5"/>
                          <a:stretch/>
                        </pic:blipFill>
                        <pic:spPr>
                          <a:xfrm rot="21528000">
                            <a:off x="0" y="0"/>
                            <a:ext cx="1470240" cy="1765080"/>
                          </a:xfrm>
                          <a:prstGeom prst="rect">
                            <a:avLst/>
                          </a:prstGeom>
                          <a:noFill/>
                          <a:ln w="0">
                            <a:noFill/>
                          </a:ln>
                        </pic:spPr>
                      </pic:pic>
                    </a:graphicData>
                  </a:graphic>
                </wp:inline>
              </w:drawing>
            </w:r>
          </w:p>
        </w:tc>
      </w:tr>
    </w:tbl>
    <w:p w:rsidR="00441545" w:rsidRPr="00286EFD" w:rsidRDefault="00441545" w:rsidP="008B0F0E">
      <w:pPr>
        <w:spacing w:after="0"/>
        <w:rPr>
          <w:rFonts w:ascii="Times New Roman" w:hAnsi="Times New Roman" w:cs="Times New Roman"/>
          <w:sz w:val="24"/>
          <w:szCs w:val="24"/>
        </w:rPr>
      </w:pPr>
    </w:p>
    <w:sectPr w:rsidR="00441545" w:rsidRPr="00286E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633"/>
    <w:rsid w:val="000C14F3"/>
    <w:rsid w:val="00286EFD"/>
    <w:rsid w:val="00441545"/>
    <w:rsid w:val="004E63C4"/>
    <w:rsid w:val="006D7A7C"/>
    <w:rsid w:val="00871CB8"/>
    <w:rsid w:val="008B0F0E"/>
    <w:rsid w:val="00C0589F"/>
    <w:rsid w:val="00D0734C"/>
    <w:rsid w:val="00D12C2C"/>
    <w:rsid w:val="00E10AAF"/>
    <w:rsid w:val="00E11262"/>
    <w:rsid w:val="00EF36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44A06"/>
  <w15:chartTrackingRefBased/>
  <w15:docId w15:val="{05BC12FB-BCF8-4C21-8977-F55E0121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154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3404</Words>
  <Characters>1941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Džiužaitė</dc:creator>
  <cp:keywords/>
  <dc:description/>
  <cp:lastModifiedBy>Lina Džiužaitė</cp:lastModifiedBy>
  <cp:revision>6</cp:revision>
  <dcterms:created xsi:type="dcterms:W3CDTF">2026-03-18T08:12:00Z</dcterms:created>
  <dcterms:modified xsi:type="dcterms:W3CDTF">2026-03-18T08:23:00Z</dcterms:modified>
</cp:coreProperties>
</file>