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B4B0" w14:textId="63A8AB8C" w:rsidR="00BA4CBE" w:rsidRDefault="00BA4CBE" w:rsidP="00BA4CBE">
      <w:pPr>
        <w:pStyle w:val="Sraopastraipa"/>
        <w:tabs>
          <w:tab w:val="left" w:pos="720"/>
        </w:tabs>
        <w:spacing w:after="0" w:line="240" w:lineRule="auto"/>
        <w:ind w:left="0"/>
        <w:contextualSpacing w:val="0"/>
        <w:jc w:val="center"/>
        <w:rPr>
          <w:rFonts w:ascii="Times New Roman" w:hAnsi="Times New Roman" w:cs="Times New Roman"/>
          <w:b/>
          <w:color w:val="000000"/>
          <w:sz w:val="24"/>
          <w:szCs w:val="24"/>
        </w:rPr>
      </w:pPr>
      <w:r w:rsidRPr="00BE7E74">
        <w:rPr>
          <w:rFonts w:ascii="Times New Roman" w:hAnsi="Times New Roman" w:cs="Times New Roman"/>
          <w:b/>
          <w:color w:val="000000"/>
          <w:sz w:val="24"/>
          <w:szCs w:val="24"/>
        </w:rPr>
        <w:t>TIEKĖJŲ KVALIFIKACIJOS REIKALAVIM</w:t>
      </w:r>
      <w:r>
        <w:rPr>
          <w:rFonts w:ascii="Times New Roman" w:hAnsi="Times New Roman" w:cs="Times New Roman"/>
          <w:b/>
          <w:color w:val="000000"/>
          <w:sz w:val="24"/>
          <w:szCs w:val="24"/>
        </w:rPr>
        <w:t>AI</w:t>
      </w:r>
    </w:p>
    <w:p w14:paraId="39E7BF4C" w14:textId="77777777" w:rsidR="0018013B" w:rsidRDefault="0018013B" w:rsidP="0018013B">
      <w:pPr>
        <w:tabs>
          <w:tab w:val="left" w:pos="720"/>
        </w:tabs>
        <w:jc w:val="both"/>
        <w:rPr>
          <w:rFonts w:eastAsia="Calibri"/>
        </w:rPr>
      </w:pPr>
    </w:p>
    <w:p w14:paraId="580C9AE3" w14:textId="1032A00B" w:rsidR="0018013B" w:rsidRDefault="0018013B" w:rsidP="0018013B">
      <w:pPr>
        <w:tabs>
          <w:tab w:val="left" w:pos="720"/>
        </w:tabs>
        <w:jc w:val="both"/>
        <w:rPr>
          <w:rFonts w:eastAsia="Calibri"/>
        </w:rPr>
      </w:pPr>
      <w:r w:rsidRPr="00ED25D5">
        <w:rPr>
          <w:rFonts w:eastAsia="Calibri"/>
        </w:rPr>
        <w:t xml:space="preserve">Tiekėjas turi atitikti šiuos kvalifikacijos reikalavimus </w:t>
      </w:r>
      <w:r w:rsidRPr="00ED25D5">
        <w:rPr>
          <w:rFonts w:eastAsia="Calibri"/>
          <w:b/>
        </w:rPr>
        <w:t xml:space="preserve">(kvalifikacija turi būti įgyta </w:t>
      </w:r>
      <w:r>
        <w:rPr>
          <w:rFonts w:eastAsia="Calibri"/>
          <w:b/>
        </w:rPr>
        <w:t xml:space="preserve">ne vėliau kaip per 3 mėnesius </w:t>
      </w:r>
      <w:r w:rsidR="00356033">
        <w:rPr>
          <w:rFonts w:eastAsia="Calibri"/>
          <w:b/>
        </w:rPr>
        <w:t xml:space="preserve">nuo sutarties </w:t>
      </w:r>
      <w:r w:rsidR="007D069C">
        <w:rPr>
          <w:rFonts w:eastAsia="Calibri"/>
          <w:b/>
        </w:rPr>
        <w:t>įsigaliojimo</w:t>
      </w:r>
      <w:r w:rsidR="00356033">
        <w:rPr>
          <w:rFonts w:eastAsia="Calibri"/>
          <w:b/>
        </w:rPr>
        <w:t xml:space="preserve"> dienos</w:t>
      </w:r>
      <w:r w:rsidRPr="00ED25D5">
        <w:rPr>
          <w:rFonts w:eastAsia="Calibri"/>
          <w:b/>
        </w:rPr>
        <w:t>)</w:t>
      </w:r>
      <w:r w:rsidRPr="00ED25D5">
        <w:rPr>
          <w:rFonts w:eastAsia="Calibri"/>
        </w:rPr>
        <w:t>:</w:t>
      </w:r>
    </w:p>
    <w:p w14:paraId="58C9FD70" w14:textId="77777777" w:rsidR="0018013B" w:rsidRPr="00BE7E74" w:rsidRDefault="0018013B" w:rsidP="00BA4CBE">
      <w:pPr>
        <w:pStyle w:val="Sraopastraipa"/>
        <w:tabs>
          <w:tab w:val="left" w:pos="720"/>
        </w:tabs>
        <w:spacing w:after="0" w:line="240" w:lineRule="auto"/>
        <w:ind w:left="0"/>
        <w:contextualSpacing w:val="0"/>
        <w:jc w:val="center"/>
        <w:rPr>
          <w:rFonts w:ascii="Times New Roman" w:hAnsi="Times New Roman" w:cs="Times New Roman"/>
          <w:b/>
          <w:color w:val="000000"/>
          <w:sz w:val="24"/>
          <w:szCs w:val="24"/>
        </w:rPr>
      </w:pPr>
    </w:p>
    <w:tbl>
      <w:tblPr>
        <w:tblStyle w:val="Lentelstinklelis"/>
        <w:tblW w:w="0" w:type="auto"/>
        <w:tblLook w:val="04A0" w:firstRow="1" w:lastRow="0" w:firstColumn="1" w:lastColumn="0" w:noHBand="0" w:noVBand="1"/>
      </w:tblPr>
      <w:tblGrid>
        <w:gridCol w:w="570"/>
        <w:gridCol w:w="5521"/>
        <w:gridCol w:w="3827"/>
      </w:tblGrid>
      <w:tr w:rsidR="00832AB4" w:rsidRPr="00832AB4" w14:paraId="18A11330" w14:textId="77777777" w:rsidTr="0450A97C">
        <w:tc>
          <w:tcPr>
            <w:tcW w:w="570" w:type="dxa"/>
          </w:tcPr>
          <w:p w14:paraId="270F152E" w14:textId="77777777" w:rsidR="00832AB4" w:rsidRPr="00832AB4" w:rsidRDefault="00832AB4" w:rsidP="00A8452F">
            <w:pPr>
              <w:tabs>
                <w:tab w:val="left" w:pos="720"/>
              </w:tabs>
              <w:jc w:val="center"/>
              <w:rPr>
                <w:rFonts w:eastAsia="Calibri"/>
                <w:b/>
                <w:bCs/>
                <w:lang w:val="lt-LT"/>
              </w:rPr>
            </w:pPr>
            <w:r w:rsidRPr="00832AB4">
              <w:rPr>
                <w:rFonts w:eastAsia="Calibri"/>
                <w:b/>
                <w:bCs/>
                <w:lang w:val="lt-LT"/>
              </w:rPr>
              <w:t>Eil. Nr.</w:t>
            </w:r>
          </w:p>
        </w:tc>
        <w:tc>
          <w:tcPr>
            <w:tcW w:w="5521" w:type="dxa"/>
          </w:tcPr>
          <w:p w14:paraId="08AC537D" w14:textId="77777777" w:rsidR="00832AB4" w:rsidRPr="00832AB4" w:rsidRDefault="00832AB4" w:rsidP="00A8452F">
            <w:pPr>
              <w:tabs>
                <w:tab w:val="left" w:pos="720"/>
              </w:tabs>
              <w:jc w:val="center"/>
              <w:rPr>
                <w:rFonts w:eastAsia="Calibri"/>
                <w:b/>
                <w:bCs/>
                <w:lang w:val="lt-LT"/>
              </w:rPr>
            </w:pPr>
            <w:r w:rsidRPr="0450A97C">
              <w:rPr>
                <w:rFonts w:eastAsia="Calibri"/>
                <w:b/>
                <w:bCs/>
                <w:lang w:val="lt-LT"/>
              </w:rPr>
              <w:t>Kvalifikacijos reikalavimai</w:t>
            </w:r>
          </w:p>
        </w:tc>
        <w:tc>
          <w:tcPr>
            <w:tcW w:w="3827" w:type="dxa"/>
          </w:tcPr>
          <w:p w14:paraId="560BAAB7" w14:textId="77777777" w:rsidR="00832AB4" w:rsidRPr="00832AB4" w:rsidRDefault="00832AB4" w:rsidP="00A8452F">
            <w:pPr>
              <w:tabs>
                <w:tab w:val="left" w:pos="720"/>
              </w:tabs>
              <w:jc w:val="center"/>
              <w:rPr>
                <w:rFonts w:eastAsia="Calibri"/>
                <w:b/>
                <w:bCs/>
                <w:lang w:val="lt-LT"/>
              </w:rPr>
            </w:pPr>
            <w:r w:rsidRPr="00832AB4">
              <w:rPr>
                <w:rFonts w:eastAsia="Calibri"/>
                <w:b/>
                <w:bCs/>
                <w:lang w:val="lt-LT"/>
              </w:rPr>
              <w:t>Kvalifikacijos reikalavimus įrodantys dokumentai*</w:t>
            </w:r>
          </w:p>
        </w:tc>
      </w:tr>
      <w:tr w:rsidR="00832AB4" w:rsidRPr="00832AB4" w14:paraId="5242EF0E" w14:textId="77777777" w:rsidTr="0450A97C">
        <w:tc>
          <w:tcPr>
            <w:tcW w:w="570" w:type="dxa"/>
          </w:tcPr>
          <w:p w14:paraId="7669D0B5" w14:textId="77777777" w:rsidR="00832AB4" w:rsidRPr="00832AB4" w:rsidRDefault="00832AB4" w:rsidP="00A8452F">
            <w:pPr>
              <w:tabs>
                <w:tab w:val="left" w:pos="720"/>
              </w:tabs>
              <w:jc w:val="center"/>
              <w:rPr>
                <w:rFonts w:eastAsia="Calibri"/>
                <w:lang w:val="lt-LT"/>
              </w:rPr>
            </w:pPr>
            <w:r w:rsidRPr="00832AB4">
              <w:rPr>
                <w:rFonts w:eastAsia="Calibri"/>
                <w:lang w:val="lt-LT"/>
              </w:rPr>
              <w:t xml:space="preserve">1. </w:t>
            </w:r>
          </w:p>
        </w:tc>
        <w:tc>
          <w:tcPr>
            <w:tcW w:w="5521" w:type="dxa"/>
          </w:tcPr>
          <w:p w14:paraId="4B6181DE" w14:textId="63FD72C3" w:rsidR="008C28DB" w:rsidRDefault="008C28DB" w:rsidP="00A8452F">
            <w:pPr>
              <w:jc w:val="both"/>
              <w:rPr>
                <w:rFonts w:eastAsia="Calibri"/>
                <w:lang w:val="lt-LT"/>
              </w:rPr>
            </w:pPr>
            <w:r w:rsidRPr="008C28DB">
              <w:rPr>
                <w:rFonts w:eastAsia="Calibri"/>
                <w:lang w:val="lt-LT"/>
              </w:rPr>
              <w:t xml:space="preserve">Paslaugų teikėjas turi turėti IT įrankį draudimo sutarčių ir žalų administravimui (esamą (šiuo metu jau veikiantį) arba būsimą (kurį įsidiegs pirkimo laimėjimo atveju)):  </w:t>
            </w:r>
          </w:p>
          <w:p w14:paraId="3FA98A5D" w14:textId="77777777" w:rsidR="008C28DB" w:rsidRDefault="008C28DB" w:rsidP="00A8452F">
            <w:pPr>
              <w:jc w:val="both"/>
              <w:rPr>
                <w:rFonts w:eastAsia="Calibri"/>
                <w:lang w:val="lt-LT"/>
              </w:rPr>
            </w:pPr>
          </w:p>
          <w:p w14:paraId="3F3BE942" w14:textId="77777777" w:rsidR="009000AC" w:rsidRPr="009000AC" w:rsidRDefault="009000AC" w:rsidP="009000AC">
            <w:pPr>
              <w:jc w:val="both"/>
              <w:rPr>
                <w:rFonts w:eastAsia="Calibri"/>
              </w:rPr>
            </w:pPr>
            <w:r w:rsidRPr="009000AC">
              <w:rPr>
                <w:rFonts w:eastAsia="Calibri"/>
              </w:rPr>
              <w:t>Šio įrankio pagalba Užsakovas perduoda informaciją, susijusią su įvykusiais įvykiais: perduoda įvykio aprašymą, aplinkybes, prideda reikiamus dokumentus (nuotraukas, paaiškinimus, sąskaitas už atliktus darbus ir kitus reikalingus dokumentus žalos administravimui</w:t>
            </w:r>
            <w:proofErr w:type="gramStart"/>
            <w:r w:rsidRPr="009000AC">
              <w:rPr>
                <w:rFonts w:eastAsia="Calibri"/>
              </w:rPr>
              <w:t>);</w:t>
            </w:r>
            <w:proofErr w:type="gramEnd"/>
          </w:p>
          <w:p w14:paraId="787057F3" w14:textId="77777777" w:rsidR="009000AC" w:rsidRPr="009000AC" w:rsidRDefault="009000AC" w:rsidP="009000AC">
            <w:pPr>
              <w:jc w:val="both"/>
              <w:rPr>
                <w:rFonts w:eastAsia="Calibri"/>
              </w:rPr>
            </w:pPr>
            <w:r w:rsidRPr="009000AC">
              <w:rPr>
                <w:rFonts w:eastAsia="Calibri"/>
              </w:rPr>
              <w:t>2. Paslaugų teikėjas ir Užsakovas bendravimą dėl konkretaus įvykio vykdo Tiekėjo IT sistemoje, kurioje saugoma visa komunikavimo istorija.</w:t>
            </w:r>
          </w:p>
          <w:p w14:paraId="08EAF05B" w14:textId="77777777" w:rsidR="009000AC" w:rsidRPr="009000AC" w:rsidRDefault="009000AC" w:rsidP="009000AC">
            <w:pPr>
              <w:jc w:val="both"/>
              <w:rPr>
                <w:rFonts w:eastAsia="Calibri"/>
              </w:rPr>
            </w:pPr>
            <w:r w:rsidRPr="009000AC">
              <w:rPr>
                <w:rFonts w:eastAsia="Calibri"/>
              </w:rPr>
              <w:t>3. Žalos IT sistemoje registruojamos kiekvienai draudimo rūšiai (sutarčiai) atskirai.</w:t>
            </w:r>
          </w:p>
          <w:p w14:paraId="381375E7" w14:textId="77777777" w:rsidR="009000AC" w:rsidRPr="009000AC" w:rsidRDefault="009000AC" w:rsidP="009000AC">
            <w:pPr>
              <w:jc w:val="both"/>
              <w:rPr>
                <w:rFonts w:eastAsia="Calibri"/>
              </w:rPr>
            </w:pPr>
            <w:r w:rsidRPr="009000AC">
              <w:rPr>
                <w:rFonts w:eastAsia="Calibri"/>
              </w:rPr>
              <w:t xml:space="preserve">4. Esant poreikiui, Užsakovas iš IT sistemos turi turėti galimybę savarankiškai </w:t>
            </w:r>
            <w:proofErr w:type="spellStart"/>
            <w:r w:rsidRPr="009000AC">
              <w:rPr>
                <w:rFonts w:eastAsia="Calibri"/>
              </w:rPr>
              <w:t>susiformuoti</w:t>
            </w:r>
            <w:proofErr w:type="spellEnd"/>
            <w:r w:rsidRPr="009000AC">
              <w:rPr>
                <w:rFonts w:eastAsia="Calibri"/>
              </w:rPr>
              <w:t xml:space="preserve"> </w:t>
            </w:r>
            <w:proofErr w:type="spellStart"/>
            <w:r w:rsidRPr="009000AC">
              <w:rPr>
                <w:rFonts w:eastAsia="Calibri"/>
              </w:rPr>
              <w:t>ataskaitą</w:t>
            </w:r>
            <w:proofErr w:type="spellEnd"/>
            <w:r w:rsidRPr="009000AC">
              <w:rPr>
                <w:rFonts w:eastAsia="Calibri"/>
              </w:rPr>
              <w:t xml:space="preserve"> (excel </w:t>
            </w:r>
            <w:proofErr w:type="spellStart"/>
            <w:r w:rsidRPr="009000AC">
              <w:rPr>
                <w:rFonts w:eastAsia="Calibri"/>
              </w:rPr>
              <w:t>formatu</w:t>
            </w:r>
            <w:proofErr w:type="spellEnd"/>
            <w:r w:rsidRPr="009000AC">
              <w:rPr>
                <w:rFonts w:eastAsia="Calibri"/>
              </w:rPr>
              <w:t xml:space="preserve">) </w:t>
            </w:r>
            <w:proofErr w:type="spellStart"/>
            <w:r w:rsidRPr="009000AC">
              <w:rPr>
                <w:rFonts w:eastAsia="Calibri"/>
              </w:rPr>
              <w:t>apie</w:t>
            </w:r>
            <w:proofErr w:type="spellEnd"/>
            <w:r w:rsidRPr="009000AC">
              <w:rPr>
                <w:rFonts w:eastAsia="Calibri"/>
              </w:rPr>
              <w:t xml:space="preserve"> </w:t>
            </w:r>
            <w:proofErr w:type="spellStart"/>
            <w:r w:rsidRPr="009000AC">
              <w:rPr>
                <w:rFonts w:eastAsia="Calibri"/>
              </w:rPr>
              <w:t>konkrečias</w:t>
            </w:r>
            <w:proofErr w:type="spellEnd"/>
            <w:r w:rsidRPr="009000AC">
              <w:rPr>
                <w:rFonts w:eastAsia="Calibri"/>
              </w:rPr>
              <w:t xml:space="preserve"> draudimo rūšies žalas. Ataskaitoje turi būti: žalos numeris, įvykio data ir vieta, informacijos įvedimo data, trumpas įvykio aprašymas, žalos pobūdis, objekto identifikavimo Nr. (jei toks yra nurodomas), įvykio statusas, nuostolio dydis (jei yra žinomas), išmokos data ir dydis (jei išmoka išmokėta).</w:t>
            </w:r>
          </w:p>
          <w:p w14:paraId="5D9EE426" w14:textId="77777777" w:rsidR="009000AC" w:rsidRPr="009000AC" w:rsidRDefault="009000AC" w:rsidP="009000AC">
            <w:pPr>
              <w:jc w:val="both"/>
              <w:rPr>
                <w:rFonts w:eastAsia="Calibri"/>
              </w:rPr>
            </w:pPr>
            <w:r w:rsidRPr="009000AC">
              <w:rPr>
                <w:rFonts w:eastAsia="Calibri"/>
              </w:rPr>
              <w:t>5. IT sistemos pagalba Paslaugų teikėjas perduoda informaciją Užsakovui apie suadministruotas žalas, išmokėtos draudimo išmokos dydį, datą ir pateikia draudiko suformuotą išmokos aktą. Išmokos aktas (žalos uždarymo pranešimas) ir sąskaita papildomai automatiškai persiunčiami Turto banko įmonės nurodytiems darbuotojams el. paštu.</w:t>
            </w:r>
          </w:p>
          <w:p w14:paraId="33A37FB7" w14:textId="77777777" w:rsidR="009000AC" w:rsidRPr="009000AC" w:rsidRDefault="009000AC" w:rsidP="009000AC">
            <w:pPr>
              <w:jc w:val="both"/>
              <w:rPr>
                <w:rFonts w:eastAsia="Calibri"/>
              </w:rPr>
            </w:pPr>
            <w:r w:rsidRPr="009000AC">
              <w:rPr>
                <w:rFonts w:eastAsia="Calibri"/>
              </w:rPr>
              <w:t>6. Paslaugų teikėjas turi turėti galimybę ir esant poreikiui pateikti Užsakovui IT sistemos WEB serviso dokumentaciją.</w:t>
            </w:r>
          </w:p>
          <w:p w14:paraId="22675744" w14:textId="77777777" w:rsidR="009000AC" w:rsidRPr="009000AC" w:rsidRDefault="009000AC" w:rsidP="009000AC">
            <w:pPr>
              <w:jc w:val="both"/>
              <w:rPr>
                <w:rFonts w:eastAsia="Calibri"/>
              </w:rPr>
            </w:pPr>
            <w:r w:rsidRPr="009000AC">
              <w:rPr>
                <w:rFonts w:eastAsia="Calibri"/>
              </w:rPr>
              <w:t>7. IT sistema užtikrina prieigą prie įvestų duomenų vartotojams su skirtingomis sistemos naudojimosi galimybėmis. Kiekvienam sistemos vartotojui ar vartotojo grupei suteikiamas individualus vartotojo slaptažodis ir skirtingos veikimo, IT sistemoje, teisės.</w:t>
            </w:r>
          </w:p>
          <w:p w14:paraId="2A84D3E4" w14:textId="718B7FA0" w:rsidR="00832AB4" w:rsidRPr="00832AB4" w:rsidRDefault="009000AC" w:rsidP="009000AC">
            <w:pPr>
              <w:jc w:val="both"/>
              <w:rPr>
                <w:rFonts w:eastAsia="Calibri"/>
                <w:i/>
                <w:iCs/>
                <w:lang w:val="lt-LT"/>
              </w:rPr>
            </w:pPr>
            <w:r w:rsidRPr="009000AC">
              <w:rPr>
                <w:rFonts w:eastAsia="Calibri"/>
                <w:lang w:val="lt-LT"/>
              </w:rPr>
              <w:t xml:space="preserve">8. Prie sistemos turi būti galimybė vienu metu prisijungti ne mažiau kaip 5 pagrindiniams Užsakovo </w:t>
            </w:r>
            <w:r w:rsidRPr="009000AC">
              <w:rPr>
                <w:rFonts w:eastAsia="Calibri"/>
                <w:lang w:val="lt-LT"/>
              </w:rPr>
              <w:lastRenderedPageBreak/>
              <w:t>vartotojams. Vartotojai, esant poreikiui, turi turėti skirtingas teises atlikti veiksmus IT sistemoje.</w:t>
            </w:r>
          </w:p>
        </w:tc>
        <w:tc>
          <w:tcPr>
            <w:tcW w:w="3827" w:type="dxa"/>
          </w:tcPr>
          <w:p w14:paraId="15391402" w14:textId="77777777" w:rsidR="00FA0CD5" w:rsidRPr="00FA0CD5" w:rsidRDefault="00FA0CD5" w:rsidP="00FA0CD5">
            <w:pPr>
              <w:tabs>
                <w:tab w:val="left" w:pos="720"/>
              </w:tabs>
              <w:jc w:val="both"/>
              <w:rPr>
                <w:rFonts w:eastAsia="Calibri"/>
              </w:rPr>
            </w:pPr>
            <w:r w:rsidRPr="00FA0CD5">
              <w:rPr>
                <w:rFonts w:eastAsia="Calibri"/>
              </w:rPr>
              <w:lastRenderedPageBreak/>
              <w:t xml:space="preserve">Dėl esamo (šiuo metu veikiančio) IT įrankio - pateikiamas vadovo ar jo įgalioto asmens pasirašytas IT įrankio funkcionalumo aprašymas bei (esant poreikiui) </w:t>
            </w:r>
            <w:proofErr w:type="spellStart"/>
            <w:r w:rsidRPr="00FA0CD5">
              <w:rPr>
                <w:rFonts w:eastAsia="Calibri"/>
              </w:rPr>
              <w:t>prisijungimo</w:t>
            </w:r>
            <w:proofErr w:type="spellEnd"/>
            <w:r w:rsidRPr="00FA0CD5">
              <w:rPr>
                <w:rFonts w:eastAsia="Calibri"/>
              </w:rPr>
              <w:t xml:space="preserve"> </w:t>
            </w:r>
            <w:proofErr w:type="spellStart"/>
            <w:r w:rsidRPr="00FA0CD5">
              <w:rPr>
                <w:rFonts w:eastAsia="Calibri"/>
              </w:rPr>
              <w:t>duomenys</w:t>
            </w:r>
            <w:proofErr w:type="spellEnd"/>
            <w:r w:rsidRPr="00FA0CD5">
              <w:rPr>
                <w:rFonts w:eastAsia="Calibri"/>
              </w:rPr>
              <w:t xml:space="preserve"> </w:t>
            </w:r>
            <w:proofErr w:type="spellStart"/>
            <w:r w:rsidRPr="00FA0CD5">
              <w:rPr>
                <w:rFonts w:eastAsia="Calibri"/>
              </w:rPr>
              <w:t>prie</w:t>
            </w:r>
            <w:proofErr w:type="spellEnd"/>
            <w:r w:rsidRPr="00FA0CD5">
              <w:rPr>
                <w:rFonts w:eastAsia="Calibri"/>
              </w:rPr>
              <w:t xml:space="preserve"> </w:t>
            </w:r>
            <w:proofErr w:type="spellStart"/>
            <w:r w:rsidRPr="00FA0CD5">
              <w:rPr>
                <w:rFonts w:eastAsia="Calibri"/>
              </w:rPr>
              <w:t>testinės</w:t>
            </w:r>
            <w:proofErr w:type="spellEnd"/>
            <w:r w:rsidRPr="00FA0CD5">
              <w:rPr>
                <w:rFonts w:eastAsia="Calibri"/>
              </w:rPr>
              <w:t xml:space="preserve"> </w:t>
            </w:r>
            <w:proofErr w:type="spellStart"/>
            <w:r w:rsidRPr="00FA0CD5">
              <w:rPr>
                <w:rFonts w:eastAsia="Calibri"/>
              </w:rPr>
              <w:t>versijos</w:t>
            </w:r>
            <w:proofErr w:type="spellEnd"/>
            <w:r w:rsidRPr="00FA0CD5">
              <w:rPr>
                <w:rFonts w:eastAsia="Calibri"/>
              </w:rPr>
              <w:t>.</w:t>
            </w:r>
          </w:p>
          <w:p w14:paraId="44C19A22" w14:textId="691D935A" w:rsidR="00832AB4" w:rsidRPr="00832AB4" w:rsidRDefault="00FA0CD5" w:rsidP="00FA0CD5">
            <w:pPr>
              <w:tabs>
                <w:tab w:val="left" w:pos="720"/>
              </w:tabs>
              <w:jc w:val="both"/>
              <w:rPr>
                <w:rFonts w:eastAsia="Calibri"/>
                <w:lang w:val="lt-LT"/>
              </w:rPr>
            </w:pPr>
            <w:r w:rsidRPr="00FA0CD5">
              <w:rPr>
                <w:rFonts w:eastAsia="Calibri"/>
                <w:lang w:val="lt-LT"/>
              </w:rPr>
              <w:t>Dėl būsimo (kurį Paslaugų teikėjas įsidiegs pirkimo laimėjimo atveju</w:t>
            </w:r>
            <w:r w:rsidR="007D069C">
              <w:rPr>
                <w:rFonts w:eastAsia="Calibri"/>
                <w:lang w:val="lt-LT"/>
              </w:rPr>
              <w:t xml:space="preserve"> per 3 (tris) mėnesius nuo sutarties įsigaliojimo dienos</w:t>
            </w:r>
            <w:r w:rsidRPr="00FA0CD5">
              <w:rPr>
                <w:rFonts w:eastAsia="Calibri"/>
                <w:lang w:val="lt-LT"/>
              </w:rPr>
              <w:t xml:space="preserve">)  IT įrankio – pateikiamas vadovo ar jo įgalioto asmens pasirašytas įsipareigojimas (deklaracija) pasirašius Pirkimo sutartį, joje nustatyta tvarka ir terminais įsidiegti IT įrankį ir pateikti tai patvirtinančius dokumentus (IT įrankio funkcionalumo aprašymą bei (esant poreikiui) prisijungimo duomenis prie </w:t>
            </w:r>
            <w:proofErr w:type="spellStart"/>
            <w:r w:rsidRPr="00FA0CD5">
              <w:rPr>
                <w:rFonts w:eastAsia="Calibri"/>
                <w:lang w:val="lt-LT"/>
              </w:rPr>
              <w:t>testinės</w:t>
            </w:r>
            <w:proofErr w:type="spellEnd"/>
            <w:r w:rsidRPr="00FA0CD5">
              <w:rPr>
                <w:rFonts w:eastAsia="Calibri"/>
                <w:lang w:val="lt-LT"/>
              </w:rPr>
              <w:t xml:space="preserve"> versijos).</w:t>
            </w:r>
          </w:p>
        </w:tc>
      </w:tr>
    </w:tbl>
    <w:p w14:paraId="46AE309D" w14:textId="77777777" w:rsidR="001447F8" w:rsidRDefault="001447F8"/>
    <w:p w14:paraId="291BE62B" w14:textId="77777777" w:rsidR="001447F8" w:rsidRDefault="001447F8" w:rsidP="001447F8">
      <w:pPr>
        <w:tabs>
          <w:tab w:val="left" w:pos="720"/>
        </w:tabs>
        <w:jc w:val="both"/>
        <w:rPr>
          <w:rFonts w:eastAsia="Calibri"/>
        </w:rPr>
      </w:pPr>
    </w:p>
    <w:p w14:paraId="48265378" w14:textId="77777777" w:rsidR="001447F8" w:rsidRDefault="001447F8" w:rsidP="001447F8">
      <w:pPr>
        <w:tabs>
          <w:tab w:val="left" w:pos="720"/>
        </w:tabs>
        <w:jc w:val="both"/>
        <w:rPr>
          <w:rFonts w:eastAsia="Calibri"/>
        </w:rPr>
      </w:pPr>
    </w:p>
    <w:p w14:paraId="238BC76F" w14:textId="2E59DAA9" w:rsidR="001447F8" w:rsidRDefault="001447F8" w:rsidP="001447F8">
      <w:pPr>
        <w:tabs>
          <w:tab w:val="left" w:pos="720"/>
        </w:tabs>
        <w:jc w:val="both"/>
        <w:rPr>
          <w:rFonts w:eastAsia="Calibri"/>
        </w:rPr>
      </w:pPr>
      <w:r w:rsidRPr="003F1B30">
        <w:rPr>
          <w:rFonts w:eastAsia="Calibri"/>
        </w:rPr>
        <w:t>* Skaitmeninės dokumentų kopijos pateikiamos CVP IS priemonėmis.</w:t>
      </w:r>
    </w:p>
    <w:p w14:paraId="446EC358" w14:textId="77777777" w:rsidR="001447F8" w:rsidRPr="00ED25D5" w:rsidRDefault="001447F8" w:rsidP="001447F8">
      <w:pPr>
        <w:tabs>
          <w:tab w:val="left" w:pos="720"/>
        </w:tabs>
        <w:jc w:val="center"/>
        <w:rPr>
          <w:rFonts w:eastAsia="Calibri"/>
        </w:rPr>
      </w:pPr>
      <w:r>
        <w:rPr>
          <w:rFonts w:eastAsia="Calibri"/>
        </w:rPr>
        <w:t>______________________________________</w:t>
      </w:r>
    </w:p>
    <w:p w14:paraId="2A3E54BE" w14:textId="3ECF9654" w:rsidR="00C4348A" w:rsidRDefault="00C4348A"/>
    <w:sectPr w:rsidR="00C4348A">
      <w:headerReference w:type="default" r:id="rI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5919" w14:textId="77777777" w:rsidR="00AC63EF" w:rsidRDefault="00AC63EF">
      <w:r>
        <w:separator/>
      </w:r>
    </w:p>
  </w:endnote>
  <w:endnote w:type="continuationSeparator" w:id="0">
    <w:p w14:paraId="653BD65F" w14:textId="77777777" w:rsidR="00AC63EF" w:rsidRDefault="00AC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1433D" w14:textId="77777777" w:rsidR="00AC63EF" w:rsidRDefault="00AC63EF">
      <w:r>
        <w:separator/>
      </w:r>
    </w:p>
  </w:footnote>
  <w:footnote w:type="continuationSeparator" w:id="0">
    <w:p w14:paraId="1DB90BA7" w14:textId="77777777" w:rsidR="00AC63EF" w:rsidRDefault="00AC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23F6" w14:textId="440FC911" w:rsidR="00AC63EF" w:rsidRDefault="004118E7">
    <w:pPr>
      <w:pStyle w:val="Antrats"/>
    </w:pPr>
    <w:r>
      <w:tab/>
    </w:r>
    <w:r>
      <w:tab/>
    </w:r>
    <w:r w:rsidR="00F6204B">
      <w:t>3 priedas</w:t>
    </w:r>
  </w:p>
  <w:p w14:paraId="732352B5" w14:textId="77777777" w:rsidR="00AC63EF" w:rsidRDefault="00AC63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E7"/>
    <w:rsid w:val="001447F8"/>
    <w:rsid w:val="0018013B"/>
    <w:rsid w:val="00356033"/>
    <w:rsid w:val="004118E7"/>
    <w:rsid w:val="005E57D9"/>
    <w:rsid w:val="005E671F"/>
    <w:rsid w:val="007D069C"/>
    <w:rsid w:val="00832AB4"/>
    <w:rsid w:val="008C28DB"/>
    <w:rsid w:val="009000AC"/>
    <w:rsid w:val="00AC63EF"/>
    <w:rsid w:val="00BA4CBE"/>
    <w:rsid w:val="00C4348A"/>
    <w:rsid w:val="00EF391F"/>
    <w:rsid w:val="00F6204B"/>
    <w:rsid w:val="00FA0CD5"/>
    <w:rsid w:val="00FB46C4"/>
    <w:rsid w:val="0450A97C"/>
    <w:rsid w:val="4D5B5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EF31"/>
  <w15:chartTrackingRefBased/>
  <w15:docId w15:val="{DF9664A2-20D5-4F5B-910A-EED9A028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8E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118E7"/>
    <w:rPr>
      <w:sz w:val="16"/>
      <w:szCs w:val="16"/>
    </w:rPr>
  </w:style>
  <w:style w:type="paragraph" w:styleId="Komentarotekstas">
    <w:name w:val="annotation text"/>
    <w:basedOn w:val="prastasis"/>
    <w:link w:val="KomentarotekstasDiagrama"/>
    <w:uiPriority w:val="99"/>
    <w:unhideWhenUsed/>
    <w:rsid w:val="004118E7"/>
    <w:pPr>
      <w:suppressAutoHyphens w:val="0"/>
      <w:spacing w:after="160"/>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uiPriority w:val="99"/>
    <w:rsid w:val="004118E7"/>
    <w:rPr>
      <w:sz w:val="20"/>
      <w:szCs w:val="20"/>
    </w:rPr>
  </w:style>
  <w:style w:type="table" w:styleId="Lentelstinklelis">
    <w:name w:val="Table Grid"/>
    <w:basedOn w:val="prastojilentel"/>
    <w:uiPriority w:val="39"/>
    <w:rsid w:val="004118E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118E7"/>
    <w:pPr>
      <w:tabs>
        <w:tab w:val="center" w:pos="4819"/>
        <w:tab w:val="right" w:pos="9638"/>
      </w:tabs>
    </w:pPr>
  </w:style>
  <w:style w:type="character" w:customStyle="1" w:styleId="AntratsDiagrama">
    <w:name w:val="Antraštės Diagrama"/>
    <w:basedOn w:val="Numatytasispastraiposriftas"/>
    <w:link w:val="Antrats"/>
    <w:uiPriority w:val="99"/>
    <w:rsid w:val="004118E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BA4CBE"/>
    <w:pPr>
      <w:tabs>
        <w:tab w:val="center" w:pos="4819"/>
        <w:tab w:val="right" w:pos="9638"/>
      </w:tabs>
    </w:pPr>
  </w:style>
  <w:style w:type="character" w:customStyle="1" w:styleId="PoratDiagrama">
    <w:name w:val="Poraštė Diagrama"/>
    <w:basedOn w:val="Numatytasispastraiposriftas"/>
    <w:link w:val="Porat"/>
    <w:uiPriority w:val="99"/>
    <w:rsid w:val="00BA4CBE"/>
    <w:rPr>
      <w:rFonts w:ascii="Times New Roman" w:eastAsia="Times New Roman" w:hAnsi="Times New Roman" w:cs="Times New Roman"/>
      <w:sz w:val="24"/>
      <w:szCs w:val="20"/>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BA4CBE"/>
    <w:pPr>
      <w:suppressAutoHyphens w:val="0"/>
      <w:spacing w:after="160" w:line="256" w:lineRule="auto"/>
      <w:ind w:left="720"/>
      <w:contextualSpacing/>
    </w:pPr>
    <w:rPr>
      <w:rFonts w:asciiTheme="minorHAnsi" w:eastAsiaTheme="minorHAnsi" w:hAnsiTheme="minorHAnsi" w:cstheme="minorBidi"/>
      <w:sz w:val="22"/>
      <w:szCs w:val="22"/>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A4C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1946</Words>
  <Characters>1110</Characters>
  <Application>Microsoft Office Word</Application>
  <DocSecurity>0</DocSecurity>
  <Lines>9</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JARMOLIUK, Anželika | Turto bankas</dc:creator>
  <cp:keywords/>
  <dc:description/>
  <cp:lastModifiedBy>GASIONIS, Artūras | Turto Bankas</cp:lastModifiedBy>
  <cp:revision>14</cp:revision>
  <dcterms:created xsi:type="dcterms:W3CDTF">2023-02-21T11:58:00Z</dcterms:created>
  <dcterms:modified xsi:type="dcterms:W3CDTF">2026-03-13T08:29:00Z</dcterms:modified>
</cp:coreProperties>
</file>