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238AA0B2" w:rsidR="00960963" w:rsidRDefault="002E4EFA" w:rsidP="002E4EFA">
      <w:pPr>
        <w:jc w:val="right"/>
        <w:textAlignment w:val="center"/>
        <w:rPr>
          <w:color w:val="000000"/>
          <w:szCs w:val="24"/>
        </w:rPr>
      </w:pPr>
      <w:r>
        <w:rPr>
          <w:color w:val="000000"/>
          <w:szCs w:val="24"/>
        </w:rPr>
        <w:t>Projektas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E0C8F" w14:textId="77777777" w:rsidR="00A44AA1" w:rsidRDefault="00A44AA1">
      <w:pPr>
        <w:rPr>
          <w:kern w:val="2"/>
          <w:sz w:val="22"/>
          <w:szCs w:val="22"/>
          <w:lang w:val="en-US"/>
        </w:rPr>
      </w:pPr>
      <w:r>
        <w:rPr>
          <w:kern w:val="2"/>
          <w:sz w:val="22"/>
          <w:szCs w:val="22"/>
          <w:lang w:val="en-US"/>
        </w:rPr>
        <w:separator/>
      </w:r>
    </w:p>
  </w:endnote>
  <w:endnote w:type="continuationSeparator" w:id="0">
    <w:p w14:paraId="1CE7C323" w14:textId="77777777" w:rsidR="00A44AA1" w:rsidRDefault="00A44AA1">
      <w:pPr>
        <w:rPr>
          <w:kern w:val="2"/>
          <w:sz w:val="22"/>
          <w:szCs w:val="22"/>
          <w:lang w:val="en-US"/>
        </w:rPr>
      </w:pPr>
      <w:r>
        <w:rPr>
          <w:kern w:val="2"/>
          <w:sz w:val="22"/>
          <w:szCs w:val="22"/>
          <w:lang w:val="en-US"/>
        </w:rPr>
        <w:continuationSeparator/>
      </w:r>
    </w:p>
  </w:endnote>
  <w:endnote w:type="continuationNotice" w:id="1">
    <w:p w14:paraId="67512D7E" w14:textId="77777777" w:rsidR="00A44AA1" w:rsidRDefault="00A44A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5FA0" w14:textId="77777777" w:rsidR="00A44AA1" w:rsidRDefault="00A44AA1">
      <w:pPr>
        <w:rPr>
          <w:kern w:val="2"/>
          <w:sz w:val="22"/>
          <w:szCs w:val="22"/>
          <w:lang w:val="en-US"/>
        </w:rPr>
      </w:pPr>
      <w:r>
        <w:rPr>
          <w:kern w:val="2"/>
          <w:sz w:val="22"/>
          <w:szCs w:val="22"/>
          <w:lang w:val="en-US"/>
        </w:rPr>
        <w:separator/>
      </w:r>
    </w:p>
  </w:footnote>
  <w:footnote w:type="continuationSeparator" w:id="0">
    <w:p w14:paraId="076F179A" w14:textId="77777777" w:rsidR="00A44AA1" w:rsidRDefault="00A44AA1">
      <w:pPr>
        <w:rPr>
          <w:kern w:val="2"/>
          <w:sz w:val="22"/>
          <w:szCs w:val="22"/>
          <w:lang w:val="en-US"/>
        </w:rPr>
      </w:pPr>
      <w:r>
        <w:rPr>
          <w:kern w:val="2"/>
          <w:sz w:val="22"/>
          <w:szCs w:val="22"/>
          <w:lang w:val="en-US"/>
        </w:rPr>
        <w:continuationSeparator/>
      </w:r>
    </w:p>
  </w:footnote>
  <w:footnote w:type="continuationNotice" w:id="1">
    <w:p w14:paraId="493C4205" w14:textId="77777777" w:rsidR="00A44AA1" w:rsidRDefault="00A44A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E4EFA"/>
    <w:rsid w:val="004A67D9"/>
    <w:rsid w:val="0051236A"/>
    <w:rsid w:val="005C6F2D"/>
    <w:rsid w:val="0060776F"/>
    <w:rsid w:val="006C1B97"/>
    <w:rsid w:val="006D59D1"/>
    <w:rsid w:val="00704CA1"/>
    <w:rsid w:val="00756139"/>
    <w:rsid w:val="007A6FD4"/>
    <w:rsid w:val="007D0D83"/>
    <w:rsid w:val="00872E9C"/>
    <w:rsid w:val="00876BBA"/>
    <w:rsid w:val="00960963"/>
    <w:rsid w:val="00962C24"/>
    <w:rsid w:val="00A44AA1"/>
    <w:rsid w:val="00B27CF8"/>
    <w:rsid w:val="00D52D0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62DAEBA-F68E-433F-A32E-285504E4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53594</Words>
  <Characters>30549</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Maciulevičius</dc:creator>
  <cp:lastModifiedBy>Irma Gurevičienė</cp:lastModifiedBy>
  <cp:revision>2</cp:revision>
  <dcterms:created xsi:type="dcterms:W3CDTF">2026-03-18T08:51:00Z</dcterms:created>
  <dcterms:modified xsi:type="dcterms:W3CDTF">2026-03-18T08:51:00Z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