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F458" w14:textId="69B04465" w:rsidR="00935A1F" w:rsidRPr="00F1028D" w:rsidRDefault="00433056" w:rsidP="00F1028D">
      <w:pPr>
        <w:spacing w:before="100" w:beforeAutospacing="1" w:after="100" w:afterAutospacing="1"/>
        <w:jc w:val="center"/>
        <w:rPr>
          <w:rFonts w:eastAsia="Calibri"/>
          <w:b/>
          <w:color w:val="000000"/>
          <w:szCs w:val="24"/>
          <w:lang w:eastAsia="en-US"/>
        </w:rPr>
      </w:pPr>
      <w:r>
        <w:rPr>
          <w:b/>
          <w:bCs/>
          <w:color w:val="000000"/>
          <w:szCs w:val="24"/>
        </w:rPr>
        <w:t xml:space="preserve">SEROLOGINIŲ KRAUJO TYRIMŲ ŽIV/AIDS IR KITOMS PAVOJINGOMS UŽKREČIAMOSIOMS INFEKCIJOMS NUSTATYTI BEI STEBĖTI JŲ EIGĄ ATLIKIMO PASLAUGŲ </w:t>
      </w:r>
      <w:r>
        <w:rPr>
          <w:rFonts w:eastAsia="Calibri"/>
          <w:b/>
          <w:color w:val="000000"/>
          <w:szCs w:val="24"/>
          <w:lang w:eastAsia="en-US"/>
        </w:rPr>
        <w:t>TECHNINĖ SPECIFIKACIJA</w:t>
      </w:r>
    </w:p>
    <w:p w14:paraId="0B04CD71" w14:textId="7B9609FF" w:rsidR="00433056" w:rsidRPr="00F53693" w:rsidRDefault="00433056" w:rsidP="00F53693">
      <w:pPr>
        <w:pStyle w:val="ListParagraph"/>
        <w:numPr>
          <w:ilvl w:val="0"/>
          <w:numId w:val="1"/>
        </w:numPr>
        <w:ind w:right="-2"/>
        <w:jc w:val="both"/>
        <w:rPr>
          <w:bCs/>
          <w:color w:val="000000"/>
          <w:szCs w:val="24"/>
        </w:rPr>
      </w:pPr>
      <w:r w:rsidRPr="00F53693">
        <w:rPr>
          <w:bCs/>
          <w:color w:val="000000"/>
          <w:szCs w:val="24"/>
        </w:rPr>
        <w:t>Tyrimų pavadinimai ir preliminarūs kiekiai</w:t>
      </w:r>
      <w:r w:rsidRPr="00F53693">
        <w:rPr>
          <w:b/>
          <w:color w:val="000000"/>
          <w:szCs w:val="24"/>
        </w:rPr>
        <w:t xml:space="preserve"> </w:t>
      </w:r>
      <w:r w:rsidR="00F53693" w:rsidRPr="00F53693">
        <w:rPr>
          <w:bCs/>
          <w:color w:val="000000"/>
          <w:szCs w:val="24"/>
        </w:rPr>
        <w:t>36 mėnesiams</w:t>
      </w:r>
      <w:r w:rsidRPr="00F53693">
        <w:rPr>
          <w:bCs/>
          <w:color w:val="000000"/>
          <w:szCs w:val="24"/>
        </w:rPr>
        <w:t>:</w:t>
      </w:r>
    </w:p>
    <w:p w14:paraId="2EA5F0A0" w14:textId="77777777" w:rsidR="00F53693" w:rsidRPr="00F53693" w:rsidRDefault="00F53693" w:rsidP="00F53693">
      <w:pPr>
        <w:pStyle w:val="ListParagraph"/>
        <w:ind w:left="1650" w:right="-2"/>
        <w:jc w:val="both"/>
        <w:rPr>
          <w:bCs/>
          <w:color w:val="000000"/>
          <w:szCs w:val="24"/>
        </w:rPr>
      </w:pPr>
    </w:p>
    <w:tbl>
      <w:tblPr>
        <w:tblW w:w="5000"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85"/>
        <w:gridCol w:w="6805"/>
        <w:gridCol w:w="1835"/>
      </w:tblGrid>
      <w:tr w:rsidR="00F1028D" w14:paraId="41115D9C" w14:textId="616F3052" w:rsidTr="00253E78">
        <w:trPr>
          <w:trHeight w:val="743"/>
          <w:jc w:val="right"/>
        </w:trPr>
        <w:tc>
          <w:tcPr>
            <w:tcW w:w="512" w:type="pct"/>
            <w:tcBorders>
              <w:top w:val="single" w:sz="6" w:space="0" w:color="000000"/>
              <w:left w:val="single" w:sz="6" w:space="0" w:color="000000"/>
              <w:bottom w:val="single" w:sz="6" w:space="0" w:color="000000"/>
              <w:right w:val="single" w:sz="6" w:space="0" w:color="000000"/>
            </w:tcBorders>
            <w:hideMark/>
          </w:tcPr>
          <w:p w14:paraId="524A1F32" w14:textId="77777777" w:rsidR="00F1028D" w:rsidRDefault="00F1028D">
            <w:pPr>
              <w:tabs>
                <w:tab w:val="left" w:pos="374"/>
              </w:tabs>
              <w:jc w:val="center"/>
            </w:pPr>
            <w:r>
              <w:t>Eil. Nr.</w:t>
            </w:r>
          </w:p>
        </w:tc>
        <w:tc>
          <w:tcPr>
            <w:tcW w:w="3535" w:type="pct"/>
            <w:tcBorders>
              <w:top w:val="single" w:sz="6" w:space="0" w:color="000000"/>
              <w:left w:val="single" w:sz="6" w:space="0" w:color="000000"/>
              <w:bottom w:val="single" w:sz="6" w:space="0" w:color="000000"/>
              <w:right w:val="single" w:sz="6" w:space="0" w:color="000000"/>
            </w:tcBorders>
            <w:vAlign w:val="center"/>
            <w:hideMark/>
          </w:tcPr>
          <w:p w14:paraId="009BB562" w14:textId="12C1A0C2" w:rsidR="00F1028D" w:rsidRDefault="00F1028D">
            <w:pPr>
              <w:jc w:val="center"/>
              <w:rPr>
                <w:szCs w:val="24"/>
              </w:rPr>
            </w:pPr>
            <w:r>
              <w:rPr>
                <w:bCs/>
                <w:szCs w:val="24"/>
              </w:rPr>
              <w:t>Laboratorinio tyrimo pavadinimas</w:t>
            </w:r>
          </w:p>
        </w:tc>
        <w:tc>
          <w:tcPr>
            <w:tcW w:w="954" w:type="pct"/>
            <w:tcBorders>
              <w:top w:val="single" w:sz="6" w:space="0" w:color="000000"/>
              <w:left w:val="single" w:sz="6" w:space="0" w:color="000000"/>
              <w:bottom w:val="single" w:sz="6" w:space="0" w:color="000000"/>
              <w:right w:val="single" w:sz="4" w:space="0" w:color="auto"/>
            </w:tcBorders>
            <w:hideMark/>
          </w:tcPr>
          <w:p w14:paraId="708A1983" w14:textId="77777777" w:rsidR="00F1028D" w:rsidRDefault="00F1028D">
            <w:pPr>
              <w:jc w:val="center"/>
              <w:rPr>
                <w:bCs/>
                <w:szCs w:val="24"/>
              </w:rPr>
            </w:pPr>
            <w:r>
              <w:rPr>
                <w:bCs/>
                <w:szCs w:val="24"/>
              </w:rPr>
              <w:t>Preliminarus kiekis, vnt.</w:t>
            </w:r>
          </w:p>
          <w:p w14:paraId="7D01972C" w14:textId="1BE4555E" w:rsidR="00F1028D" w:rsidRDefault="00F1028D">
            <w:pPr>
              <w:jc w:val="center"/>
              <w:rPr>
                <w:bCs/>
                <w:szCs w:val="24"/>
              </w:rPr>
            </w:pPr>
            <w:r>
              <w:rPr>
                <w:bCs/>
                <w:szCs w:val="24"/>
              </w:rPr>
              <w:t>(36 mėn.)</w:t>
            </w:r>
          </w:p>
        </w:tc>
      </w:tr>
      <w:tr w:rsidR="00F1028D" w14:paraId="5145AED1" w14:textId="54BBBD8D"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5240EF6E" w14:textId="77777777" w:rsidR="00F1028D" w:rsidRDefault="00F1028D">
            <w:pPr>
              <w:ind w:left="133"/>
              <w:rPr>
                <w:b/>
              </w:rPr>
            </w:pPr>
            <w:r>
              <w:rPr>
                <w:b/>
              </w:rPr>
              <w:t>1</w:t>
            </w:r>
          </w:p>
        </w:tc>
        <w:tc>
          <w:tcPr>
            <w:tcW w:w="3535" w:type="pct"/>
            <w:tcBorders>
              <w:top w:val="single" w:sz="6" w:space="0" w:color="000000"/>
              <w:left w:val="single" w:sz="6" w:space="0" w:color="000000"/>
              <w:bottom w:val="single" w:sz="6" w:space="0" w:color="000000"/>
              <w:right w:val="single" w:sz="6" w:space="0" w:color="000000"/>
            </w:tcBorders>
            <w:hideMark/>
          </w:tcPr>
          <w:p w14:paraId="202E2CEC" w14:textId="12D3D196" w:rsidR="00F1028D" w:rsidRDefault="00F1028D">
            <w:pPr>
              <w:ind w:right="140"/>
              <w:jc w:val="both"/>
              <w:rPr>
                <w:b/>
                <w:szCs w:val="24"/>
              </w:rPr>
            </w:pPr>
            <w:r>
              <w:rPr>
                <w:b/>
                <w:szCs w:val="24"/>
              </w:rPr>
              <w:t xml:space="preserve">I – pirkimo objekto dalis - atrankiniai kraujo tyrimai, užsikrėtusių ŽIV pacientų priežiūrai (ligos stebėjimui) skirti tyrimai  </w:t>
            </w:r>
          </w:p>
        </w:tc>
        <w:tc>
          <w:tcPr>
            <w:tcW w:w="954" w:type="pct"/>
            <w:tcBorders>
              <w:top w:val="single" w:sz="6" w:space="0" w:color="000000"/>
              <w:left w:val="single" w:sz="6" w:space="0" w:color="000000"/>
              <w:bottom w:val="single" w:sz="6" w:space="0" w:color="000000"/>
              <w:right w:val="single" w:sz="4" w:space="0" w:color="auto"/>
            </w:tcBorders>
          </w:tcPr>
          <w:p w14:paraId="267E2B09" w14:textId="77777777" w:rsidR="00F1028D" w:rsidRDefault="00F1028D">
            <w:pPr>
              <w:jc w:val="center"/>
            </w:pPr>
          </w:p>
        </w:tc>
      </w:tr>
      <w:tr w:rsidR="00F1028D" w14:paraId="21D94312" w14:textId="484B8607"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74BBC3C5" w14:textId="5944542D" w:rsidR="00F1028D" w:rsidRDefault="00F1028D" w:rsidP="000A7852">
            <w:pPr>
              <w:ind w:left="133"/>
            </w:pPr>
            <w:r>
              <w:t>1.1</w:t>
            </w:r>
          </w:p>
        </w:tc>
        <w:tc>
          <w:tcPr>
            <w:tcW w:w="3535" w:type="pct"/>
            <w:tcBorders>
              <w:top w:val="single" w:sz="6" w:space="0" w:color="000000"/>
              <w:left w:val="single" w:sz="6" w:space="0" w:color="000000"/>
              <w:bottom w:val="single" w:sz="6" w:space="0" w:color="000000"/>
              <w:right w:val="single" w:sz="6" w:space="0" w:color="000000"/>
            </w:tcBorders>
            <w:hideMark/>
          </w:tcPr>
          <w:p w14:paraId="625264A2" w14:textId="77777777" w:rsidR="00F1028D" w:rsidRPr="00171BEE" w:rsidRDefault="00F1028D">
            <w:r w:rsidRPr="00171BEE">
              <w:t>ŽIV antikūnų-antigenų nustatymas</w:t>
            </w:r>
          </w:p>
        </w:tc>
        <w:tc>
          <w:tcPr>
            <w:tcW w:w="954" w:type="pct"/>
            <w:tcBorders>
              <w:top w:val="single" w:sz="6" w:space="0" w:color="000000"/>
              <w:left w:val="single" w:sz="6" w:space="0" w:color="000000"/>
              <w:bottom w:val="single" w:sz="6" w:space="0" w:color="000000"/>
              <w:right w:val="single" w:sz="4" w:space="0" w:color="auto"/>
            </w:tcBorders>
            <w:hideMark/>
          </w:tcPr>
          <w:p w14:paraId="0DEB95AA" w14:textId="32EF0D5E" w:rsidR="00F1028D" w:rsidRDefault="00F1028D">
            <w:pPr>
              <w:jc w:val="center"/>
            </w:pPr>
            <w:r>
              <w:t>15</w:t>
            </w:r>
            <w:r w:rsidRPr="002B3584">
              <w:t>000</w:t>
            </w:r>
          </w:p>
        </w:tc>
      </w:tr>
      <w:tr w:rsidR="00F1028D" w14:paraId="7F3FEDB4" w14:textId="7327AA97"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51F62E13" w14:textId="0A293A1D" w:rsidR="00F1028D" w:rsidRDefault="00F1028D">
            <w:pPr>
              <w:ind w:left="133"/>
            </w:pPr>
            <w:r>
              <w:t>1.2</w:t>
            </w:r>
          </w:p>
        </w:tc>
        <w:tc>
          <w:tcPr>
            <w:tcW w:w="3535" w:type="pct"/>
            <w:tcBorders>
              <w:top w:val="single" w:sz="6" w:space="0" w:color="000000"/>
              <w:left w:val="single" w:sz="6" w:space="0" w:color="000000"/>
              <w:bottom w:val="single" w:sz="6" w:space="0" w:color="000000"/>
              <w:right w:val="single" w:sz="6" w:space="0" w:color="000000"/>
            </w:tcBorders>
            <w:hideMark/>
          </w:tcPr>
          <w:p w14:paraId="6C527182" w14:textId="77777777" w:rsidR="00F1028D" w:rsidRDefault="00F1028D">
            <w:pPr>
              <w:ind w:right="140"/>
              <w:jc w:val="both"/>
              <w:rPr>
                <w:szCs w:val="24"/>
              </w:rPr>
            </w:pPr>
            <w:r>
              <w:t>Ląstelinio imuniteto nustatymas (CD4, CD8)</w:t>
            </w:r>
          </w:p>
        </w:tc>
        <w:tc>
          <w:tcPr>
            <w:tcW w:w="954" w:type="pct"/>
            <w:tcBorders>
              <w:top w:val="single" w:sz="6" w:space="0" w:color="000000"/>
              <w:left w:val="single" w:sz="6" w:space="0" w:color="000000"/>
              <w:bottom w:val="single" w:sz="6" w:space="0" w:color="000000"/>
              <w:right w:val="single" w:sz="4" w:space="0" w:color="auto"/>
            </w:tcBorders>
            <w:hideMark/>
          </w:tcPr>
          <w:p w14:paraId="31D97A91" w14:textId="6F0F90E4" w:rsidR="00F1028D" w:rsidRDefault="00F1028D">
            <w:pPr>
              <w:jc w:val="center"/>
            </w:pPr>
            <w:r>
              <w:t>15</w:t>
            </w:r>
            <w:r w:rsidRPr="00F75DA6">
              <w:t>00</w:t>
            </w:r>
          </w:p>
        </w:tc>
      </w:tr>
      <w:tr w:rsidR="00F1028D" w14:paraId="049C33AC" w14:textId="386933A6"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528F1B35" w14:textId="5A90B916" w:rsidR="00F1028D" w:rsidRDefault="00F1028D">
            <w:pPr>
              <w:ind w:left="133"/>
            </w:pPr>
            <w:r>
              <w:t>1.3</w:t>
            </w:r>
          </w:p>
        </w:tc>
        <w:tc>
          <w:tcPr>
            <w:tcW w:w="3535" w:type="pct"/>
            <w:tcBorders>
              <w:top w:val="single" w:sz="6" w:space="0" w:color="000000"/>
              <w:left w:val="single" w:sz="6" w:space="0" w:color="000000"/>
              <w:bottom w:val="single" w:sz="6" w:space="0" w:color="000000"/>
              <w:right w:val="single" w:sz="6" w:space="0" w:color="000000"/>
            </w:tcBorders>
            <w:hideMark/>
          </w:tcPr>
          <w:p w14:paraId="5713B42B" w14:textId="77777777" w:rsidR="00F1028D" w:rsidRDefault="00F1028D">
            <w:r>
              <w:t>ŽIV RNR kiekybinis tyrimas</w:t>
            </w:r>
          </w:p>
        </w:tc>
        <w:tc>
          <w:tcPr>
            <w:tcW w:w="954" w:type="pct"/>
            <w:tcBorders>
              <w:top w:val="single" w:sz="6" w:space="0" w:color="000000"/>
              <w:left w:val="single" w:sz="6" w:space="0" w:color="000000"/>
              <w:bottom w:val="single" w:sz="6" w:space="0" w:color="000000"/>
              <w:right w:val="single" w:sz="4" w:space="0" w:color="auto"/>
            </w:tcBorders>
            <w:hideMark/>
          </w:tcPr>
          <w:p w14:paraId="29F3AF63" w14:textId="3FA0603B" w:rsidR="00F1028D" w:rsidRDefault="00F1028D">
            <w:pPr>
              <w:jc w:val="center"/>
            </w:pPr>
            <w:r>
              <w:t>15</w:t>
            </w:r>
            <w:r w:rsidRPr="00F75DA6">
              <w:t>00</w:t>
            </w:r>
          </w:p>
        </w:tc>
      </w:tr>
      <w:tr w:rsidR="00F1028D" w14:paraId="611012E8" w14:textId="77777777" w:rsidTr="00253E78">
        <w:trPr>
          <w:jc w:val="right"/>
        </w:trPr>
        <w:tc>
          <w:tcPr>
            <w:tcW w:w="512" w:type="pct"/>
            <w:tcBorders>
              <w:top w:val="single" w:sz="6" w:space="0" w:color="000000"/>
              <w:left w:val="single" w:sz="6" w:space="0" w:color="000000"/>
              <w:bottom w:val="single" w:sz="6" w:space="0" w:color="000000"/>
              <w:right w:val="single" w:sz="6" w:space="0" w:color="000000"/>
            </w:tcBorders>
          </w:tcPr>
          <w:p w14:paraId="01CC72D2" w14:textId="4CEA33AF" w:rsidR="00F1028D" w:rsidRDefault="00F1028D">
            <w:pPr>
              <w:ind w:left="133"/>
            </w:pPr>
            <w:r>
              <w:t>1.4</w:t>
            </w:r>
          </w:p>
        </w:tc>
        <w:tc>
          <w:tcPr>
            <w:tcW w:w="3535" w:type="pct"/>
            <w:tcBorders>
              <w:top w:val="single" w:sz="6" w:space="0" w:color="000000"/>
              <w:left w:val="single" w:sz="6" w:space="0" w:color="000000"/>
              <w:bottom w:val="single" w:sz="6" w:space="0" w:color="000000"/>
              <w:right w:val="single" w:sz="6" w:space="0" w:color="000000"/>
            </w:tcBorders>
          </w:tcPr>
          <w:p w14:paraId="1B5D98C4" w14:textId="6FB877AB" w:rsidR="00F1028D" w:rsidRDefault="00F1028D">
            <w:r w:rsidRPr="008157AC">
              <w:t>ŽIV antikūnų tyrimas iš sauso kraujo m</w:t>
            </w:r>
            <w:r>
              <w:t>ė</w:t>
            </w:r>
            <w:r w:rsidRPr="008157AC">
              <w:t>ginio</w:t>
            </w:r>
          </w:p>
        </w:tc>
        <w:tc>
          <w:tcPr>
            <w:tcW w:w="954" w:type="pct"/>
            <w:tcBorders>
              <w:top w:val="single" w:sz="6" w:space="0" w:color="000000"/>
              <w:left w:val="single" w:sz="6" w:space="0" w:color="000000"/>
              <w:bottom w:val="single" w:sz="6" w:space="0" w:color="000000"/>
              <w:right w:val="single" w:sz="4" w:space="0" w:color="auto"/>
            </w:tcBorders>
          </w:tcPr>
          <w:p w14:paraId="70BA4CB4" w14:textId="5751E7C4" w:rsidR="00F1028D" w:rsidRPr="00F75DA6" w:rsidRDefault="004A4325">
            <w:pPr>
              <w:jc w:val="center"/>
            </w:pPr>
            <w:r>
              <w:t>9</w:t>
            </w:r>
          </w:p>
        </w:tc>
      </w:tr>
      <w:tr w:rsidR="00F1028D" w14:paraId="676587B9" w14:textId="5798B824"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66AEB481" w14:textId="145549F5" w:rsidR="00F1028D" w:rsidRDefault="00F1028D">
            <w:pPr>
              <w:ind w:left="133"/>
            </w:pPr>
            <w:r>
              <w:t>1.5</w:t>
            </w:r>
          </w:p>
        </w:tc>
        <w:tc>
          <w:tcPr>
            <w:tcW w:w="3535" w:type="pct"/>
            <w:tcBorders>
              <w:top w:val="single" w:sz="6" w:space="0" w:color="000000"/>
              <w:left w:val="single" w:sz="6" w:space="0" w:color="000000"/>
              <w:bottom w:val="single" w:sz="6" w:space="0" w:color="000000"/>
              <w:right w:val="single" w:sz="6" w:space="0" w:color="000000"/>
            </w:tcBorders>
            <w:hideMark/>
          </w:tcPr>
          <w:p w14:paraId="574F9F5D" w14:textId="77777777" w:rsidR="00F1028D" w:rsidRDefault="00F1028D">
            <w:r>
              <w:t>HLA-B5701</w:t>
            </w:r>
          </w:p>
        </w:tc>
        <w:tc>
          <w:tcPr>
            <w:tcW w:w="954" w:type="pct"/>
            <w:tcBorders>
              <w:top w:val="single" w:sz="6" w:space="0" w:color="000000"/>
              <w:left w:val="single" w:sz="6" w:space="0" w:color="000000"/>
              <w:bottom w:val="single" w:sz="6" w:space="0" w:color="000000"/>
              <w:right w:val="single" w:sz="4" w:space="0" w:color="auto"/>
            </w:tcBorders>
            <w:hideMark/>
          </w:tcPr>
          <w:p w14:paraId="24A19F35" w14:textId="06989120" w:rsidR="00F1028D" w:rsidRDefault="00F1028D" w:rsidP="00316B0E">
            <w:pPr>
              <w:jc w:val="center"/>
            </w:pPr>
            <w:r w:rsidRPr="00F75DA6">
              <w:t>60</w:t>
            </w:r>
          </w:p>
        </w:tc>
      </w:tr>
      <w:tr w:rsidR="00F1028D" w14:paraId="420175ED" w14:textId="79636A31"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3D14AB62" w14:textId="447BC383" w:rsidR="00F1028D" w:rsidRDefault="00F1028D">
            <w:pPr>
              <w:ind w:left="133"/>
            </w:pPr>
            <w:r>
              <w:t>1.6</w:t>
            </w:r>
          </w:p>
        </w:tc>
        <w:tc>
          <w:tcPr>
            <w:tcW w:w="3535" w:type="pct"/>
            <w:tcBorders>
              <w:top w:val="single" w:sz="6" w:space="0" w:color="000000"/>
              <w:left w:val="single" w:sz="6" w:space="0" w:color="000000"/>
              <w:bottom w:val="single" w:sz="6" w:space="0" w:color="000000"/>
              <w:right w:val="single" w:sz="6" w:space="0" w:color="000000"/>
            </w:tcBorders>
            <w:hideMark/>
          </w:tcPr>
          <w:p w14:paraId="5CFFAD03" w14:textId="7AE4E24C" w:rsidR="00F1028D" w:rsidRDefault="00F1028D" w:rsidP="00233E48">
            <w:r>
              <w:t>ŽI viruso jautrumo vaistams ir genotipo nustatymas</w:t>
            </w:r>
          </w:p>
        </w:tc>
        <w:tc>
          <w:tcPr>
            <w:tcW w:w="954" w:type="pct"/>
            <w:tcBorders>
              <w:top w:val="single" w:sz="6" w:space="0" w:color="000000"/>
              <w:left w:val="single" w:sz="6" w:space="0" w:color="000000"/>
              <w:bottom w:val="single" w:sz="6" w:space="0" w:color="000000"/>
              <w:right w:val="single" w:sz="4" w:space="0" w:color="auto"/>
            </w:tcBorders>
            <w:hideMark/>
          </w:tcPr>
          <w:p w14:paraId="579D20D5" w14:textId="051FB763" w:rsidR="00F1028D" w:rsidRDefault="00F1028D">
            <w:pPr>
              <w:jc w:val="center"/>
            </w:pPr>
            <w:r w:rsidRPr="00F75DA6">
              <w:t>60</w:t>
            </w:r>
          </w:p>
        </w:tc>
      </w:tr>
      <w:tr w:rsidR="00F1028D" w14:paraId="7A5A217F" w14:textId="77777777" w:rsidTr="00253E78">
        <w:trPr>
          <w:jc w:val="right"/>
        </w:trPr>
        <w:tc>
          <w:tcPr>
            <w:tcW w:w="512" w:type="pct"/>
            <w:tcBorders>
              <w:top w:val="single" w:sz="6" w:space="0" w:color="000000"/>
              <w:left w:val="single" w:sz="6" w:space="0" w:color="000000"/>
              <w:bottom w:val="single" w:sz="6" w:space="0" w:color="000000"/>
              <w:right w:val="single" w:sz="6" w:space="0" w:color="000000"/>
            </w:tcBorders>
          </w:tcPr>
          <w:p w14:paraId="02502197" w14:textId="77777777" w:rsidR="00F1028D" w:rsidRDefault="00F1028D">
            <w:pPr>
              <w:ind w:left="133"/>
            </w:pPr>
          </w:p>
        </w:tc>
        <w:tc>
          <w:tcPr>
            <w:tcW w:w="3535" w:type="pct"/>
            <w:tcBorders>
              <w:top w:val="single" w:sz="6" w:space="0" w:color="000000"/>
              <w:left w:val="single" w:sz="6" w:space="0" w:color="000000"/>
              <w:bottom w:val="single" w:sz="6" w:space="0" w:color="000000"/>
              <w:right w:val="single" w:sz="6" w:space="0" w:color="000000"/>
            </w:tcBorders>
          </w:tcPr>
          <w:p w14:paraId="57254EDC" w14:textId="33010712" w:rsidR="00F1028D" w:rsidRPr="00253E78" w:rsidRDefault="00F1028D" w:rsidP="00233E48">
            <w:pPr>
              <w:rPr>
                <w:b/>
                <w:bCs/>
              </w:rPr>
            </w:pPr>
            <w:r w:rsidRPr="00253E78">
              <w:rPr>
                <w:b/>
                <w:bCs/>
              </w:rPr>
              <w:t>VISO</w:t>
            </w:r>
          </w:p>
        </w:tc>
        <w:tc>
          <w:tcPr>
            <w:tcW w:w="954" w:type="pct"/>
            <w:tcBorders>
              <w:top w:val="single" w:sz="6" w:space="0" w:color="000000"/>
              <w:left w:val="single" w:sz="6" w:space="0" w:color="000000"/>
              <w:bottom w:val="single" w:sz="6" w:space="0" w:color="000000"/>
              <w:right w:val="single" w:sz="4" w:space="0" w:color="auto"/>
            </w:tcBorders>
          </w:tcPr>
          <w:p w14:paraId="4D4F1FD2" w14:textId="6C7B301C" w:rsidR="00F1028D" w:rsidRPr="00C93C30" w:rsidRDefault="004A4325">
            <w:pPr>
              <w:jc w:val="center"/>
              <w:rPr>
                <w:highlight w:val="yellow"/>
              </w:rPr>
            </w:pPr>
            <w:r w:rsidRPr="00A312F2">
              <w:rPr>
                <w:b/>
                <w:bCs/>
              </w:rPr>
              <w:t>18129</w:t>
            </w:r>
          </w:p>
        </w:tc>
      </w:tr>
      <w:tr w:rsidR="00F1028D" w14:paraId="5C4D14B4" w14:textId="3C77C1E1"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4D15EA2D" w14:textId="7F2D8DEA" w:rsidR="00F1028D" w:rsidRDefault="00F1028D">
            <w:pPr>
              <w:ind w:left="133"/>
              <w:rPr>
                <w:b/>
              </w:rPr>
            </w:pPr>
            <w:r>
              <w:rPr>
                <w:b/>
              </w:rPr>
              <w:t>2</w:t>
            </w:r>
          </w:p>
        </w:tc>
        <w:tc>
          <w:tcPr>
            <w:tcW w:w="3535" w:type="pct"/>
            <w:tcBorders>
              <w:top w:val="single" w:sz="6" w:space="0" w:color="000000"/>
              <w:left w:val="single" w:sz="6" w:space="0" w:color="000000"/>
              <w:bottom w:val="single" w:sz="6" w:space="0" w:color="000000"/>
              <w:right w:val="single" w:sz="6" w:space="0" w:color="000000"/>
            </w:tcBorders>
            <w:hideMark/>
          </w:tcPr>
          <w:p w14:paraId="5CC59B76" w14:textId="5B084025" w:rsidR="00F1028D" w:rsidRDefault="00F1028D">
            <w:pPr>
              <w:rPr>
                <w:b/>
              </w:rPr>
            </w:pPr>
            <w:r>
              <w:rPr>
                <w:b/>
                <w:szCs w:val="24"/>
              </w:rPr>
              <w:t xml:space="preserve">II – pirkimo objekto dalis - virusinių hepatitų molekuliniai tyrimai </w:t>
            </w:r>
          </w:p>
        </w:tc>
        <w:tc>
          <w:tcPr>
            <w:tcW w:w="954" w:type="pct"/>
            <w:tcBorders>
              <w:top w:val="single" w:sz="6" w:space="0" w:color="000000"/>
              <w:left w:val="single" w:sz="6" w:space="0" w:color="000000"/>
              <w:bottom w:val="single" w:sz="6" w:space="0" w:color="000000"/>
              <w:right w:val="single" w:sz="4" w:space="0" w:color="auto"/>
            </w:tcBorders>
          </w:tcPr>
          <w:p w14:paraId="23E9D2EA" w14:textId="77777777" w:rsidR="00F1028D" w:rsidRDefault="00F1028D">
            <w:pPr>
              <w:jc w:val="center"/>
            </w:pPr>
          </w:p>
        </w:tc>
      </w:tr>
      <w:tr w:rsidR="00F1028D" w14:paraId="4FB6D98F" w14:textId="348B35C8"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142011FD" w14:textId="4EBC9678" w:rsidR="00F1028D" w:rsidRDefault="00F1028D">
            <w:pPr>
              <w:ind w:left="133"/>
            </w:pPr>
            <w:r>
              <w:t>2.1</w:t>
            </w:r>
          </w:p>
        </w:tc>
        <w:tc>
          <w:tcPr>
            <w:tcW w:w="3535" w:type="pct"/>
            <w:tcBorders>
              <w:top w:val="single" w:sz="6" w:space="0" w:color="000000"/>
              <w:left w:val="single" w:sz="6" w:space="0" w:color="000000"/>
              <w:bottom w:val="single" w:sz="6" w:space="0" w:color="000000"/>
              <w:right w:val="single" w:sz="6" w:space="0" w:color="000000"/>
            </w:tcBorders>
            <w:hideMark/>
          </w:tcPr>
          <w:p w14:paraId="2D5ECD29" w14:textId="77777777" w:rsidR="00F1028D" w:rsidRDefault="00F1028D">
            <w:r>
              <w:t>Hepatito B DNR kiekybinis tyrimas</w:t>
            </w:r>
          </w:p>
        </w:tc>
        <w:tc>
          <w:tcPr>
            <w:tcW w:w="954" w:type="pct"/>
            <w:tcBorders>
              <w:top w:val="single" w:sz="6" w:space="0" w:color="000000"/>
              <w:left w:val="single" w:sz="6" w:space="0" w:color="000000"/>
              <w:bottom w:val="single" w:sz="6" w:space="0" w:color="000000"/>
              <w:right w:val="single" w:sz="4" w:space="0" w:color="auto"/>
            </w:tcBorders>
            <w:hideMark/>
          </w:tcPr>
          <w:p w14:paraId="28F164DA" w14:textId="5171775B" w:rsidR="00F1028D" w:rsidRDefault="00F1028D">
            <w:pPr>
              <w:jc w:val="center"/>
            </w:pPr>
            <w:r w:rsidRPr="00F75DA6">
              <w:t>60</w:t>
            </w:r>
          </w:p>
        </w:tc>
      </w:tr>
      <w:tr w:rsidR="00F1028D" w14:paraId="71F401A0" w14:textId="0D488369"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34C51F09" w14:textId="7DFB4F4C" w:rsidR="00F1028D" w:rsidRDefault="00F1028D">
            <w:pPr>
              <w:ind w:left="133"/>
            </w:pPr>
            <w:r>
              <w:t>2.2</w:t>
            </w:r>
          </w:p>
        </w:tc>
        <w:tc>
          <w:tcPr>
            <w:tcW w:w="3535" w:type="pct"/>
            <w:tcBorders>
              <w:top w:val="single" w:sz="6" w:space="0" w:color="000000"/>
              <w:left w:val="single" w:sz="6" w:space="0" w:color="000000"/>
              <w:bottom w:val="single" w:sz="6" w:space="0" w:color="000000"/>
              <w:right w:val="single" w:sz="6" w:space="0" w:color="000000"/>
            </w:tcBorders>
            <w:hideMark/>
          </w:tcPr>
          <w:p w14:paraId="09447F2E" w14:textId="77777777" w:rsidR="00F1028D" w:rsidRDefault="00F1028D">
            <w:r>
              <w:t>Hepatito C viruso RNR kiekybinis nustatymas</w:t>
            </w:r>
          </w:p>
        </w:tc>
        <w:tc>
          <w:tcPr>
            <w:tcW w:w="954" w:type="pct"/>
            <w:tcBorders>
              <w:top w:val="single" w:sz="6" w:space="0" w:color="000000"/>
              <w:left w:val="single" w:sz="6" w:space="0" w:color="000000"/>
              <w:bottom w:val="single" w:sz="6" w:space="0" w:color="000000"/>
              <w:right w:val="single" w:sz="4" w:space="0" w:color="auto"/>
            </w:tcBorders>
            <w:hideMark/>
          </w:tcPr>
          <w:p w14:paraId="23CFB233" w14:textId="0B8C770F" w:rsidR="00F1028D" w:rsidRDefault="00F1028D">
            <w:pPr>
              <w:jc w:val="center"/>
            </w:pPr>
            <w:r>
              <w:t>2</w:t>
            </w:r>
            <w:r w:rsidRPr="00F75DA6">
              <w:t>000</w:t>
            </w:r>
          </w:p>
        </w:tc>
      </w:tr>
      <w:tr w:rsidR="00F1028D" w14:paraId="7B1A8D8E" w14:textId="01502EE7" w:rsidTr="00253E78">
        <w:trPr>
          <w:jc w:val="right"/>
        </w:trPr>
        <w:tc>
          <w:tcPr>
            <w:tcW w:w="512" w:type="pct"/>
            <w:tcBorders>
              <w:top w:val="single" w:sz="6" w:space="0" w:color="000000"/>
              <w:left w:val="single" w:sz="6" w:space="0" w:color="000000"/>
              <w:bottom w:val="single" w:sz="6" w:space="0" w:color="000000"/>
              <w:right w:val="single" w:sz="6" w:space="0" w:color="000000"/>
            </w:tcBorders>
            <w:hideMark/>
          </w:tcPr>
          <w:p w14:paraId="38EF52AF" w14:textId="758664EE" w:rsidR="00F1028D" w:rsidRDefault="00F1028D">
            <w:pPr>
              <w:ind w:left="133"/>
            </w:pPr>
            <w:r>
              <w:t>2.3</w:t>
            </w:r>
          </w:p>
        </w:tc>
        <w:tc>
          <w:tcPr>
            <w:tcW w:w="3535" w:type="pct"/>
            <w:tcBorders>
              <w:top w:val="single" w:sz="6" w:space="0" w:color="000000"/>
              <w:left w:val="single" w:sz="6" w:space="0" w:color="000000"/>
              <w:bottom w:val="single" w:sz="6" w:space="0" w:color="000000"/>
              <w:right w:val="single" w:sz="6" w:space="0" w:color="000000"/>
            </w:tcBorders>
            <w:hideMark/>
          </w:tcPr>
          <w:p w14:paraId="5043CB48" w14:textId="77777777" w:rsidR="00F1028D" w:rsidRDefault="00F1028D">
            <w:r>
              <w:t>Hepatito C viruso genotipo nustatymas</w:t>
            </w:r>
          </w:p>
        </w:tc>
        <w:tc>
          <w:tcPr>
            <w:tcW w:w="954" w:type="pct"/>
            <w:tcBorders>
              <w:top w:val="single" w:sz="6" w:space="0" w:color="000000"/>
              <w:left w:val="single" w:sz="6" w:space="0" w:color="000000"/>
              <w:bottom w:val="single" w:sz="6" w:space="0" w:color="000000"/>
              <w:right w:val="single" w:sz="4" w:space="0" w:color="auto"/>
            </w:tcBorders>
            <w:hideMark/>
          </w:tcPr>
          <w:p w14:paraId="53DA5C7A" w14:textId="33D4641C" w:rsidR="00F1028D" w:rsidRDefault="00F1028D">
            <w:pPr>
              <w:jc w:val="center"/>
            </w:pPr>
            <w:r w:rsidRPr="00F75DA6">
              <w:t>2</w:t>
            </w:r>
            <w:r>
              <w:t>0</w:t>
            </w:r>
            <w:r w:rsidRPr="00F75DA6">
              <w:t>00</w:t>
            </w:r>
          </w:p>
        </w:tc>
      </w:tr>
      <w:tr w:rsidR="00F1028D" w14:paraId="47B6D65A" w14:textId="77777777" w:rsidTr="00253E78">
        <w:trPr>
          <w:jc w:val="right"/>
        </w:trPr>
        <w:tc>
          <w:tcPr>
            <w:tcW w:w="512" w:type="pct"/>
            <w:tcBorders>
              <w:top w:val="single" w:sz="6" w:space="0" w:color="000000"/>
              <w:left w:val="single" w:sz="6" w:space="0" w:color="000000"/>
              <w:bottom w:val="single" w:sz="6" w:space="0" w:color="000000"/>
              <w:right w:val="single" w:sz="6" w:space="0" w:color="000000"/>
            </w:tcBorders>
          </w:tcPr>
          <w:p w14:paraId="33673971" w14:textId="77777777" w:rsidR="00F1028D" w:rsidRDefault="00F1028D">
            <w:pPr>
              <w:ind w:left="133"/>
            </w:pPr>
          </w:p>
        </w:tc>
        <w:tc>
          <w:tcPr>
            <w:tcW w:w="3535" w:type="pct"/>
            <w:tcBorders>
              <w:top w:val="single" w:sz="6" w:space="0" w:color="000000"/>
              <w:left w:val="single" w:sz="6" w:space="0" w:color="000000"/>
              <w:bottom w:val="single" w:sz="6" w:space="0" w:color="000000"/>
              <w:right w:val="single" w:sz="6" w:space="0" w:color="000000"/>
            </w:tcBorders>
          </w:tcPr>
          <w:p w14:paraId="1A137F3E" w14:textId="06ACD66F" w:rsidR="00F1028D" w:rsidRPr="00F75DA6" w:rsidRDefault="00F1028D">
            <w:pPr>
              <w:rPr>
                <w:b/>
                <w:bCs/>
              </w:rPr>
            </w:pPr>
            <w:r w:rsidRPr="00F75DA6">
              <w:rPr>
                <w:b/>
                <w:bCs/>
              </w:rPr>
              <w:t>VISO</w:t>
            </w:r>
          </w:p>
        </w:tc>
        <w:tc>
          <w:tcPr>
            <w:tcW w:w="954" w:type="pct"/>
            <w:tcBorders>
              <w:top w:val="single" w:sz="6" w:space="0" w:color="000000"/>
              <w:left w:val="single" w:sz="6" w:space="0" w:color="000000"/>
              <w:bottom w:val="single" w:sz="6" w:space="0" w:color="000000"/>
              <w:right w:val="single" w:sz="4" w:space="0" w:color="auto"/>
            </w:tcBorders>
          </w:tcPr>
          <w:p w14:paraId="7905232B" w14:textId="1900DCFC" w:rsidR="00F1028D" w:rsidRPr="00735395" w:rsidRDefault="004A4325">
            <w:pPr>
              <w:jc w:val="center"/>
              <w:rPr>
                <w:highlight w:val="yellow"/>
              </w:rPr>
            </w:pPr>
            <w:r w:rsidRPr="00FA0E8E">
              <w:rPr>
                <w:b/>
                <w:bCs/>
              </w:rPr>
              <w:t>4060</w:t>
            </w:r>
          </w:p>
        </w:tc>
      </w:tr>
    </w:tbl>
    <w:p w14:paraId="0397AB3E" w14:textId="790DF689" w:rsidR="00A510BF" w:rsidRDefault="00433056">
      <w:r>
        <w:rPr>
          <w:szCs w:val="24"/>
        </w:rPr>
        <w:tab/>
      </w:r>
    </w:p>
    <w:p w14:paraId="13B6339E" w14:textId="4DD4D257" w:rsidR="00BA294E" w:rsidRPr="000576E8" w:rsidRDefault="00BA294E" w:rsidP="000576E8">
      <w:pPr>
        <w:pStyle w:val="ListParagraph"/>
        <w:numPr>
          <w:ilvl w:val="0"/>
          <w:numId w:val="1"/>
        </w:numPr>
        <w:tabs>
          <w:tab w:val="left" w:pos="1418"/>
        </w:tabs>
        <w:spacing w:before="100" w:beforeAutospacing="1" w:after="100" w:afterAutospacing="1"/>
        <w:ind w:left="0" w:right="-2" w:firstLine="1134"/>
        <w:jc w:val="both"/>
        <w:rPr>
          <w:szCs w:val="24"/>
          <w:lang w:eastAsia="en-US"/>
        </w:rPr>
      </w:pPr>
      <w:r w:rsidRPr="00BA294E">
        <w:rPr>
          <w:szCs w:val="24"/>
          <w:lang w:eastAsia="en-US"/>
        </w:rPr>
        <w:t>Kraujo ėminiai turi būti surenkami iš kiekvieno Lietuvos kalėjimų tarnybos asmens</w:t>
      </w:r>
      <w:r w:rsidR="000576E8">
        <w:rPr>
          <w:szCs w:val="24"/>
          <w:lang w:eastAsia="en-US"/>
        </w:rPr>
        <w:t xml:space="preserve"> </w:t>
      </w:r>
      <w:r w:rsidRPr="000576E8">
        <w:rPr>
          <w:szCs w:val="24"/>
          <w:lang w:eastAsia="en-US"/>
        </w:rPr>
        <w:t>sveikatos priežiūros padalinio ne rečiau kaip 1 (vieną) kartą per savaitę iki 12:00 val.</w:t>
      </w:r>
    </w:p>
    <w:p w14:paraId="4FE6F6EF" w14:textId="26340D76" w:rsidR="00BA294E" w:rsidRPr="00BA294E" w:rsidRDefault="00BA294E" w:rsidP="000576E8">
      <w:pPr>
        <w:pStyle w:val="ListParagraph"/>
        <w:spacing w:before="100" w:beforeAutospacing="1" w:after="100" w:afterAutospacing="1"/>
        <w:ind w:left="0" w:firstLine="1134"/>
        <w:jc w:val="both"/>
        <w:rPr>
          <w:szCs w:val="24"/>
          <w:lang w:eastAsia="en-US"/>
        </w:rPr>
      </w:pPr>
      <w:r w:rsidRPr="00BA294E">
        <w:rPr>
          <w:szCs w:val="24"/>
          <w:lang w:eastAsia="en-US"/>
        </w:rPr>
        <w:t>Konkreti ėminių surinkimo diena derinami iš anksto su kiekvienu padaliniu atskirai, todėl skirtingų padalinių ėminiai gali būti surenkami skirtingomis tos pačios savaitės dienomis . Esant poreikiui, ėminiai gali būti surenkami ir dažniau nei 1 kartą per savaitę.</w:t>
      </w:r>
    </w:p>
    <w:p w14:paraId="6A9C140D" w14:textId="77777777" w:rsidR="00BA294E" w:rsidRPr="00BA294E" w:rsidRDefault="00BA294E" w:rsidP="000576E8">
      <w:pPr>
        <w:pStyle w:val="ListParagraph"/>
        <w:spacing w:before="100" w:beforeAutospacing="1" w:after="100" w:afterAutospacing="1"/>
        <w:ind w:left="0" w:firstLine="1134"/>
        <w:jc w:val="both"/>
        <w:rPr>
          <w:szCs w:val="24"/>
          <w:lang w:eastAsia="en-US"/>
        </w:rPr>
      </w:pPr>
      <w:r w:rsidRPr="00BA294E">
        <w:rPr>
          <w:szCs w:val="24"/>
          <w:lang w:eastAsia="en-US"/>
        </w:rPr>
        <w:t>Surinkimas vykdomas šiais veiklos adresais, suderinus ėminių paėmimo dieną:</w:t>
      </w:r>
    </w:p>
    <w:p w14:paraId="091A7C4A" w14:textId="77777777" w:rsidR="00BA294E" w:rsidRPr="00BA294E" w:rsidRDefault="00BA294E" w:rsidP="00BA294E">
      <w:pPr>
        <w:pStyle w:val="ListParagraph"/>
        <w:ind w:left="1650" w:right="-2"/>
        <w:jc w:val="both"/>
        <w:rPr>
          <w:color w:val="000000"/>
          <w:szCs w:val="24"/>
        </w:rPr>
      </w:pPr>
    </w:p>
    <w:p w14:paraId="3F713104" w14:textId="5BE04F31" w:rsidR="00F1028D" w:rsidRDefault="00F1028D" w:rsidP="000576E8">
      <w:pPr>
        <w:ind w:firstLine="1134"/>
        <w:jc w:val="both"/>
        <w:rPr>
          <w:szCs w:val="24"/>
        </w:rPr>
      </w:pPr>
      <w:r>
        <w:rPr>
          <w:szCs w:val="24"/>
        </w:rPr>
        <w:t xml:space="preserve">2.1. </w:t>
      </w:r>
      <w:r>
        <w:rPr>
          <w:bCs/>
          <w:szCs w:val="24"/>
        </w:rPr>
        <w:t>Pravieniškių g. 57, Pravieniškių k., Kaišiadorių r.;</w:t>
      </w:r>
      <w:r>
        <w:rPr>
          <w:szCs w:val="24"/>
        </w:rPr>
        <w:t xml:space="preserve"> </w:t>
      </w:r>
    </w:p>
    <w:p w14:paraId="74723653" w14:textId="3CC13A24" w:rsidR="00F1028D" w:rsidRDefault="00F1028D" w:rsidP="000576E8">
      <w:pPr>
        <w:ind w:firstLine="1134"/>
        <w:jc w:val="both"/>
        <w:rPr>
          <w:szCs w:val="24"/>
        </w:rPr>
      </w:pPr>
      <w:r>
        <w:rPr>
          <w:szCs w:val="24"/>
        </w:rPr>
        <w:t>2.2.</w:t>
      </w:r>
      <w:r w:rsidRPr="00F166A9">
        <w:rPr>
          <w:szCs w:val="24"/>
        </w:rPr>
        <w:t xml:space="preserve"> </w:t>
      </w:r>
      <w:r>
        <w:rPr>
          <w:szCs w:val="24"/>
        </w:rPr>
        <w:t>Šv. Florijono g. 7, Pravieniškių km., Kaišiadorių r.;</w:t>
      </w:r>
    </w:p>
    <w:p w14:paraId="5C9B001E" w14:textId="540EAECC" w:rsidR="00F1028D" w:rsidRDefault="00F1028D" w:rsidP="000576E8">
      <w:pPr>
        <w:ind w:firstLine="1134"/>
        <w:jc w:val="both"/>
        <w:rPr>
          <w:bCs/>
          <w:szCs w:val="24"/>
        </w:rPr>
      </w:pPr>
      <w:r>
        <w:rPr>
          <w:szCs w:val="24"/>
        </w:rPr>
        <w:t>2.3.</w:t>
      </w:r>
      <w:r w:rsidRPr="00F166A9">
        <w:rPr>
          <w:szCs w:val="24"/>
        </w:rPr>
        <w:t xml:space="preserve"> </w:t>
      </w:r>
      <w:r>
        <w:rPr>
          <w:szCs w:val="24"/>
        </w:rPr>
        <w:t>Pravieniškių g. 5, Pravieniškių k., Kaišiadorių r.;</w:t>
      </w:r>
    </w:p>
    <w:p w14:paraId="41606361" w14:textId="77777777" w:rsidR="00F1028D" w:rsidRDefault="00F1028D" w:rsidP="000576E8">
      <w:pPr>
        <w:ind w:firstLine="1134"/>
        <w:jc w:val="both"/>
        <w:rPr>
          <w:szCs w:val="24"/>
        </w:rPr>
      </w:pPr>
      <w:r>
        <w:rPr>
          <w:bCs/>
          <w:szCs w:val="24"/>
        </w:rPr>
        <w:t xml:space="preserve">2.4. </w:t>
      </w:r>
      <w:r>
        <w:rPr>
          <w:szCs w:val="24"/>
        </w:rPr>
        <w:t>Rasų g. 8, Vilnius;</w:t>
      </w:r>
    </w:p>
    <w:p w14:paraId="29D149F8" w14:textId="77777777" w:rsidR="00F1028D" w:rsidRDefault="00F1028D" w:rsidP="000576E8">
      <w:pPr>
        <w:ind w:firstLine="1134"/>
        <w:jc w:val="both"/>
        <w:rPr>
          <w:szCs w:val="24"/>
        </w:rPr>
      </w:pPr>
      <w:r>
        <w:rPr>
          <w:szCs w:val="24"/>
        </w:rPr>
        <w:t xml:space="preserve">2.5. Sporto g. 7, Marijampolė;  </w:t>
      </w:r>
    </w:p>
    <w:p w14:paraId="5D0F7EBE" w14:textId="77777777" w:rsidR="00F1028D" w:rsidRDefault="00F1028D" w:rsidP="000576E8">
      <w:pPr>
        <w:ind w:firstLine="1134"/>
        <w:jc w:val="both"/>
        <w:rPr>
          <w:szCs w:val="24"/>
        </w:rPr>
      </w:pPr>
      <w:r>
        <w:rPr>
          <w:szCs w:val="24"/>
        </w:rPr>
        <w:t xml:space="preserve">2.6. P. Puzino g. 12, </w:t>
      </w:r>
      <w:r w:rsidRPr="00012972">
        <w:rPr>
          <w:szCs w:val="24"/>
        </w:rPr>
        <w:t>Panevėžys</w:t>
      </w:r>
      <w:r>
        <w:rPr>
          <w:szCs w:val="24"/>
        </w:rPr>
        <w:t>;</w:t>
      </w:r>
      <w:r w:rsidRPr="00012972">
        <w:rPr>
          <w:szCs w:val="24"/>
        </w:rPr>
        <w:t xml:space="preserve"> </w:t>
      </w:r>
    </w:p>
    <w:p w14:paraId="367E1C16" w14:textId="77777777" w:rsidR="00F1028D" w:rsidRDefault="00F1028D" w:rsidP="000576E8">
      <w:pPr>
        <w:ind w:firstLine="1134"/>
        <w:jc w:val="both"/>
        <w:rPr>
          <w:szCs w:val="24"/>
        </w:rPr>
      </w:pPr>
      <w:r>
        <w:rPr>
          <w:szCs w:val="24"/>
        </w:rPr>
        <w:t>2.7. Ulonų g. 8A, Alyt</w:t>
      </w:r>
      <w:r w:rsidRPr="00B32931">
        <w:rPr>
          <w:szCs w:val="24"/>
        </w:rPr>
        <w:t>us</w:t>
      </w:r>
      <w:r>
        <w:rPr>
          <w:szCs w:val="24"/>
        </w:rPr>
        <w:t>;</w:t>
      </w:r>
      <w:r w:rsidRPr="00B32931">
        <w:rPr>
          <w:szCs w:val="24"/>
        </w:rPr>
        <w:t xml:space="preserve"> </w:t>
      </w:r>
    </w:p>
    <w:p w14:paraId="1F084266" w14:textId="77777777" w:rsidR="00F1028D" w:rsidRDefault="00F1028D" w:rsidP="000576E8">
      <w:pPr>
        <w:ind w:firstLine="1134"/>
        <w:jc w:val="both"/>
        <w:rPr>
          <w:szCs w:val="24"/>
        </w:rPr>
      </w:pPr>
      <w:r>
        <w:rPr>
          <w:szCs w:val="24"/>
        </w:rPr>
        <w:t xml:space="preserve">2.8. Technikos g. 34, Kaunas; </w:t>
      </w:r>
    </w:p>
    <w:p w14:paraId="1AE804B2" w14:textId="77777777" w:rsidR="00F1028D" w:rsidRDefault="00F1028D" w:rsidP="000576E8">
      <w:pPr>
        <w:ind w:firstLine="1134"/>
        <w:jc w:val="both"/>
        <w:rPr>
          <w:szCs w:val="24"/>
        </w:rPr>
      </w:pPr>
      <w:r>
        <w:rPr>
          <w:szCs w:val="24"/>
        </w:rPr>
        <w:t>2.9. A. Mickevičiaus g. 11, Kaunas;</w:t>
      </w:r>
    </w:p>
    <w:p w14:paraId="5208D8A2" w14:textId="77777777" w:rsidR="00F1028D" w:rsidRDefault="00F1028D" w:rsidP="000576E8">
      <w:pPr>
        <w:ind w:firstLine="1134"/>
        <w:jc w:val="both"/>
        <w:rPr>
          <w:szCs w:val="24"/>
        </w:rPr>
      </w:pPr>
      <w:r>
        <w:rPr>
          <w:szCs w:val="24"/>
        </w:rPr>
        <w:t xml:space="preserve">2.10. Trakų g. 10, Šiauliai. </w:t>
      </w:r>
    </w:p>
    <w:p w14:paraId="386BB2FE" w14:textId="77777777" w:rsidR="00F1028D" w:rsidRDefault="00F1028D" w:rsidP="000576E8">
      <w:pPr>
        <w:ind w:firstLine="1134"/>
        <w:jc w:val="both"/>
        <w:rPr>
          <w:color w:val="000000"/>
          <w:szCs w:val="24"/>
        </w:rPr>
      </w:pPr>
    </w:p>
    <w:p w14:paraId="16BE8295" w14:textId="77777777" w:rsidR="00F1028D" w:rsidRDefault="00F1028D" w:rsidP="000576E8">
      <w:pPr>
        <w:ind w:right="-2" w:firstLine="1134"/>
        <w:jc w:val="both"/>
        <w:rPr>
          <w:color w:val="000000"/>
          <w:szCs w:val="24"/>
        </w:rPr>
      </w:pPr>
      <w:r>
        <w:rPr>
          <w:color w:val="000000"/>
          <w:szCs w:val="24"/>
        </w:rPr>
        <w:t>Paimti ėminiai turi būti pristatomi į laboratoriją.</w:t>
      </w:r>
    </w:p>
    <w:p w14:paraId="25A44C79" w14:textId="77777777" w:rsidR="00F1028D" w:rsidRDefault="00F1028D" w:rsidP="00F1028D">
      <w:pPr>
        <w:jc w:val="both"/>
        <w:rPr>
          <w:color w:val="000000"/>
          <w:szCs w:val="24"/>
        </w:rPr>
      </w:pPr>
    </w:p>
    <w:p w14:paraId="2B16763B" w14:textId="77777777" w:rsidR="00F1028D" w:rsidRDefault="00F1028D" w:rsidP="000576E8">
      <w:pPr>
        <w:ind w:firstLine="1134"/>
        <w:jc w:val="both"/>
        <w:rPr>
          <w:color w:val="000000"/>
          <w:szCs w:val="24"/>
        </w:rPr>
      </w:pPr>
      <w:r>
        <w:rPr>
          <w:color w:val="000000"/>
          <w:szCs w:val="24"/>
        </w:rPr>
        <w:t xml:space="preserve">3. Laboratorija privalo užtikrinti asmens duomenų apie pacientus ir atliekamus tyrimus apsaugą ir konfidencialumą. </w:t>
      </w:r>
    </w:p>
    <w:p w14:paraId="17C278B9" w14:textId="77777777" w:rsidR="00F1028D" w:rsidRDefault="00F1028D" w:rsidP="00221211">
      <w:pPr>
        <w:ind w:firstLine="1134"/>
        <w:jc w:val="both"/>
        <w:rPr>
          <w:szCs w:val="24"/>
        </w:rPr>
      </w:pPr>
      <w:r>
        <w:rPr>
          <w:color w:val="000000"/>
          <w:szCs w:val="24"/>
        </w:rPr>
        <w:t xml:space="preserve">4. </w:t>
      </w:r>
      <w:r>
        <w:rPr>
          <w:szCs w:val="24"/>
        </w:rPr>
        <w:t xml:space="preserve">Laboratorijoje atlikus atrankinį laboratorinį tyrimą dėl ŽIV ir gavus teigiamą rezultatą arba atrankinio laboratorinio tyrimo dėl ŽIV metu du kartus gavus abejotiną rezultatą, laboratorija teisės aktų nustatyta tvarka organizuoja ŽIV laboratorinės diagnozės patvirtinimą ir PASPS </w:t>
      </w:r>
      <w:r>
        <w:rPr>
          <w:szCs w:val="24"/>
        </w:rPr>
        <w:lastRenderedPageBreak/>
        <w:t xml:space="preserve">padaliniui, iš kurio buvo paimtas ėminys, pateikia tyrimo protokolą, užtikrindama paciento duomenų konfidencialumą. </w:t>
      </w:r>
    </w:p>
    <w:p w14:paraId="1A9E0908" w14:textId="21B7F0D2" w:rsidR="00F1028D" w:rsidRDefault="00F1028D" w:rsidP="00221211">
      <w:pPr>
        <w:ind w:firstLine="1134"/>
        <w:jc w:val="both"/>
        <w:rPr>
          <w:color w:val="000000"/>
          <w:szCs w:val="24"/>
        </w:rPr>
      </w:pPr>
      <w:r>
        <w:rPr>
          <w:color w:val="000000"/>
          <w:szCs w:val="24"/>
        </w:rPr>
        <w:t xml:space="preserve">5. Laboratorija visų atliktų tyrimų atsakymų </w:t>
      </w:r>
      <w:r w:rsidR="00DC7491">
        <w:rPr>
          <w:color w:val="000000"/>
          <w:szCs w:val="24"/>
        </w:rPr>
        <w:t xml:space="preserve">popierinius </w:t>
      </w:r>
      <w:r>
        <w:rPr>
          <w:color w:val="000000"/>
          <w:szCs w:val="24"/>
        </w:rPr>
        <w:t xml:space="preserve">protokolus turi pristatyti ne vėliau kaip per 10 </w:t>
      </w:r>
      <w:r w:rsidR="00DC7491">
        <w:rPr>
          <w:color w:val="000000"/>
          <w:szCs w:val="24"/>
        </w:rPr>
        <w:t xml:space="preserve">(dešimt) </w:t>
      </w:r>
      <w:r>
        <w:rPr>
          <w:color w:val="000000"/>
          <w:szCs w:val="24"/>
        </w:rPr>
        <w:t>kalendorinių dienų nuo ėminio paėmimo dienos PASPS padaliniui, iš kurio buvo paimtas ėminys.</w:t>
      </w:r>
    </w:p>
    <w:p w14:paraId="634B6344" w14:textId="77777777" w:rsidR="00605F4E" w:rsidRDefault="00605F4E" w:rsidP="00605F4E">
      <w:pPr>
        <w:keepNext/>
        <w:ind w:right="-441"/>
        <w:outlineLvl w:val="1"/>
        <w:rPr>
          <w:bCs/>
          <w:iCs/>
          <w:szCs w:val="24"/>
        </w:rPr>
      </w:pPr>
      <w:r>
        <w:rPr>
          <w:color w:val="000000"/>
          <w:szCs w:val="24"/>
        </w:rPr>
        <w:t xml:space="preserve">                   6. </w:t>
      </w:r>
      <w:r w:rsidRPr="00A02AAD">
        <w:rPr>
          <w:color w:val="000000"/>
          <w:szCs w:val="24"/>
        </w:rPr>
        <w:t xml:space="preserve">Gydančio gydytojo užpildyti </w:t>
      </w:r>
      <w:r>
        <w:rPr>
          <w:color w:val="000000"/>
          <w:szCs w:val="24"/>
        </w:rPr>
        <w:t>t</w:t>
      </w:r>
      <w:r w:rsidRPr="00A02AAD">
        <w:rPr>
          <w:color w:val="000000"/>
          <w:szCs w:val="24"/>
        </w:rPr>
        <w:t>yrimų užsakymo lapai pateikiami kartu su kraujo ėminiais. Užsakymas laikomas gautu nuo kraujo ėminių paėmimo iš Pirkėjo momento.</w:t>
      </w:r>
    </w:p>
    <w:p w14:paraId="2DA0C231" w14:textId="5E010B01" w:rsidR="00F6329C" w:rsidRDefault="00F6329C" w:rsidP="00412B62">
      <w:pPr>
        <w:ind w:left="142" w:firstLine="1148"/>
        <w:jc w:val="both"/>
        <w:rPr>
          <w:color w:val="000000"/>
          <w:szCs w:val="24"/>
        </w:rPr>
      </w:pPr>
    </w:p>
    <w:p w14:paraId="0B46ACC4" w14:textId="77777777" w:rsidR="00F6329C" w:rsidRDefault="00F6329C" w:rsidP="00F6329C"/>
    <w:p w14:paraId="13084643" w14:textId="53C348A6" w:rsidR="00663F97" w:rsidRDefault="00663F97"/>
    <w:p w14:paraId="5362C8B6" w14:textId="77777777" w:rsidR="00663F97" w:rsidRDefault="00663F97"/>
    <w:sectPr w:rsidR="00663F97" w:rsidSect="0046142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317C7"/>
    <w:multiLevelType w:val="hybridMultilevel"/>
    <w:tmpl w:val="A926C930"/>
    <w:lvl w:ilvl="0" w:tplc="DE62EA2E">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186902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6B"/>
    <w:rsid w:val="00003943"/>
    <w:rsid w:val="00004083"/>
    <w:rsid w:val="00012972"/>
    <w:rsid w:val="000576E8"/>
    <w:rsid w:val="00087855"/>
    <w:rsid w:val="000A7852"/>
    <w:rsid w:val="000B2566"/>
    <w:rsid w:val="000C0F6F"/>
    <w:rsid w:val="000E0479"/>
    <w:rsid w:val="000E33C0"/>
    <w:rsid w:val="00124F35"/>
    <w:rsid w:val="00171BEE"/>
    <w:rsid w:val="001F28B8"/>
    <w:rsid w:val="00202A4B"/>
    <w:rsid w:val="002032E0"/>
    <w:rsid w:val="00221211"/>
    <w:rsid w:val="00233E48"/>
    <w:rsid w:val="0024309E"/>
    <w:rsid w:val="00243723"/>
    <w:rsid w:val="00253E78"/>
    <w:rsid w:val="002B3584"/>
    <w:rsid w:val="002D3F40"/>
    <w:rsid w:val="00316B0E"/>
    <w:rsid w:val="003A35E2"/>
    <w:rsid w:val="003D692B"/>
    <w:rsid w:val="003E0EBC"/>
    <w:rsid w:val="003F008C"/>
    <w:rsid w:val="00412B62"/>
    <w:rsid w:val="00433056"/>
    <w:rsid w:val="00461425"/>
    <w:rsid w:val="004903D8"/>
    <w:rsid w:val="004A1EA3"/>
    <w:rsid w:val="004A4325"/>
    <w:rsid w:val="00587C3A"/>
    <w:rsid w:val="00605F4E"/>
    <w:rsid w:val="00663F97"/>
    <w:rsid w:val="00671253"/>
    <w:rsid w:val="00685A83"/>
    <w:rsid w:val="00692DCF"/>
    <w:rsid w:val="006A5999"/>
    <w:rsid w:val="006D015B"/>
    <w:rsid w:val="00735395"/>
    <w:rsid w:val="00746A6D"/>
    <w:rsid w:val="00765311"/>
    <w:rsid w:val="007D4A7F"/>
    <w:rsid w:val="008157AC"/>
    <w:rsid w:val="008C4BBD"/>
    <w:rsid w:val="009005CE"/>
    <w:rsid w:val="0090136B"/>
    <w:rsid w:val="0093002E"/>
    <w:rsid w:val="00935A1F"/>
    <w:rsid w:val="00957158"/>
    <w:rsid w:val="00967EB8"/>
    <w:rsid w:val="009A16BC"/>
    <w:rsid w:val="009D029D"/>
    <w:rsid w:val="00A30E40"/>
    <w:rsid w:val="00A45FD2"/>
    <w:rsid w:val="00A510BF"/>
    <w:rsid w:val="00A53D33"/>
    <w:rsid w:val="00A96A01"/>
    <w:rsid w:val="00AE5D64"/>
    <w:rsid w:val="00B32931"/>
    <w:rsid w:val="00BA294E"/>
    <w:rsid w:val="00BB7C4D"/>
    <w:rsid w:val="00C342EB"/>
    <w:rsid w:val="00C93C30"/>
    <w:rsid w:val="00C96CDC"/>
    <w:rsid w:val="00CE41F9"/>
    <w:rsid w:val="00D063A9"/>
    <w:rsid w:val="00D35507"/>
    <w:rsid w:val="00D411B0"/>
    <w:rsid w:val="00D623FB"/>
    <w:rsid w:val="00DB5B9D"/>
    <w:rsid w:val="00DC7491"/>
    <w:rsid w:val="00EA15D3"/>
    <w:rsid w:val="00EE1E64"/>
    <w:rsid w:val="00EE3D09"/>
    <w:rsid w:val="00EE60FF"/>
    <w:rsid w:val="00F1028D"/>
    <w:rsid w:val="00F166A9"/>
    <w:rsid w:val="00F1696C"/>
    <w:rsid w:val="00F4203A"/>
    <w:rsid w:val="00F53693"/>
    <w:rsid w:val="00F6329C"/>
    <w:rsid w:val="00F75DA6"/>
    <w:rsid w:val="00F9707E"/>
    <w:rsid w:val="00FC09F6"/>
    <w:rsid w:val="00FC68A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8260"/>
  <w15:chartTrackingRefBased/>
  <w15:docId w15:val="{9D3D4D4D-9742-4A4A-B39B-213ABD15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056"/>
    <w:pPr>
      <w:spacing w:after="0" w:line="240" w:lineRule="auto"/>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04083"/>
    <w:pPr>
      <w:spacing w:after="0" w:line="240" w:lineRule="auto"/>
    </w:pPr>
    <w:rPr>
      <w:rFonts w:eastAsia="Times New Roman"/>
      <w:szCs w:val="20"/>
      <w:lang w:eastAsia="lt-LT"/>
    </w:rPr>
  </w:style>
  <w:style w:type="character" w:styleId="CommentReference">
    <w:name w:val="annotation reference"/>
    <w:basedOn w:val="DefaultParagraphFont"/>
    <w:semiHidden/>
    <w:unhideWhenUsed/>
    <w:rsid w:val="00004083"/>
    <w:rPr>
      <w:sz w:val="16"/>
      <w:szCs w:val="16"/>
    </w:rPr>
  </w:style>
  <w:style w:type="paragraph" w:styleId="CommentText">
    <w:name w:val="annotation text"/>
    <w:basedOn w:val="Normal"/>
    <w:link w:val="CommentTextChar"/>
    <w:uiPriority w:val="99"/>
    <w:unhideWhenUsed/>
    <w:rsid w:val="00004083"/>
    <w:rPr>
      <w:sz w:val="20"/>
    </w:rPr>
  </w:style>
  <w:style w:type="character" w:customStyle="1" w:styleId="CommentTextChar">
    <w:name w:val="Comment Text Char"/>
    <w:basedOn w:val="DefaultParagraphFont"/>
    <w:link w:val="CommentText"/>
    <w:uiPriority w:val="99"/>
    <w:rsid w:val="00004083"/>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04083"/>
    <w:rPr>
      <w:b/>
      <w:bCs/>
    </w:rPr>
  </w:style>
  <w:style w:type="character" w:customStyle="1" w:styleId="CommentSubjectChar">
    <w:name w:val="Comment Subject Char"/>
    <w:basedOn w:val="CommentTextChar"/>
    <w:link w:val="CommentSubject"/>
    <w:uiPriority w:val="99"/>
    <w:semiHidden/>
    <w:rsid w:val="00004083"/>
    <w:rPr>
      <w:rFonts w:eastAsia="Times New Roman"/>
      <w:b/>
      <w:bCs/>
      <w:sz w:val="20"/>
      <w:szCs w:val="20"/>
      <w:lang w:eastAsia="lt-LT"/>
    </w:rPr>
  </w:style>
  <w:style w:type="paragraph" w:styleId="BalloonText">
    <w:name w:val="Balloon Text"/>
    <w:basedOn w:val="Normal"/>
    <w:link w:val="BalloonTextChar"/>
    <w:uiPriority w:val="99"/>
    <w:semiHidden/>
    <w:unhideWhenUsed/>
    <w:rsid w:val="009D0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9D"/>
    <w:rPr>
      <w:rFonts w:ascii="Segoe UI" w:eastAsia="Times New Roman" w:hAnsi="Segoe UI" w:cs="Segoe UI"/>
      <w:sz w:val="18"/>
      <w:szCs w:val="18"/>
      <w:lang w:eastAsia="lt-LT"/>
    </w:rPr>
  </w:style>
  <w:style w:type="paragraph" w:styleId="ListParagraph">
    <w:name w:val="List Paragraph"/>
    <w:basedOn w:val="Normal"/>
    <w:uiPriority w:val="34"/>
    <w:qFormat/>
    <w:rsid w:val="00F53693"/>
    <w:pPr>
      <w:ind w:left="720"/>
      <w:contextualSpacing/>
    </w:pPr>
  </w:style>
  <w:style w:type="paragraph" w:styleId="NormalWeb">
    <w:name w:val="Normal (Web)"/>
    <w:basedOn w:val="Normal"/>
    <w:uiPriority w:val="99"/>
    <w:semiHidden/>
    <w:unhideWhenUsed/>
    <w:rsid w:val="00243723"/>
    <w:rPr>
      <w:szCs w:val="24"/>
    </w:rPr>
  </w:style>
  <w:style w:type="paragraph" w:customStyle="1" w:styleId="pf0">
    <w:name w:val="pf0"/>
    <w:basedOn w:val="Normal"/>
    <w:rsid w:val="00BA294E"/>
    <w:pPr>
      <w:spacing w:before="100" w:beforeAutospacing="1" w:after="100" w:afterAutospacing="1"/>
    </w:pPr>
    <w:rPr>
      <w:szCs w:val="24"/>
      <w:lang w:val="en-US" w:eastAsia="en-US"/>
    </w:rPr>
  </w:style>
  <w:style w:type="character" w:customStyle="1" w:styleId="cf01">
    <w:name w:val="cf01"/>
    <w:basedOn w:val="DefaultParagraphFont"/>
    <w:rsid w:val="00BA294E"/>
    <w:rPr>
      <w:rFonts w:ascii="Segoe UI" w:hAnsi="Segoe UI" w:cs="Segoe UI" w:hint="default"/>
      <w:b/>
      <w:bCs/>
      <w:sz w:val="18"/>
      <w:szCs w:val="18"/>
    </w:rPr>
  </w:style>
  <w:style w:type="character" w:customStyle="1" w:styleId="cf11">
    <w:name w:val="cf11"/>
    <w:basedOn w:val="DefaultParagraphFont"/>
    <w:rsid w:val="00BA29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38524">
      <w:bodyDiv w:val="1"/>
      <w:marLeft w:val="0"/>
      <w:marRight w:val="0"/>
      <w:marTop w:val="0"/>
      <w:marBottom w:val="0"/>
      <w:divBdr>
        <w:top w:val="none" w:sz="0" w:space="0" w:color="auto"/>
        <w:left w:val="none" w:sz="0" w:space="0" w:color="auto"/>
        <w:bottom w:val="none" w:sz="0" w:space="0" w:color="auto"/>
        <w:right w:val="none" w:sz="0" w:space="0" w:color="auto"/>
      </w:divBdr>
    </w:div>
    <w:div w:id="263729787">
      <w:bodyDiv w:val="1"/>
      <w:marLeft w:val="0"/>
      <w:marRight w:val="0"/>
      <w:marTop w:val="0"/>
      <w:marBottom w:val="0"/>
      <w:divBdr>
        <w:top w:val="none" w:sz="0" w:space="0" w:color="auto"/>
        <w:left w:val="none" w:sz="0" w:space="0" w:color="auto"/>
        <w:bottom w:val="none" w:sz="0" w:space="0" w:color="auto"/>
        <w:right w:val="none" w:sz="0" w:space="0" w:color="auto"/>
      </w:divBdr>
    </w:div>
    <w:div w:id="275799786">
      <w:bodyDiv w:val="1"/>
      <w:marLeft w:val="0"/>
      <w:marRight w:val="0"/>
      <w:marTop w:val="0"/>
      <w:marBottom w:val="0"/>
      <w:divBdr>
        <w:top w:val="none" w:sz="0" w:space="0" w:color="auto"/>
        <w:left w:val="none" w:sz="0" w:space="0" w:color="auto"/>
        <w:bottom w:val="none" w:sz="0" w:space="0" w:color="auto"/>
        <w:right w:val="none" w:sz="0" w:space="0" w:color="auto"/>
      </w:divBdr>
    </w:div>
    <w:div w:id="193547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C8E7D0EF-A9C9-4B52-90ED-C5139D7E9302}">
  <ds:schemaRefs>
    <ds:schemaRef ds:uri="http://schemas.microsoft.com/sharepoint/v3/contenttype/forms"/>
  </ds:schemaRefs>
</ds:datastoreItem>
</file>

<file path=customXml/itemProps2.xml><?xml version="1.0" encoding="utf-8"?>
<ds:datastoreItem xmlns:ds="http://schemas.openxmlformats.org/officeDocument/2006/customXml" ds:itemID="{C48B2F87-D8CB-4BF9-ADA4-595A2402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F4A9C-757E-494F-9F32-CD9354ACD59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Motiejūnienė</dc:creator>
  <cp:lastModifiedBy>Viktorija Valatkaitė</cp:lastModifiedBy>
  <cp:revision>4</cp:revision>
  <dcterms:created xsi:type="dcterms:W3CDTF">2026-03-03T12:16:00Z</dcterms:created>
  <dcterms:modified xsi:type="dcterms:W3CDTF">2026-03-10T09:16:00Z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