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E71ECE" w:rsidRDefault="00C236C0" w:rsidP="00734051">
      <w:pPr>
        <w:spacing w:after="0" w:line="276" w:lineRule="auto"/>
        <w:jc w:val="center"/>
        <w:rPr>
          <w:rFonts w:ascii="Montserrat" w:hAnsi="Montserrat"/>
          <w:b/>
        </w:rPr>
      </w:pPr>
      <w:r w:rsidRPr="00E71ECE">
        <w:rPr>
          <w:rFonts w:ascii="Montserrat" w:hAnsi="Montserrat"/>
          <w:b/>
        </w:rPr>
        <w:t>SAVIVALDYBĖS ĮMONĖ „SUSISIEKIMO PASLAUGOS“</w:t>
      </w:r>
    </w:p>
    <w:p w14:paraId="792E00AE" w14:textId="3EAD84A6" w:rsidR="00734051" w:rsidRPr="00E71ECE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</w:rPr>
      </w:pPr>
      <w:r w:rsidRPr="00E71ECE">
        <w:rPr>
          <w:rFonts w:ascii="Montserrat" w:hAnsi="Montserrat"/>
          <w:b/>
          <w:bCs/>
        </w:rPr>
        <w:t xml:space="preserve">RINKOS </w:t>
      </w:r>
      <w:r w:rsidR="00592F66" w:rsidRPr="00E71ECE">
        <w:rPr>
          <w:rFonts w:ascii="Montserrat" w:hAnsi="Montserrat"/>
          <w:b/>
          <w:bCs/>
        </w:rPr>
        <w:t>KONSULTACIJA</w:t>
      </w:r>
    </w:p>
    <w:p w14:paraId="7387E23E" w14:textId="5FDE5130" w:rsidR="0073291A" w:rsidRPr="00911A27" w:rsidRDefault="0025337F" w:rsidP="00911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ontserrat" w:eastAsia="Montserrat" w:hAnsi="Montserrat" w:cs="Montserrat"/>
          <w:color w:val="000000"/>
        </w:rPr>
      </w:pPr>
      <w:r w:rsidRPr="00733151">
        <w:rPr>
          <w:rFonts w:ascii="Montserrat" w:eastAsiaTheme="majorEastAsia" w:hAnsi="Montserrat" w:cstheme="majorBidi"/>
          <w:b/>
          <w:bCs/>
          <w:spacing w:val="-10"/>
          <w:kern w:val="28"/>
        </w:rPr>
        <w:t>DĖL</w:t>
      </w:r>
      <w:r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 </w:t>
      </w:r>
      <w:r w:rsidR="00911A27">
        <w:rPr>
          <w:rFonts w:ascii="Montserrat" w:eastAsia="Montserrat" w:hAnsi="Montserrat" w:cs="Montserrat"/>
          <w:b/>
          <w:color w:val="000000"/>
        </w:rPr>
        <w:t>ELEKTRONINIŲ BILIETŲ PARDAVIMO (PLATINIMO) PER MOBILIĄJĄ PROGRAMĖLĘ PASLAUGŲ PIRKIMO</w:t>
      </w:r>
      <w:r w:rsidR="000C2F0E"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> 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2C8AA3DC" w:rsidR="0073291A" w:rsidRPr="00911A27" w:rsidRDefault="001141F5" w:rsidP="00911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Montserrat" w:eastAsia="Montserrat" w:hAnsi="Montserrat" w:cs="Montserrat"/>
          <w:bCs/>
          <w:color w:val="000000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>tinkamai pas</w:t>
      </w:r>
      <w:r w:rsidR="00911A27">
        <w:rPr>
          <w:rFonts w:ascii="Montserrat" w:hAnsi="Montserrat"/>
          <w:sz w:val="20"/>
          <w:szCs w:val="20"/>
        </w:rPr>
        <w:t>ire</w:t>
      </w:r>
      <w:r w:rsidR="00A97F5B" w:rsidRPr="00AF0523">
        <w:rPr>
          <w:rFonts w:ascii="Montserrat" w:hAnsi="Montserrat"/>
          <w:sz w:val="20"/>
          <w:szCs w:val="20"/>
        </w:rPr>
        <w:t xml:space="preserve">ngti numatomam </w:t>
      </w:r>
      <w:r w:rsid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>E</w:t>
      </w:r>
      <w:r w:rsidR="00911A27" w:rsidRP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>lektroninių bilietų pardavimo (platinimo) per</w:t>
      </w:r>
      <w:r w:rsid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 xml:space="preserve"> </w:t>
      </w:r>
      <w:r w:rsidR="00911A27" w:rsidRP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>mobiliąją programėlę paslaugų pirkim</w:t>
      </w:r>
      <w:r w:rsidR="00762FFB">
        <w:rPr>
          <w:rFonts w:ascii="Montserrat" w:eastAsia="Montserrat" w:hAnsi="Montserrat" w:cs="Montserrat"/>
          <w:bCs/>
          <w:color w:val="000000"/>
          <w:sz w:val="20"/>
          <w:szCs w:val="20"/>
        </w:rPr>
        <w:t>ui</w:t>
      </w:r>
      <w:r w:rsid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6A79" w14:textId="212C5253" w:rsidR="00F84335" w:rsidRPr="003561E9" w:rsidRDefault="00762FFB" w:rsidP="0059668E">
            <w:pPr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E</w:t>
            </w:r>
            <w:r w:rsidRPr="00911A27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lektroninių bilietų pardavimo (platinimo) per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</w:t>
            </w:r>
            <w:r w:rsidRPr="00911A27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mobiliąją programėlę paslaug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os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2F48" w14:textId="7181A858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specifikacijos,</w:t>
            </w:r>
            <w:r w:rsidR="000E5C0B"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kvalifikacinių reikalavimų</w:t>
            </w:r>
            <w:r w:rsidR="004A75A5">
              <w:rPr>
                <w:rFonts w:ascii="Montserrat" w:hAnsi="Montserrat"/>
                <w:b/>
                <w:bCs/>
                <w:sz w:val="20"/>
                <w:szCs w:val="20"/>
              </w:rPr>
              <w:t xml:space="preserve"> ir kt.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D5A3" w14:textId="0DD6C284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253A85">
              <w:rPr>
                <w:rFonts w:ascii="Montserrat" w:hAnsi="Montserrat"/>
                <w:sz w:val="20"/>
                <w:szCs w:val="20"/>
              </w:rPr>
              <w:t>4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priede.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15B8" w14:textId="16F1B4F8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iki 202</w:t>
            </w:r>
            <w:r w:rsidR="00961E52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961E52">
              <w:rPr>
                <w:rFonts w:ascii="Montserrat" w:hAnsi="Montserrat"/>
                <w:b/>
                <w:bCs/>
                <w:sz w:val="20"/>
                <w:szCs w:val="20"/>
              </w:rPr>
              <w:t>04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504438" w:rsidRPr="00674087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  <w:r w:rsidR="00FD60CC" w:rsidRPr="00674087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</w:t>
            </w:r>
            <w:r w:rsidR="00692DE7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:00 val</w:t>
            </w:r>
            <w:r w:rsidRPr="00674087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4DD0" w14:textId="4F9DA039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>viešųjų pirkimų specialistė Ona Babickienė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ona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babickiene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9A67A2" w:rsidRPr="00AF0523">
              <w:rPr>
                <w:rFonts w:ascii="Montserrat" w:hAnsi="Montserrat"/>
                <w:sz w:val="20"/>
                <w:szCs w:val="20"/>
              </w:rPr>
              <w:t>judu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23A914FE" w14:textId="38A8488D" w:rsidR="00D13D09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1 priedas. Techninės specifikacij</w:t>
      </w:r>
      <w:r w:rsidR="002C36ED">
        <w:rPr>
          <w:rFonts w:ascii="Montserrat" w:hAnsi="Montserrat"/>
          <w:sz w:val="20"/>
          <w:szCs w:val="20"/>
        </w:rPr>
        <w:t>a</w:t>
      </w:r>
      <w:r w:rsidRPr="00AF0523">
        <w:rPr>
          <w:rFonts w:ascii="Montserrat" w:hAnsi="Montserrat"/>
          <w:sz w:val="20"/>
          <w:szCs w:val="20"/>
        </w:rPr>
        <w:t>.</w:t>
      </w:r>
    </w:p>
    <w:p w14:paraId="3C8BD0DC" w14:textId="0A0BE6D2" w:rsidR="00BB236A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 xml:space="preserve">. Tiekėjų kvalifikacijos </w:t>
      </w:r>
      <w:r w:rsidR="0071126E" w:rsidRPr="00AF0523">
        <w:rPr>
          <w:rFonts w:ascii="Montserrat" w:hAnsi="Montserrat"/>
          <w:sz w:val="20"/>
          <w:szCs w:val="20"/>
        </w:rPr>
        <w:t>reikalavim</w:t>
      </w:r>
      <w:r w:rsidR="002C36ED">
        <w:rPr>
          <w:rFonts w:ascii="Montserrat" w:hAnsi="Montserrat"/>
          <w:sz w:val="20"/>
          <w:szCs w:val="20"/>
        </w:rPr>
        <w:t>ai</w:t>
      </w:r>
      <w:r w:rsidR="0071126E" w:rsidRPr="00AF0523">
        <w:rPr>
          <w:rFonts w:ascii="Montserrat" w:hAnsi="Montserrat"/>
          <w:sz w:val="20"/>
          <w:szCs w:val="20"/>
        </w:rPr>
        <w:t>.</w:t>
      </w:r>
    </w:p>
    <w:p w14:paraId="04B77B22" w14:textId="126BC6BA" w:rsidR="00557554" w:rsidRDefault="00557554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3 priedas. Pasiūlymo forma.</w:t>
      </w:r>
    </w:p>
    <w:p w14:paraId="6718B274" w14:textId="1BF66694" w:rsidR="0071126E" w:rsidRPr="00AF0523" w:rsidRDefault="00557554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4</w:t>
      </w:r>
      <w:r w:rsidR="00CF6225" w:rsidRPr="00AF0523">
        <w:rPr>
          <w:rFonts w:ascii="Montserrat" w:hAnsi="Montserrat"/>
          <w:sz w:val="20"/>
          <w:szCs w:val="20"/>
        </w:rPr>
        <w:t xml:space="preserve"> priedas. </w:t>
      </w:r>
      <w:r w:rsidR="00E11237">
        <w:rPr>
          <w:rFonts w:ascii="Montserrat" w:hAnsi="Montserrat"/>
          <w:sz w:val="20"/>
          <w:szCs w:val="20"/>
        </w:rPr>
        <w:t>Rinkos dalyvių konsultacijos klausimynas</w:t>
      </w:r>
      <w:r w:rsidR="00CF6225" w:rsidRPr="00AF0523">
        <w:rPr>
          <w:rFonts w:ascii="Montserrat" w:hAnsi="Montserrat"/>
          <w:sz w:val="20"/>
          <w:szCs w:val="20"/>
        </w:rPr>
        <w:t>.</w:t>
      </w:r>
    </w:p>
    <w:p w14:paraId="4D5719BA" w14:textId="77777777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98FA" w14:textId="77777777" w:rsidR="004D7A3F" w:rsidRDefault="004D7A3F">
      <w:pPr>
        <w:spacing w:after="0"/>
      </w:pPr>
      <w:r>
        <w:separator/>
      </w:r>
    </w:p>
  </w:endnote>
  <w:endnote w:type="continuationSeparator" w:id="0">
    <w:p w14:paraId="3C598AE2" w14:textId="77777777" w:rsidR="004D7A3F" w:rsidRDefault="004D7A3F">
      <w:pPr>
        <w:spacing w:after="0"/>
      </w:pPr>
      <w:r>
        <w:continuationSeparator/>
      </w:r>
    </w:p>
  </w:endnote>
  <w:endnote w:type="continuationNotice" w:id="1">
    <w:p w14:paraId="5F712DFA" w14:textId="77777777" w:rsidR="004D7A3F" w:rsidRDefault="004D7A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0489" w14:textId="77777777" w:rsidR="004D7A3F" w:rsidRDefault="004D7A3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02E48A0" w14:textId="77777777" w:rsidR="004D7A3F" w:rsidRDefault="004D7A3F">
      <w:pPr>
        <w:spacing w:after="0"/>
      </w:pPr>
      <w:r>
        <w:continuationSeparator/>
      </w:r>
    </w:p>
  </w:footnote>
  <w:footnote w:type="continuationNotice" w:id="1">
    <w:p w14:paraId="37CD341C" w14:textId="77777777" w:rsidR="004D7A3F" w:rsidRDefault="004D7A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67B55"/>
    <w:rsid w:val="00077DB2"/>
    <w:rsid w:val="00096BB6"/>
    <w:rsid w:val="000C2F0E"/>
    <w:rsid w:val="000C5FDB"/>
    <w:rsid w:val="000D1024"/>
    <w:rsid w:val="000E5C0B"/>
    <w:rsid w:val="000F5A27"/>
    <w:rsid w:val="001141F5"/>
    <w:rsid w:val="0012084C"/>
    <w:rsid w:val="00133E7A"/>
    <w:rsid w:val="001418FF"/>
    <w:rsid w:val="00142AA1"/>
    <w:rsid w:val="00143814"/>
    <w:rsid w:val="001478A1"/>
    <w:rsid w:val="001746B0"/>
    <w:rsid w:val="00186FA9"/>
    <w:rsid w:val="00195B65"/>
    <w:rsid w:val="001A216A"/>
    <w:rsid w:val="001B77D7"/>
    <w:rsid w:val="002050DC"/>
    <w:rsid w:val="00213868"/>
    <w:rsid w:val="00220CE8"/>
    <w:rsid w:val="002229C6"/>
    <w:rsid w:val="002246E8"/>
    <w:rsid w:val="00230CD0"/>
    <w:rsid w:val="0025329E"/>
    <w:rsid w:val="0025337F"/>
    <w:rsid w:val="00253A85"/>
    <w:rsid w:val="002555F4"/>
    <w:rsid w:val="002556D0"/>
    <w:rsid w:val="00294DFE"/>
    <w:rsid w:val="002A5D68"/>
    <w:rsid w:val="002B42C1"/>
    <w:rsid w:val="002C32C2"/>
    <w:rsid w:val="002C36ED"/>
    <w:rsid w:val="002C4EE0"/>
    <w:rsid w:val="002F65E9"/>
    <w:rsid w:val="002F65FB"/>
    <w:rsid w:val="00311260"/>
    <w:rsid w:val="003157C5"/>
    <w:rsid w:val="003177C9"/>
    <w:rsid w:val="00322940"/>
    <w:rsid w:val="003561E9"/>
    <w:rsid w:val="003B15BE"/>
    <w:rsid w:val="003B1763"/>
    <w:rsid w:val="003C072D"/>
    <w:rsid w:val="00421623"/>
    <w:rsid w:val="004333DD"/>
    <w:rsid w:val="0046225C"/>
    <w:rsid w:val="00480FF6"/>
    <w:rsid w:val="004A75A5"/>
    <w:rsid w:val="004B43E5"/>
    <w:rsid w:val="004D267C"/>
    <w:rsid w:val="004D4C2B"/>
    <w:rsid w:val="004D7A3F"/>
    <w:rsid w:val="00504438"/>
    <w:rsid w:val="005168AF"/>
    <w:rsid w:val="00557554"/>
    <w:rsid w:val="005746B6"/>
    <w:rsid w:val="00592F66"/>
    <w:rsid w:val="0059668E"/>
    <w:rsid w:val="005A393D"/>
    <w:rsid w:val="005A6342"/>
    <w:rsid w:val="00610FF1"/>
    <w:rsid w:val="00623686"/>
    <w:rsid w:val="00634165"/>
    <w:rsid w:val="00643F6B"/>
    <w:rsid w:val="006459FD"/>
    <w:rsid w:val="0064698C"/>
    <w:rsid w:val="00656DD0"/>
    <w:rsid w:val="00674087"/>
    <w:rsid w:val="00692DE7"/>
    <w:rsid w:val="006A6331"/>
    <w:rsid w:val="006D3293"/>
    <w:rsid w:val="0071126E"/>
    <w:rsid w:val="00727D6C"/>
    <w:rsid w:val="0073291A"/>
    <w:rsid w:val="00732B57"/>
    <w:rsid w:val="00733151"/>
    <w:rsid w:val="00734051"/>
    <w:rsid w:val="00735C59"/>
    <w:rsid w:val="00752CBF"/>
    <w:rsid w:val="00762FFB"/>
    <w:rsid w:val="0076642A"/>
    <w:rsid w:val="007678B3"/>
    <w:rsid w:val="007805B9"/>
    <w:rsid w:val="007959A7"/>
    <w:rsid w:val="007A3321"/>
    <w:rsid w:val="007A7B06"/>
    <w:rsid w:val="007B0D43"/>
    <w:rsid w:val="007E23D1"/>
    <w:rsid w:val="007F57CF"/>
    <w:rsid w:val="00817BA5"/>
    <w:rsid w:val="00825DBC"/>
    <w:rsid w:val="00831DCA"/>
    <w:rsid w:val="00860A3E"/>
    <w:rsid w:val="00884620"/>
    <w:rsid w:val="008E1D85"/>
    <w:rsid w:val="008F0BE7"/>
    <w:rsid w:val="008F73B2"/>
    <w:rsid w:val="00911A27"/>
    <w:rsid w:val="009425E8"/>
    <w:rsid w:val="00952B2E"/>
    <w:rsid w:val="00961E52"/>
    <w:rsid w:val="009A67A2"/>
    <w:rsid w:val="009B6DE0"/>
    <w:rsid w:val="009D21E9"/>
    <w:rsid w:val="009F48C9"/>
    <w:rsid w:val="00A16A5D"/>
    <w:rsid w:val="00A40BBB"/>
    <w:rsid w:val="00A45586"/>
    <w:rsid w:val="00A65FB1"/>
    <w:rsid w:val="00A71C29"/>
    <w:rsid w:val="00A73613"/>
    <w:rsid w:val="00A858F8"/>
    <w:rsid w:val="00A91C72"/>
    <w:rsid w:val="00A97F5B"/>
    <w:rsid w:val="00AF0523"/>
    <w:rsid w:val="00AF1DC7"/>
    <w:rsid w:val="00B113E2"/>
    <w:rsid w:val="00B4603D"/>
    <w:rsid w:val="00B5462B"/>
    <w:rsid w:val="00B62A82"/>
    <w:rsid w:val="00B643B0"/>
    <w:rsid w:val="00BB236A"/>
    <w:rsid w:val="00BF460D"/>
    <w:rsid w:val="00C236C0"/>
    <w:rsid w:val="00C4166D"/>
    <w:rsid w:val="00C85057"/>
    <w:rsid w:val="00CA6100"/>
    <w:rsid w:val="00CA66DD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E11237"/>
    <w:rsid w:val="00E20022"/>
    <w:rsid w:val="00E2679D"/>
    <w:rsid w:val="00E323EB"/>
    <w:rsid w:val="00E43066"/>
    <w:rsid w:val="00E52CD5"/>
    <w:rsid w:val="00E70E20"/>
    <w:rsid w:val="00E71ECE"/>
    <w:rsid w:val="00E84C00"/>
    <w:rsid w:val="00E933E5"/>
    <w:rsid w:val="00ED6AF1"/>
    <w:rsid w:val="00EE6971"/>
    <w:rsid w:val="00F13F56"/>
    <w:rsid w:val="00F16284"/>
    <w:rsid w:val="00F309FC"/>
    <w:rsid w:val="00F356C7"/>
    <w:rsid w:val="00F4668F"/>
    <w:rsid w:val="00F606B0"/>
    <w:rsid w:val="00F772F9"/>
    <w:rsid w:val="00F84335"/>
    <w:rsid w:val="00F848F6"/>
    <w:rsid w:val="00F91CE4"/>
    <w:rsid w:val="00FA745F"/>
    <w:rsid w:val="00FB23F8"/>
    <w:rsid w:val="00FD520A"/>
    <w:rsid w:val="00FD54C3"/>
    <w:rsid w:val="00FD60CC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4.xml><?xml version="1.0" encoding="utf-8"?>
<ds:datastoreItem xmlns:ds="http://schemas.openxmlformats.org/officeDocument/2006/customXml" ds:itemID="{06E7B033-D176-40F5-9525-1204EDAAC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Ona Babickienė</cp:lastModifiedBy>
  <cp:revision>26</cp:revision>
  <dcterms:created xsi:type="dcterms:W3CDTF">2025-02-21T10:15:00Z</dcterms:created>
  <dcterms:modified xsi:type="dcterms:W3CDTF">2026-03-24T07:49:00Z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