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63BE" w14:textId="1BB427F5" w:rsidR="7D55A6B7" w:rsidRDefault="7D55A6B7" w:rsidP="7D55A6B7">
      <w:pPr>
        <w:pStyle w:val="Antrat1"/>
        <w:jc w:val="right"/>
      </w:pPr>
    </w:p>
    <w:p w14:paraId="0B1344F0" w14:textId="5CBA3CEA" w:rsidR="7D55A6B7" w:rsidRDefault="7D55A6B7" w:rsidP="7D55A6B7">
      <w:pPr>
        <w:pStyle w:val="Antrat1"/>
        <w:jc w:val="right"/>
      </w:pPr>
    </w:p>
    <w:p w14:paraId="752DFF1E" w14:textId="0595E4E2" w:rsidR="0017585F" w:rsidRPr="008F27C1" w:rsidRDefault="00126A71" w:rsidP="0D54984E">
      <w:pPr>
        <w:pStyle w:val="Antrat1"/>
        <w:jc w:val="right"/>
      </w:pPr>
      <w:r>
        <w:t>PASLAUGŲ PIRKIMO-PARDAVIMO SUTARTIES SPECIALIOSIOS SĄLYGOS</w:t>
      </w:r>
    </w:p>
    <w:p w14:paraId="096CD914" w14:textId="77777777" w:rsidR="0017585F" w:rsidRPr="0017585F" w:rsidRDefault="0017585F" w:rsidP="006F06B0">
      <w:pPr>
        <w:widowControl w:val="0"/>
        <w:pBdr>
          <w:top w:val="nil"/>
          <w:left w:val="nil"/>
          <w:bottom w:val="nil"/>
          <w:right w:val="nil"/>
          <w:between w:val="nil"/>
        </w:pBdr>
        <w:tabs>
          <w:tab w:val="left" w:pos="567"/>
          <w:tab w:val="left" w:pos="851"/>
        </w:tabs>
        <w:spacing w:line="276" w:lineRule="auto"/>
        <w:rPr>
          <w:caps/>
          <w:szCs w:val="24"/>
        </w:rPr>
      </w:pP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030"/>
        <w:gridCol w:w="2240"/>
        <w:gridCol w:w="2390"/>
      </w:tblGrid>
      <w:tr w:rsidR="0017585F" w:rsidRPr="0017585F" w14:paraId="2712B53A" w14:textId="77777777" w:rsidTr="7D55A6B7">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6A81B55F" w14:textId="60E6702C" w:rsidR="0017585F" w:rsidRPr="0017585F" w:rsidRDefault="00DC7012" w:rsidP="7D55A6B7">
            <w:pPr>
              <w:spacing w:line="276" w:lineRule="auto"/>
              <w:jc w:val="center"/>
            </w:pPr>
            <w:r>
              <w:rPr>
                <w:b/>
                <w:bCs/>
                <w:szCs w:val="24"/>
              </w:rPr>
              <w:t>ŽIEŽMARIŲ APYLINKĖS SENIŪNIJOS BENDROJO NAUDOJIMO TERITORIJŲ</w:t>
            </w:r>
            <w:r w:rsidR="00086C20">
              <w:rPr>
                <w:b/>
                <w:bCs/>
                <w:szCs w:val="24"/>
              </w:rPr>
              <w:t xml:space="preserve"> </w:t>
            </w:r>
            <w:r w:rsidR="008233B5">
              <w:rPr>
                <w:b/>
                <w:bCs/>
                <w:szCs w:val="24"/>
              </w:rPr>
              <w:t xml:space="preserve">TVARKYMO IR </w:t>
            </w:r>
            <w:r w:rsidR="00086C20">
              <w:rPr>
                <w:b/>
                <w:bCs/>
                <w:szCs w:val="24"/>
              </w:rPr>
              <w:t>PRIEŽIŪROS</w:t>
            </w:r>
            <w:r w:rsidR="34955AD8" w:rsidRPr="7D55A6B7">
              <w:rPr>
                <w:rFonts w:ascii="Calibri" w:eastAsia="Calibri" w:hAnsi="Calibri" w:cs="Calibri"/>
                <w:b/>
                <w:bCs/>
                <w:szCs w:val="24"/>
              </w:rPr>
              <w:t xml:space="preserve"> </w:t>
            </w:r>
            <w:r w:rsidR="34955AD8" w:rsidRPr="7D55A6B7">
              <w:rPr>
                <w:b/>
                <w:bCs/>
                <w:szCs w:val="24"/>
              </w:rPr>
              <w:t xml:space="preserve">PASLAUGŲ </w:t>
            </w:r>
            <w:r w:rsidR="34955AD8" w:rsidRPr="7D55A6B7">
              <w:rPr>
                <w:b/>
                <w:bCs/>
                <w:color w:val="000000" w:themeColor="text1"/>
                <w:szCs w:val="24"/>
              </w:rPr>
              <w:t>PIRKIMO–PARDAVIMO</w:t>
            </w:r>
            <w:r w:rsidR="34955AD8" w:rsidRPr="7D55A6B7">
              <w:rPr>
                <w:b/>
                <w:bCs/>
                <w:szCs w:val="24"/>
              </w:rPr>
              <w:t xml:space="preserve"> SUTARTIS</w:t>
            </w:r>
          </w:p>
          <w:p w14:paraId="59623186" w14:textId="25CBC593" w:rsidR="0017585F" w:rsidRPr="0017585F" w:rsidRDefault="0017585F" w:rsidP="0017585F">
            <w:pPr>
              <w:spacing w:line="276" w:lineRule="auto"/>
              <w:jc w:val="both"/>
            </w:pPr>
          </w:p>
        </w:tc>
      </w:tr>
      <w:tr w:rsidR="0017585F" w:rsidRPr="0017585F" w14:paraId="43414711" w14:textId="77777777" w:rsidTr="7D55A6B7">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1BBF1395" w:rsidR="0017585F" w:rsidRPr="0017585F" w:rsidRDefault="00F84955" w:rsidP="0017585F">
            <w:pPr>
              <w:spacing w:line="276" w:lineRule="auto"/>
              <w:jc w:val="both"/>
              <w:rPr>
                <w:kern w:val="2"/>
                <w:szCs w:val="24"/>
              </w:rPr>
            </w:pPr>
            <w:r>
              <w:rPr>
                <w:kern w:val="2"/>
                <w:szCs w:val="24"/>
              </w:rPr>
              <w:t>2026</w:t>
            </w: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76615C04" w:rsidR="0017585F" w:rsidRPr="0017585F" w:rsidRDefault="00F84955" w:rsidP="0017585F">
            <w:pPr>
              <w:spacing w:line="276" w:lineRule="auto"/>
              <w:jc w:val="both"/>
              <w:rPr>
                <w:kern w:val="2"/>
                <w:szCs w:val="24"/>
              </w:rPr>
            </w:pPr>
            <w:r>
              <w:rPr>
                <w:kern w:val="2"/>
                <w:szCs w:val="24"/>
              </w:rPr>
              <w:t>Nr. VP</w:t>
            </w:r>
            <w:r w:rsidR="00BA15E7">
              <w:rPr>
                <w:kern w:val="2"/>
                <w:szCs w:val="24"/>
              </w:rPr>
              <w:t>E</w:t>
            </w:r>
            <w:r>
              <w:rPr>
                <w:kern w:val="2"/>
                <w:szCs w:val="24"/>
              </w:rPr>
              <w:t>-</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7D55A6B7">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24928CF8" w:rsidR="0017585F" w:rsidRPr="0017585F" w:rsidRDefault="00577B05" w:rsidP="00BA15E7">
            <w:pPr>
              <w:spacing w:line="276" w:lineRule="auto"/>
              <w:jc w:val="center"/>
              <w:rPr>
                <w:kern w:val="2"/>
                <w:szCs w:val="24"/>
              </w:rPr>
            </w:pPr>
            <w:r>
              <w:rPr>
                <w:kern w:val="2"/>
                <w:szCs w:val="24"/>
              </w:rPr>
              <w:t>Kaišiadorių ra</w:t>
            </w:r>
            <w:r w:rsidR="00086C20">
              <w:rPr>
                <w:kern w:val="2"/>
                <w:szCs w:val="24"/>
              </w:rPr>
              <w:t xml:space="preserve">jono savivaldybės </w:t>
            </w:r>
            <w:r w:rsidR="00BA15E7">
              <w:rPr>
                <w:kern w:val="2"/>
                <w:szCs w:val="24"/>
              </w:rPr>
              <w:t>administracija</w:t>
            </w:r>
          </w:p>
        </w:tc>
      </w:tr>
      <w:tr w:rsidR="00577B05" w:rsidRPr="0017585F" w14:paraId="10B366C0" w14:textId="77777777" w:rsidTr="7D55A6B7">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9B75504" w:rsidR="0017585F" w:rsidRPr="0017585F" w:rsidRDefault="00BA15E7" w:rsidP="00086C20">
            <w:pPr>
              <w:spacing w:line="276" w:lineRule="auto"/>
              <w:jc w:val="center"/>
              <w:rPr>
                <w:kern w:val="2"/>
                <w:szCs w:val="24"/>
              </w:rPr>
            </w:pPr>
            <w:r>
              <w:rPr>
                <w:kern w:val="2"/>
                <w:szCs w:val="24"/>
              </w:rPr>
              <w:t>188773916</w:t>
            </w:r>
          </w:p>
        </w:tc>
      </w:tr>
      <w:tr w:rsidR="00577B05" w:rsidRPr="0017585F" w14:paraId="30B1BB17" w14:textId="77777777" w:rsidTr="7D55A6B7">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4377AE4E" w:rsidR="0017585F" w:rsidRPr="00086C20" w:rsidRDefault="00BA15E7" w:rsidP="00BA15E7">
            <w:pPr>
              <w:spacing w:line="276" w:lineRule="auto"/>
              <w:jc w:val="center"/>
              <w:rPr>
                <w:kern w:val="2"/>
                <w:szCs w:val="24"/>
              </w:rPr>
            </w:pPr>
            <w:r>
              <w:rPr>
                <w:szCs w:val="24"/>
              </w:rPr>
              <w:t>Katedros g. 4</w:t>
            </w:r>
            <w:r w:rsidR="00086C20" w:rsidRPr="00086C20">
              <w:rPr>
                <w:szCs w:val="24"/>
              </w:rPr>
              <w:t xml:space="preserve">, </w:t>
            </w:r>
            <w:r>
              <w:rPr>
                <w:szCs w:val="24"/>
              </w:rPr>
              <w:t>LT-56121</w:t>
            </w:r>
            <w:r w:rsidR="00086C20" w:rsidRPr="00086C20">
              <w:rPr>
                <w:szCs w:val="24"/>
              </w:rPr>
              <w:t xml:space="preserve"> </w:t>
            </w:r>
            <w:r>
              <w:rPr>
                <w:szCs w:val="24"/>
              </w:rPr>
              <w:t>Kaišiadorys</w:t>
            </w:r>
            <w:r w:rsidR="00086C20" w:rsidRPr="00086C20">
              <w:rPr>
                <w:szCs w:val="24"/>
              </w:rPr>
              <w:t xml:space="preserve"> </w:t>
            </w:r>
          </w:p>
        </w:tc>
      </w:tr>
      <w:tr w:rsidR="00577B05" w:rsidRPr="0017585F" w14:paraId="0810FEDC" w14:textId="77777777" w:rsidTr="7D55A6B7">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7D55A6B7">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406091BB" w14:textId="77777777" w:rsidR="00D51450" w:rsidRPr="00D51450" w:rsidRDefault="00D51450" w:rsidP="00D51450">
            <w:pPr>
              <w:keepNext/>
              <w:keepLines/>
              <w:suppressAutoHyphens/>
              <w:spacing w:line="276" w:lineRule="auto"/>
              <w:jc w:val="both"/>
              <w:rPr>
                <w:bCs/>
                <w:szCs w:val="24"/>
                <w:lang w:eastAsia="ar-SA"/>
              </w:rPr>
            </w:pPr>
            <w:r w:rsidRPr="00D51450">
              <w:rPr>
                <w:bCs/>
                <w:szCs w:val="24"/>
                <w:lang w:eastAsia="ar-SA"/>
              </w:rPr>
              <w:t>LT54 4010 0405 0005 0027</w:t>
            </w:r>
          </w:p>
          <w:p w14:paraId="528347F8" w14:textId="16E9E852" w:rsidR="0017585F" w:rsidRPr="0017585F" w:rsidRDefault="0017585F" w:rsidP="00D51450">
            <w:pPr>
              <w:spacing w:line="276" w:lineRule="auto"/>
              <w:jc w:val="center"/>
              <w:rPr>
                <w:kern w:val="2"/>
                <w:szCs w:val="24"/>
              </w:rPr>
            </w:pPr>
          </w:p>
        </w:tc>
      </w:tr>
      <w:tr w:rsidR="00577B05" w:rsidRPr="0017585F" w14:paraId="7C406116" w14:textId="77777777" w:rsidTr="7D55A6B7">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782999C5" w:rsidR="0017585F" w:rsidRPr="0017585F" w:rsidRDefault="00897330" w:rsidP="00BA15E7">
            <w:pPr>
              <w:spacing w:line="276" w:lineRule="auto"/>
              <w:jc w:val="center"/>
              <w:rPr>
                <w:kern w:val="2"/>
                <w:szCs w:val="24"/>
              </w:rPr>
            </w:pPr>
            <w:proofErr w:type="spellStart"/>
            <w:r>
              <w:rPr>
                <w:kern w:val="2"/>
                <w:szCs w:val="24"/>
              </w:rPr>
              <w:t>Luminor</w:t>
            </w:r>
            <w:proofErr w:type="spellEnd"/>
            <w:r>
              <w:rPr>
                <w:kern w:val="2"/>
                <w:szCs w:val="24"/>
              </w:rPr>
              <w:t xml:space="preserve"> </w:t>
            </w:r>
            <w:r w:rsidR="00D51450">
              <w:rPr>
                <w:kern w:val="2"/>
                <w:szCs w:val="24"/>
              </w:rPr>
              <w:t xml:space="preserve">Bank </w:t>
            </w:r>
            <w:r w:rsidR="00BA15E7">
              <w:rPr>
                <w:kern w:val="2"/>
                <w:szCs w:val="24"/>
              </w:rPr>
              <w:t>AS</w:t>
            </w:r>
            <w:r>
              <w:rPr>
                <w:kern w:val="2"/>
                <w:szCs w:val="24"/>
              </w:rPr>
              <w:t xml:space="preserve">, </w:t>
            </w:r>
            <w:r w:rsidR="00BA15E7">
              <w:rPr>
                <w:kern w:val="2"/>
                <w:szCs w:val="24"/>
              </w:rPr>
              <w:t xml:space="preserve">kodas </w:t>
            </w:r>
            <w:r>
              <w:rPr>
                <w:kern w:val="2"/>
                <w:szCs w:val="24"/>
              </w:rPr>
              <w:t>40100</w:t>
            </w:r>
          </w:p>
        </w:tc>
      </w:tr>
      <w:tr w:rsidR="00577B05" w:rsidRPr="0017585F" w14:paraId="1F16A435" w14:textId="77777777" w:rsidTr="7D55A6B7">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206D0931" w:rsidR="0017585F" w:rsidRPr="0017585F" w:rsidRDefault="00577B05" w:rsidP="00BA15E7">
            <w:pPr>
              <w:spacing w:line="276" w:lineRule="auto"/>
              <w:jc w:val="center"/>
              <w:rPr>
                <w:kern w:val="2"/>
                <w:szCs w:val="24"/>
              </w:rPr>
            </w:pPr>
            <w:r>
              <w:rPr>
                <w:kern w:val="2"/>
                <w:szCs w:val="24"/>
              </w:rPr>
              <w:t>+370</w:t>
            </w:r>
            <w:r w:rsidR="00BA15E7">
              <w:rPr>
                <w:kern w:val="2"/>
                <w:szCs w:val="24"/>
              </w:rPr>
              <w:t> 346 20 450</w:t>
            </w:r>
          </w:p>
        </w:tc>
      </w:tr>
      <w:tr w:rsidR="00577B05" w:rsidRPr="0017585F" w14:paraId="6418DCCD" w14:textId="77777777" w:rsidTr="7D55A6B7">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0CC2D432" w:rsidR="0017585F" w:rsidRPr="0017585F" w:rsidRDefault="00BA15E7" w:rsidP="00BA15E7">
            <w:pPr>
              <w:spacing w:line="276" w:lineRule="auto"/>
              <w:jc w:val="center"/>
              <w:rPr>
                <w:kern w:val="2"/>
                <w:szCs w:val="24"/>
              </w:rPr>
            </w:pPr>
            <w:hyperlink r:id="rId11" w:history="1">
              <w:r w:rsidRPr="00E111CF">
                <w:rPr>
                  <w:rStyle w:val="Hipersaitas"/>
                  <w:kern w:val="2"/>
                  <w:szCs w:val="24"/>
                </w:rPr>
                <w:t>dokumentai@kaisiadorys.lt</w:t>
              </w:r>
            </w:hyperlink>
            <w:r w:rsidR="00577B05">
              <w:rPr>
                <w:kern w:val="2"/>
                <w:szCs w:val="24"/>
              </w:rPr>
              <w:t xml:space="preserve"> </w:t>
            </w:r>
          </w:p>
        </w:tc>
      </w:tr>
      <w:tr w:rsidR="00577B05" w:rsidRPr="0017585F" w14:paraId="7EB72A55" w14:textId="77777777" w:rsidTr="7D55A6B7">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093D9761" w:rsidR="0017585F" w:rsidRPr="0017585F" w:rsidRDefault="00BA15E7" w:rsidP="0017585F">
            <w:pPr>
              <w:spacing w:line="276" w:lineRule="auto"/>
              <w:jc w:val="center"/>
              <w:rPr>
                <w:kern w:val="2"/>
                <w:szCs w:val="24"/>
              </w:rPr>
            </w:pPr>
            <w:r>
              <w:rPr>
                <w:kern w:val="2"/>
                <w:szCs w:val="24"/>
              </w:rPr>
              <w:t>Administracijos direktorius Karolis Petkevičius</w:t>
            </w:r>
          </w:p>
        </w:tc>
      </w:tr>
      <w:tr w:rsidR="00577B05" w:rsidRPr="0017585F" w14:paraId="43FD0C12" w14:textId="77777777" w:rsidTr="7D55A6B7">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263DB9B6" w:rsidR="0017585F" w:rsidRPr="0017585F" w:rsidRDefault="00BA15E7" w:rsidP="00BA15E7">
            <w:pPr>
              <w:spacing w:line="276" w:lineRule="auto"/>
              <w:jc w:val="center"/>
              <w:rPr>
                <w:kern w:val="2"/>
                <w:szCs w:val="24"/>
              </w:rPr>
            </w:pPr>
            <w:r>
              <w:rPr>
                <w:kern w:val="2"/>
                <w:szCs w:val="24"/>
              </w:rPr>
              <w:t>Administracijos nuostatai</w:t>
            </w:r>
            <w:r w:rsidR="00D51450">
              <w:rPr>
                <w:kern w:val="2"/>
                <w:szCs w:val="24"/>
              </w:rPr>
              <w:t xml:space="preserve"> </w:t>
            </w:r>
          </w:p>
        </w:tc>
      </w:tr>
      <w:tr w:rsidR="00577B05" w:rsidRPr="0017585F" w14:paraId="4601AC41" w14:textId="77777777" w:rsidTr="7D55A6B7">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7D55A6B7">
            <w:pPr>
              <w:spacing w:line="276" w:lineRule="auto"/>
              <w:rPr>
                <w:b/>
                <w:bCs/>
                <w:kern w:val="2"/>
              </w:rPr>
            </w:pPr>
            <w:r w:rsidRPr="7D55A6B7">
              <w:rPr>
                <w:b/>
                <w:bCs/>
                <w:kern w:val="2"/>
              </w:rPr>
              <w:t>1.</w:t>
            </w:r>
            <w:r w:rsidR="0017585F" w:rsidRPr="7D55A6B7">
              <w:rPr>
                <w:b/>
                <w:bCs/>
                <w:kern w:val="2"/>
              </w:rPr>
              <w:t>2. Tiekėjas</w:t>
            </w:r>
          </w:p>
          <w:p w14:paraId="0DCB5816" w14:textId="77777777" w:rsidR="0017585F" w:rsidRPr="0017585F" w:rsidRDefault="0017585F" w:rsidP="00D51450">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7D55A6B7">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7D55A6B7">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7D55A6B7">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7D55A6B7">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7D55A6B7">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7D55A6B7">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7D55A6B7">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7D55A6B7">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7D55A6B7">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8233B5">
        <w:trPr>
          <w:trHeight w:val="300"/>
        </w:trPr>
        <w:tc>
          <w:tcPr>
            <w:tcW w:w="3094" w:type="dxa"/>
          </w:tcPr>
          <w:p w14:paraId="2B630F4E" w14:textId="35E0639E" w:rsidR="0017585F" w:rsidRPr="0017585F" w:rsidRDefault="007E53F7" w:rsidP="7D55A6B7">
            <w:pPr>
              <w:spacing w:line="276" w:lineRule="auto"/>
              <w:rPr>
                <w:b/>
                <w:bCs/>
                <w:kern w:val="2"/>
              </w:rPr>
            </w:pPr>
            <w:r w:rsidRPr="7D55A6B7">
              <w:rPr>
                <w:b/>
                <w:bCs/>
                <w:kern w:val="2"/>
              </w:rPr>
              <w:t>2</w:t>
            </w:r>
            <w:r w:rsidR="0017585F" w:rsidRPr="7D55A6B7">
              <w:rPr>
                <w:b/>
                <w:bCs/>
                <w:kern w:val="2"/>
              </w:rPr>
              <w:t>.</w:t>
            </w:r>
            <w:r w:rsidRPr="7D55A6B7">
              <w:rPr>
                <w:b/>
                <w:bCs/>
                <w:kern w:val="2"/>
              </w:rPr>
              <w:t>1.</w:t>
            </w:r>
            <w:r w:rsidR="0017585F" w:rsidRPr="7D55A6B7">
              <w:rPr>
                <w:b/>
                <w:bCs/>
                <w:kern w:val="2"/>
              </w:rPr>
              <w:t xml:space="preserve"> Pirkėjo kontaktiniai asmenys, atsakingi už Sutarties vykdymą, </w:t>
            </w:r>
            <w:r w:rsidR="0017585F" w:rsidRPr="7D55A6B7">
              <w:rPr>
                <w:b/>
                <w:bCs/>
              </w:rPr>
              <w:t>Paslaugų</w:t>
            </w:r>
            <w:r w:rsidR="0017585F" w:rsidRPr="7D55A6B7">
              <w:rPr>
                <w:b/>
                <w:bCs/>
                <w:kern w:val="2"/>
              </w:rPr>
              <w:t xml:space="preserve"> priėmimą, Sąskaitų per informacinę sistemą SABIS priėmimą</w:t>
            </w:r>
          </w:p>
        </w:tc>
        <w:tc>
          <w:tcPr>
            <w:tcW w:w="6441" w:type="dxa"/>
          </w:tcPr>
          <w:p w14:paraId="00346807" w14:textId="77777777" w:rsidR="008233B5" w:rsidRPr="008233B5" w:rsidRDefault="00D51450" w:rsidP="7D55A6B7">
            <w:pPr>
              <w:spacing w:line="276" w:lineRule="auto"/>
              <w:rPr>
                <w:kern w:val="2"/>
              </w:rPr>
            </w:pPr>
            <w:r w:rsidRPr="008233B5">
              <w:rPr>
                <w:kern w:val="2"/>
              </w:rPr>
              <w:t xml:space="preserve">Kaišiadorių rajono savivaldybės Žiežmarių apylinkės seniūnijos seniūnas Aivaras </w:t>
            </w:r>
            <w:proofErr w:type="spellStart"/>
            <w:r w:rsidRPr="008233B5">
              <w:rPr>
                <w:kern w:val="2"/>
              </w:rPr>
              <w:t>Jonyka</w:t>
            </w:r>
            <w:proofErr w:type="spellEnd"/>
            <w:r w:rsidRPr="008233B5">
              <w:rPr>
                <w:kern w:val="2"/>
              </w:rPr>
              <w:t>, tel. +370 687 74</w:t>
            </w:r>
            <w:r w:rsidR="008233B5" w:rsidRPr="008233B5">
              <w:rPr>
                <w:kern w:val="2"/>
              </w:rPr>
              <w:t> </w:t>
            </w:r>
            <w:r w:rsidRPr="008233B5">
              <w:rPr>
                <w:kern w:val="2"/>
              </w:rPr>
              <w:t>940</w:t>
            </w:r>
            <w:r w:rsidR="008233B5" w:rsidRPr="008233B5">
              <w:rPr>
                <w:kern w:val="2"/>
              </w:rPr>
              <w:t xml:space="preserve">, </w:t>
            </w:r>
          </w:p>
          <w:p w14:paraId="2356C4A6" w14:textId="7117FEDC" w:rsidR="0017585F" w:rsidRDefault="008233B5" w:rsidP="7D55A6B7">
            <w:pPr>
              <w:spacing w:line="276" w:lineRule="auto"/>
              <w:rPr>
                <w:kern w:val="2"/>
              </w:rPr>
            </w:pPr>
            <w:r w:rsidRPr="008233B5">
              <w:rPr>
                <w:kern w:val="2"/>
              </w:rPr>
              <w:t xml:space="preserve">el. p. </w:t>
            </w:r>
            <w:hyperlink r:id="rId12" w:history="1">
              <w:r w:rsidR="00CF6056" w:rsidRPr="00C21562">
                <w:rPr>
                  <w:rStyle w:val="Hipersaitas"/>
                  <w:kern w:val="2"/>
                </w:rPr>
                <w:t>ziezmariu.apylinke@kaisiadorys.lt</w:t>
              </w:r>
            </w:hyperlink>
          </w:p>
          <w:p w14:paraId="4FD7E017" w14:textId="77777777" w:rsidR="00CF6056" w:rsidRDefault="00CF6056" w:rsidP="7D55A6B7">
            <w:pPr>
              <w:spacing w:line="276" w:lineRule="auto"/>
              <w:rPr>
                <w:kern w:val="2"/>
              </w:rPr>
            </w:pPr>
            <w:r>
              <w:rPr>
                <w:kern w:val="2"/>
              </w:rPr>
              <w:t xml:space="preserve">Vyriausioji specialistė Palmutė Kersnauskienė, </w:t>
            </w:r>
          </w:p>
          <w:p w14:paraId="17123F94" w14:textId="3BFE24B0" w:rsidR="00CF6056" w:rsidRDefault="00CF6056" w:rsidP="7D55A6B7">
            <w:pPr>
              <w:spacing w:line="276" w:lineRule="auto"/>
              <w:rPr>
                <w:kern w:val="2"/>
              </w:rPr>
            </w:pPr>
            <w:r>
              <w:rPr>
                <w:kern w:val="2"/>
              </w:rPr>
              <w:t>tel. +370 615 87 387</w:t>
            </w:r>
          </w:p>
          <w:p w14:paraId="1FD237D3" w14:textId="77777777" w:rsidR="00CF6056" w:rsidRDefault="00CF6056" w:rsidP="00CF6056">
            <w:pPr>
              <w:spacing w:line="276" w:lineRule="auto"/>
              <w:rPr>
                <w:kern w:val="2"/>
              </w:rPr>
            </w:pPr>
            <w:r w:rsidRPr="008233B5">
              <w:rPr>
                <w:kern w:val="2"/>
              </w:rPr>
              <w:t xml:space="preserve">el. p. </w:t>
            </w:r>
            <w:hyperlink r:id="rId13" w:history="1">
              <w:r w:rsidRPr="00C21562">
                <w:rPr>
                  <w:rStyle w:val="Hipersaitas"/>
                  <w:kern w:val="2"/>
                </w:rPr>
                <w:t>ziezmariu.apylinke@kaisiadorys.lt</w:t>
              </w:r>
            </w:hyperlink>
          </w:p>
          <w:p w14:paraId="124EE427" w14:textId="27BCC153" w:rsidR="00CF6056" w:rsidRPr="0017585F" w:rsidRDefault="00CF6056" w:rsidP="7D55A6B7">
            <w:pPr>
              <w:spacing w:line="276" w:lineRule="auto"/>
              <w:rPr>
                <w:color w:val="4472C4"/>
                <w:kern w:val="2"/>
              </w:rPr>
            </w:pPr>
          </w:p>
        </w:tc>
      </w:tr>
      <w:tr w:rsidR="0017585F" w:rsidRPr="0017585F" w14:paraId="28F7FE24" w14:textId="77777777" w:rsidTr="7D55A6B7">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B978572" w:rsidR="0017585F" w:rsidRPr="0017585F" w:rsidRDefault="0017585F" w:rsidP="7D55A6B7">
            <w:pPr>
              <w:spacing w:line="276" w:lineRule="auto"/>
              <w:rPr>
                <w:color w:val="4472C4"/>
                <w:kern w:val="2"/>
              </w:rPr>
            </w:pP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4F7C5E04"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w:t>
            </w:r>
            <w:r w:rsidR="00B9431B">
              <w:rPr>
                <w:kern w:val="2"/>
                <w:szCs w:val="24"/>
              </w:rPr>
              <w:t xml:space="preserve">Pirkėjui </w:t>
            </w:r>
            <w:r w:rsidR="00B9431B" w:rsidRPr="00685361">
              <w:rPr>
                <w:bCs/>
              </w:rPr>
              <w:t>Žiežmarių apylinkės seniūnijos</w:t>
            </w:r>
            <w:r w:rsidR="00B9431B">
              <w:rPr>
                <w:bCs/>
              </w:rPr>
              <w:t xml:space="preserve"> </w:t>
            </w:r>
            <w:r w:rsidR="00DC7012">
              <w:rPr>
                <w:kern w:val="2"/>
                <w:szCs w:val="24"/>
              </w:rPr>
              <w:t>bendrojo naudojimo teritorijų</w:t>
            </w:r>
            <w:r w:rsidR="008233B5" w:rsidRPr="008233B5">
              <w:rPr>
                <w:kern w:val="2"/>
                <w:szCs w:val="24"/>
              </w:rPr>
              <w:t xml:space="preserve"> tvarkymo ir priežiūros paslaugas</w:t>
            </w:r>
            <w:r w:rsidRPr="008233B5">
              <w:rPr>
                <w:kern w:val="2"/>
                <w:szCs w:val="24"/>
              </w:rPr>
              <w:t xml:space="preserve"> </w:t>
            </w:r>
            <w:r w:rsidRPr="0017585F">
              <w:rPr>
                <w:color w:val="000000"/>
                <w:kern w:val="2"/>
                <w:szCs w:val="24"/>
              </w:rPr>
              <w:t>(toliau – Paslaugos).</w:t>
            </w:r>
          </w:p>
          <w:p w14:paraId="4767E7EC" w14:textId="5530CB1F"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Pr="009F3A7D">
              <w:rPr>
                <w:color w:val="000000"/>
                <w:kern w:val="2"/>
                <w:szCs w:val="24"/>
              </w:rPr>
              <w:t>[_</w:t>
            </w:r>
            <w:r w:rsidR="008233B5" w:rsidRPr="009F3A7D">
              <w:rPr>
                <w:color w:val="000000"/>
                <w:kern w:val="2"/>
                <w:szCs w:val="24"/>
              </w:rPr>
              <w:t>1</w:t>
            </w:r>
            <w:r w:rsidRPr="009F3A7D">
              <w:rPr>
                <w:color w:val="000000"/>
                <w:kern w:val="2"/>
                <w:szCs w:val="24"/>
              </w:rPr>
              <w:t>]</w:t>
            </w:r>
            <w:r w:rsidRPr="0017585F">
              <w:rPr>
                <w:color w:val="000000"/>
                <w:kern w:val="2"/>
                <w:szCs w:val="24"/>
              </w:rPr>
              <w:t xml:space="preserve"> „Techninė specifikacija“ (toliau – Techninė specifikacija) ir Sutarties priede Nr. </w:t>
            </w:r>
            <w:r w:rsidRPr="009F3A7D">
              <w:rPr>
                <w:color w:val="000000"/>
                <w:kern w:val="2"/>
                <w:szCs w:val="24"/>
              </w:rPr>
              <w:t>[</w:t>
            </w:r>
            <w:r w:rsidR="008233B5" w:rsidRPr="009F3A7D">
              <w:rPr>
                <w:color w:val="000000"/>
                <w:kern w:val="2"/>
                <w:szCs w:val="24"/>
              </w:rPr>
              <w:t>2</w:t>
            </w:r>
            <w:r w:rsidRPr="009F3A7D">
              <w:rPr>
                <w:color w:val="000000"/>
                <w:kern w:val="2"/>
                <w:szCs w:val="24"/>
              </w:rPr>
              <w:t>_]</w:t>
            </w:r>
            <w:r w:rsidRPr="0017585F">
              <w:rPr>
                <w:color w:val="000000"/>
                <w:kern w:val="2"/>
                <w:szCs w:val="24"/>
              </w:rPr>
              <w:t xml:space="preserve">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6B0EF39A" w:rsidR="00577B05" w:rsidRPr="00577B05" w:rsidRDefault="00577B05" w:rsidP="0017585F">
            <w:pPr>
              <w:spacing w:line="276" w:lineRule="auto"/>
              <w:rPr>
                <w:bCs/>
                <w:i/>
                <w:iCs/>
                <w:kern w:val="2"/>
                <w:szCs w:val="24"/>
              </w:rPr>
            </w:pP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4BED5627"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F06B0" w:rsidRPr="0017585F" w14:paraId="287C41A7" w14:textId="77777777" w:rsidTr="006F06B0">
        <w:trPr>
          <w:trHeight w:val="50"/>
        </w:trPr>
        <w:tc>
          <w:tcPr>
            <w:tcW w:w="3094" w:type="dxa"/>
          </w:tcPr>
          <w:p w14:paraId="17D1E264" w14:textId="77777777" w:rsidR="006F06B0" w:rsidRPr="0017585F" w:rsidRDefault="006F06B0" w:rsidP="006F06B0">
            <w:pPr>
              <w:spacing w:line="276" w:lineRule="auto"/>
              <w:rPr>
                <w:b/>
                <w:kern w:val="2"/>
                <w:szCs w:val="24"/>
              </w:rPr>
            </w:pPr>
            <w:r>
              <w:rPr>
                <w:b/>
                <w:kern w:val="2"/>
                <w:szCs w:val="24"/>
              </w:rPr>
              <w:t>4.1</w:t>
            </w:r>
            <w:r w:rsidRPr="0017585F">
              <w:rPr>
                <w:b/>
                <w:kern w:val="2"/>
                <w:szCs w:val="24"/>
              </w:rPr>
              <w:t xml:space="preserve">. </w:t>
            </w:r>
            <w:r w:rsidRPr="0017585F">
              <w:rPr>
                <w:b/>
                <w:szCs w:val="24"/>
              </w:rPr>
              <w:t>Paslaugų</w:t>
            </w:r>
            <w:r w:rsidRPr="0017585F">
              <w:rPr>
                <w:b/>
                <w:kern w:val="2"/>
                <w:szCs w:val="24"/>
              </w:rPr>
              <w:t xml:space="preserve"> </w:t>
            </w:r>
            <w:r w:rsidRPr="0017585F">
              <w:rPr>
                <w:b/>
                <w:szCs w:val="24"/>
              </w:rPr>
              <w:t>suteikimo</w:t>
            </w:r>
            <w:r w:rsidRPr="0017585F">
              <w:rPr>
                <w:b/>
                <w:kern w:val="2"/>
                <w:szCs w:val="24"/>
              </w:rPr>
              <w:t xml:space="preserve"> terminas, kai </w:t>
            </w:r>
            <w:r w:rsidRPr="0017585F">
              <w:rPr>
                <w:b/>
                <w:szCs w:val="24"/>
              </w:rPr>
              <w:t>Paslaugos yra vienkartinio pobūdžio, teikiamos periodiškai arba pagal Pirkėjo Užsakymą</w:t>
            </w:r>
          </w:p>
          <w:p w14:paraId="37A275C4" w14:textId="77777777" w:rsidR="006F06B0" w:rsidRDefault="006F06B0" w:rsidP="0017585F">
            <w:pPr>
              <w:spacing w:line="276" w:lineRule="auto"/>
              <w:rPr>
                <w:b/>
                <w:kern w:val="2"/>
                <w:szCs w:val="24"/>
              </w:rPr>
            </w:pPr>
          </w:p>
        </w:tc>
        <w:tc>
          <w:tcPr>
            <w:tcW w:w="6441" w:type="dxa"/>
          </w:tcPr>
          <w:p w14:paraId="55827963" w14:textId="612DBE55" w:rsidR="006F06B0" w:rsidRPr="009F3A7D" w:rsidRDefault="006F06B0" w:rsidP="004628A2">
            <w:pPr>
              <w:spacing w:line="276" w:lineRule="auto"/>
              <w:rPr>
                <w:szCs w:val="24"/>
              </w:rPr>
            </w:pPr>
            <w:r w:rsidRPr="0017585F">
              <w:rPr>
                <w:szCs w:val="24"/>
              </w:rPr>
              <w:t xml:space="preserve">Tiekėjas Paslaugas įsipareigoja teikti </w:t>
            </w:r>
            <w:r w:rsidRPr="009F3A7D">
              <w:rPr>
                <w:bCs/>
                <w:szCs w:val="24"/>
              </w:rPr>
              <w:t>nuo</w:t>
            </w:r>
            <w:r w:rsidRPr="0017585F">
              <w:rPr>
                <w:szCs w:val="24"/>
              </w:rPr>
              <w:t xml:space="preserve"> </w:t>
            </w:r>
            <w:r w:rsidRPr="009F3A7D">
              <w:rPr>
                <w:szCs w:val="24"/>
              </w:rPr>
              <w:t xml:space="preserve">Sutarties </w:t>
            </w:r>
            <w:r w:rsidR="00874867">
              <w:rPr>
                <w:szCs w:val="24"/>
              </w:rPr>
              <w:t>įsigaliojimo</w:t>
            </w:r>
            <w:r w:rsidR="008768C8">
              <w:rPr>
                <w:szCs w:val="24"/>
              </w:rPr>
              <w:t xml:space="preserve"> </w:t>
            </w:r>
            <w:r w:rsidRPr="009F3A7D">
              <w:rPr>
                <w:szCs w:val="24"/>
              </w:rPr>
              <w:t>dienos 36 (trisdešimt šešis) mėnesius</w:t>
            </w:r>
            <w:r w:rsidR="00CF6056">
              <w:rPr>
                <w:szCs w:val="24"/>
              </w:rPr>
              <w:t xml:space="preserve">. </w:t>
            </w:r>
          </w:p>
          <w:p w14:paraId="6E8CBEAF" w14:textId="77777777" w:rsidR="006F06B0" w:rsidRPr="0017585F" w:rsidRDefault="006F06B0" w:rsidP="004628A2">
            <w:pPr>
              <w:spacing w:line="276" w:lineRule="auto"/>
              <w:rPr>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36A5D213" w:rsidR="004B42CC" w:rsidRPr="0017585F" w:rsidRDefault="004B42CC" w:rsidP="0017585F">
            <w:pPr>
              <w:spacing w:line="276" w:lineRule="auto"/>
              <w:rPr>
                <w:b/>
                <w:kern w:val="2"/>
                <w:szCs w:val="24"/>
              </w:rPr>
            </w:pPr>
          </w:p>
        </w:tc>
        <w:tc>
          <w:tcPr>
            <w:tcW w:w="6441" w:type="dxa"/>
          </w:tcPr>
          <w:p w14:paraId="300AC3DD" w14:textId="77777777" w:rsidR="0017585F" w:rsidRPr="0017585F" w:rsidRDefault="0017585F" w:rsidP="0017585F">
            <w:pPr>
              <w:spacing w:line="276" w:lineRule="auto"/>
              <w:rPr>
                <w:kern w:val="2"/>
                <w:szCs w:val="24"/>
              </w:rPr>
            </w:pPr>
            <w:r w:rsidRPr="0017585F">
              <w:rPr>
                <w:kern w:val="2"/>
                <w:szCs w:val="24"/>
              </w:rPr>
              <w:t>Netaikoma</w:t>
            </w:r>
          </w:p>
          <w:p w14:paraId="48120C5D" w14:textId="4B8E067C"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192FE7C" w14:textId="5013165B" w:rsid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p w14:paraId="492DAEC6" w14:textId="4C6AFA7E" w:rsidR="004B42CC" w:rsidRPr="0017585F" w:rsidRDefault="004B42CC" w:rsidP="0017585F">
            <w:pPr>
              <w:spacing w:line="276" w:lineRule="auto"/>
              <w:rPr>
                <w:b/>
                <w:kern w:val="2"/>
                <w:szCs w:val="24"/>
              </w:rPr>
            </w:pPr>
          </w:p>
        </w:tc>
        <w:tc>
          <w:tcPr>
            <w:tcW w:w="6441" w:type="dxa"/>
          </w:tcPr>
          <w:p w14:paraId="7896B8C5" w14:textId="32EBB61F" w:rsidR="0017585F" w:rsidRPr="0017585F" w:rsidRDefault="00227CD8" w:rsidP="0017585F">
            <w:pPr>
              <w:spacing w:line="276" w:lineRule="auto"/>
              <w:rPr>
                <w:szCs w:val="24"/>
              </w:rPr>
            </w:pPr>
            <w:r>
              <w:rPr>
                <w:szCs w:val="24"/>
              </w:rPr>
              <w:lastRenderedPageBreak/>
              <w:t xml:space="preserve">Paslaugų tiekėjas, įvykdęs Sutartyje numatytus įsipareigojimus periodiškai ( kas mėnesį), turi kreiptis į Pirkėją dėl Paslaugų </w:t>
            </w:r>
            <w:r>
              <w:rPr>
                <w:szCs w:val="24"/>
              </w:rPr>
              <w:lastRenderedPageBreak/>
              <w:t>rezultato, Pirkėjui perdavimo ir Paslaugų perdavimo-priėmimo akto pasirašymo. Paslaugos perduodamos kartą per mėnesį iki kito mėnesio 10 dienos.</w:t>
            </w:r>
          </w:p>
          <w:p w14:paraId="493B4B69" w14:textId="77777777" w:rsidR="0017585F" w:rsidRPr="0017585F" w:rsidRDefault="0017585F" w:rsidP="0017585F">
            <w:pPr>
              <w:spacing w:line="276" w:lineRule="auto"/>
              <w:rPr>
                <w:szCs w:val="24"/>
              </w:rPr>
            </w:pPr>
          </w:p>
          <w:p w14:paraId="5F7B0A8D" w14:textId="3F1888D1" w:rsidR="0017585F" w:rsidRPr="0017585F" w:rsidRDefault="0017585F" w:rsidP="0017585F">
            <w:pPr>
              <w:spacing w:line="276" w:lineRule="auto"/>
              <w:rPr>
                <w:szCs w:val="24"/>
              </w:rPr>
            </w:pPr>
          </w:p>
        </w:tc>
      </w:tr>
      <w:tr w:rsidR="0017585F" w:rsidRPr="0017585F" w14:paraId="70FC6B39" w14:textId="77777777" w:rsidTr="004855D1">
        <w:trPr>
          <w:trHeight w:val="1260"/>
        </w:trPr>
        <w:tc>
          <w:tcPr>
            <w:tcW w:w="3094" w:type="dxa"/>
            <w:tcBorders>
              <w:top w:val="single" w:sz="4" w:space="0" w:color="auto"/>
              <w:left w:val="single" w:sz="4" w:space="0" w:color="auto"/>
              <w:bottom w:val="single" w:sz="4" w:space="0" w:color="auto"/>
              <w:right w:val="single" w:sz="4" w:space="0" w:color="auto"/>
            </w:tcBorders>
          </w:tcPr>
          <w:p w14:paraId="1EA71626" w14:textId="5C7E1A26" w:rsidR="0017585F" w:rsidRDefault="007E53F7" w:rsidP="0017585F">
            <w:pPr>
              <w:spacing w:line="276" w:lineRule="auto"/>
              <w:rPr>
                <w:b/>
                <w:kern w:val="2"/>
                <w:szCs w:val="24"/>
              </w:rPr>
            </w:pPr>
            <w:r>
              <w:rPr>
                <w:b/>
                <w:kern w:val="2"/>
                <w:szCs w:val="24"/>
              </w:rPr>
              <w:lastRenderedPageBreak/>
              <w:t>4.4</w:t>
            </w:r>
            <w:r w:rsidR="0017585F" w:rsidRPr="0017585F">
              <w:rPr>
                <w:b/>
                <w:kern w:val="2"/>
                <w:szCs w:val="24"/>
              </w:rPr>
              <w:t>. Dėl minimalios Užsakymo vertės ar apimties</w:t>
            </w:r>
          </w:p>
          <w:p w14:paraId="49EA8F57" w14:textId="2B4599FC" w:rsidR="004B42CC" w:rsidRPr="0017585F" w:rsidRDefault="004B42CC" w:rsidP="0017585F">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31EBD9F7" w14:textId="77777777" w:rsidR="0017585F" w:rsidRPr="0017585F" w:rsidRDefault="0017585F" w:rsidP="0017585F">
            <w:pPr>
              <w:spacing w:line="276" w:lineRule="auto"/>
              <w:rPr>
                <w:kern w:val="2"/>
                <w:szCs w:val="24"/>
              </w:rPr>
            </w:pPr>
          </w:p>
          <w:p w14:paraId="228204BC" w14:textId="28312D25" w:rsidR="004855D1" w:rsidRPr="0017585F" w:rsidRDefault="004855D1"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30E9E728" w14:textId="77777777" w:rsidR="004855D1" w:rsidRDefault="0017585F" w:rsidP="0017585F">
            <w:pPr>
              <w:spacing w:line="276" w:lineRule="auto"/>
              <w:rPr>
                <w:color w:val="4472C4"/>
                <w:kern w:val="2"/>
                <w:szCs w:val="24"/>
              </w:rPr>
            </w:pPr>
            <w:r w:rsidRPr="0017585F">
              <w:rPr>
                <w:kern w:val="2"/>
                <w:szCs w:val="24"/>
              </w:rPr>
              <w:t xml:space="preserve">Turi būti pateikiami šie dokumentai: </w:t>
            </w:r>
          </w:p>
          <w:p w14:paraId="089CF931" w14:textId="699B8696" w:rsidR="0017585F" w:rsidRPr="0017585F" w:rsidRDefault="0017585F" w:rsidP="0017585F">
            <w:pPr>
              <w:spacing w:line="276" w:lineRule="auto"/>
              <w:rPr>
                <w:szCs w:val="24"/>
              </w:rPr>
            </w:pPr>
            <w:r w:rsidRPr="0017585F">
              <w:rPr>
                <w:color w:val="4472C4"/>
                <w:kern w:val="2"/>
                <w:szCs w:val="24"/>
              </w:rPr>
              <w:t xml:space="preserve"> </w:t>
            </w:r>
            <w:r w:rsidRPr="004855D1">
              <w:rPr>
                <w:kern w:val="2"/>
                <w:szCs w:val="24"/>
              </w:rPr>
              <w:t>Paslaugų perda</w:t>
            </w:r>
            <w:r w:rsidR="004855D1" w:rsidRPr="004855D1">
              <w:rPr>
                <w:kern w:val="2"/>
                <w:szCs w:val="24"/>
              </w:rPr>
              <w:t>vimo-priėmimo aktas ir Sąskaita.</w:t>
            </w:r>
            <w:r w:rsidRPr="004855D1">
              <w:rPr>
                <w:kern w:val="2"/>
                <w:szCs w:val="24"/>
              </w:rPr>
              <w:t xml:space="preserve"> </w:t>
            </w:r>
            <w:r w:rsidRPr="0017585F">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257"/>
      </w:tblGrid>
      <w:tr w:rsidR="0017585F" w:rsidRPr="0017585F" w14:paraId="3FA68175" w14:textId="77777777" w:rsidTr="0027579C">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257" w:type="dxa"/>
          </w:tcPr>
          <w:p w14:paraId="4F4EC3A8" w14:textId="77777777" w:rsidR="0017585F" w:rsidRPr="0017585F" w:rsidRDefault="0017585F" w:rsidP="0017585F">
            <w:pPr>
              <w:spacing w:line="276" w:lineRule="auto"/>
              <w:rPr>
                <w:kern w:val="2"/>
                <w:szCs w:val="24"/>
              </w:rPr>
            </w:pPr>
          </w:p>
          <w:p w14:paraId="1BB4D3C2" w14:textId="77777777" w:rsidR="0017585F" w:rsidRPr="0017585F" w:rsidRDefault="0017585F" w:rsidP="0017585F">
            <w:pPr>
              <w:spacing w:line="276" w:lineRule="auto"/>
              <w:rPr>
                <w:kern w:val="2"/>
                <w:szCs w:val="24"/>
              </w:rPr>
            </w:pPr>
            <w:r w:rsidRPr="0017585F">
              <w:rPr>
                <w:kern w:val="2"/>
                <w:szCs w:val="24"/>
              </w:rPr>
              <w:t>Fiksuoto įkainio kainodara</w:t>
            </w:r>
          </w:p>
          <w:p w14:paraId="032C7726" w14:textId="77777777" w:rsidR="0017585F" w:rsidRPr="0017585F" w:rsidRDefault="0017585F" w:rsidP="0017585F">
            <w:pPr>
              <w:spacing w:line="276" w:lineRule="auto"/>
              <w:rPr>
                <w:kern w:val="2"/>
                <w:szCs w:val="24"/>
              </w:rPr>
            </w:pPr>
          </w:p>
          <w:p w14:paraId="34190A22" w14:textId="048B57CE" w:rsidR="0017585F" w:rsidRPr="0017585F" w:rsidRDefault="0017585F" w:rsidP="0017585F">
            <w:pPr>
              <w:spacing w:line="276" w:lineRule="auto"/>
              <w:rPr>
                <w:color w:val="4472C4"/>
                <w:kern w:val="2"/>
                <w:szCs w:val="24"/>
              </w:rPr>
            </w:pPr>
          </w:p>
        </w:tc>
      </w:tr>
      <w:tr w:rsidR="004A5466" w:rsidRPr="0017585F" w14:paraId="7DE74CCF" w14:textId="77777777" w:rsidTr="0027579C">
        <w:trPr>
          <w:trHeight w:val="300"/>
        </w:trPr>
        <w:tc>
          <w:tcPr>
            <w:tcW w:w="3094" w:type="dxa"/>
          </w:tcPr>
          <w:p w14:paraId="545DE070" w14:textId="77777777" w:rsidR="004A5466" w:rsidRPr="0017585F" w:rsidRDefault="004A5466" w:rsidP="004A5466">
            <w:pPr>
              <w:spacing w:line="276" w:lineRule="auto"/>
              <w:rPr>
                <w:b/>
                <w:kern w:val="2"/>
                <w:szCs w:val="24"/>
              </w:rPr>
            </w:pPr>
            <w:r>
              <w:rPr>
                <w:b/>
                <w:kern w:val="2"/>
                <w:szCs w:val="24"/>
              </w:rPr>
              <w:t>5.2</w:t>
            </w:r>
            <w:r w:rsidRPr="0017585F">
              <w:rPr>
                <w:b/>
                <w:kern w:val="2"/>
                <w:szCs w:val="24"/>
              </w:rPr>
              <w:t xml:space="preserve">. Pradinės Sutarties vertė ir Sutarties kaina, kai taikoma </w:t>
            </w:r>
            <w:r w:rsidRPr="0017585F">
              <w:rPr>
                <w:b/>
                <w:kern w:val="2"/>
                <w:szCs w:val="24"/>
                <w:u w:val="single"/>
              </w:rPr>
              <w:t>fiksuoto įkainio</w:t>
            </w:r>
            <w:r w:rsidRPr="0017585F">
              <w:rPr>
                <w:b/>
                <w:kern w:val="2"/>
                <w:szCs w:val="24"/>
              </w:rPr>
              <w:t xml:space="preserve"> kainodara</w:t>
            </w:r>
          </w:p>
          <w:p w14:paraId="6DD83A2C" w14:textId="77777777" w:rsidR="004A5466" w:rsidRDefault="004A5466" w:rsidP="0017585F">
            <w:pPr>
              <w:spacing w:line="276" w:lineRule="auto"/>
              <w:rPr>
                <w:b/>
                <w:kern w:val="2"/>
                <w:szCs w:val="24"/>
              </w:rPr>
            </w:pPr>
          </w:p>
        </w:tc>
        <w:tc>
          <w:tcPr>
            <w:tcW w:w="6257" w:type="dxa"/>
          </w:tcPr>
          <w:p w14:paraId="196D3879" w14:textId="2BEA3EDE" w:rsidR="004A5466" w:rsidRPr="0017585F" w:rsidRDefault="004A5466" w:rsidP="004A5466">
            <w:pPr>
              <w:spacing w:line="276" w:lineRule="auto"/>
              <w:rPr>
                <w:szCs w:val="24"/>
              </w:rPr>
            </w:pPr>
            <w:r w:rsidRPr="0017585F">
              <w:rPr>
                <w:kern w:val="2"/>
                <w:szCs w:val="24"/>
              </w:rPr>
              <w:t xml:space="preserve">Pradinės Sutarties vertė yra </w:t>
            </w:r>
            <w:r w:rsidRPr="009F3A7D">
              <w:rPr>
                <w:kern w:val="2"/>
                <w:szCs w:val="24"/>
              </w:rPr>
              <w:t>(</w:t>
            </w:r>
            <w:r w:rsidR="009F3A7D" w:rsidRPr="009F3A7D">
              <w:rPr>
                <w:kern w:val="2"/>
                <w:szCs w:val="24"/>
              </w:rPr>
              <w:t xml:space="preserve">            </w:t>
            </w:r>
            <w:r w:rsidRPr="009F3A7D">
              <w:rPr>
                <w:kern w:val="2"/>
                <w:szCs w:val="24"/>
              </w:rPr>
              <w:t>) Eur (</w:t>
            </w:r>
            <w:r w:rsidR="009F3A7D" w:rsidRPr="009F3A7D">
              <w:rPr>
                <w:kern w:val="2"/>
                <w:szCs w:val="24"/>
              </w:rPr>
              <w:t xml:space="preserve">               </w:t>
            </w:r>
            <w:r w:rsidRPr="009F3A7D">
              <w:rPr>
                <w:kern w:val="2"/>
                <w:szCs w:val="24"/>
              </w:rPr>
              <w:t xml:space="preserve">) </w:t>
            </w:r>
            <w:r w:rsidRPr="0017585F">
              <w:rPr>
                <w:kern w:val="2"/>
                <w:szCs w:val="24"/>
              </w:rPr>
              <w:t>be PVM.</w:t>
            </w:r>
          </w:p>
          <w:p w14:paraId="0E1C457D" w14:textId="663AEF8C" w:rsidR="004A5466" w:rsidRPr="0017585F" w:rsidRDefault="004A5466" w:rsidP="004A5466">
            <w:pPr>
              <w:spacing w:line="276" w:lineRule="auto"/>
              <w:rPr>
                <w:szCs w:val="24"/>
              </w:rPr>
            </w:pPr>
            <w:r w:rsidRPr="0017585F">
              <w:rPr>
                <w:kern w:val="2"/>
                <w:szCs w:val="24"/>
              </w:rPr>
              <w:t xml:space="preserve">PVM sudaro </w:t>
            </w:r>
            <w:r w:rsidRPr="009F3A7D">
              <w:rPr>
                <w:kern w:val="2"/>
                <w:szCs w:val="24"/>
              </w:rPr>
              <w:t>(</w:t>
            </w:r>
            <w:r w:rsidR="009F3A7D" w:rsidRPr="009F3A7D">
              <w:rPr>
                <w:kern w:val="2"/>
                <w:szCs w:val="24"/>
              </w:rPr>
              <w:t xml:space="preserve">           </w:t>
            </w:r>
            <w:r w:rsidRPr="009F3A7D">
              <w:rPr>
                <w:kern w:val="2"/>
                <w:szCs w:val="24"/>
              </w:rPr>
              <w:t>) Eur (</w:t>
            </w:r>
            <w:r w:rsidR="009F3A7D" w:rsidRPr="009F3A7D">
              <w:rPr>
                <w:kern w:val="2"/>
                <w:szCs w:val="24"/>
              </w:rPr>
              <w:t xml:space="preserve">                   </w:t>
            </w:r>
            <w:r w:rsidRPr="009F3A7D">
              <w:rPr>
                <w:kern w:val="2"/>
                <w:szCs w:val="24"/>
              </w:rPr>
              <w:t>).</w:t>
            </w:r>
          </w:p>
          <w:p w14:paraId="6DA2837B" w14:textId="52D834CD" w:rsidR="004A5466" w:rsidRPr="0027579C" w:rsidRDefault="004A5466" w:rsidP="004A5466">
            <w:pPr>
              <w:spacing w:line="276" w:lineRule="auto"/>
              <w:rPr>
                <w:szCs w:val="24"/>
              </w:rPr>
            </w:pPr>
            <w:r w:rsidRPr="0017585F">
              <w:rPr>
                <w:kern w:val="2"/>
                <w:szCs w:val="24"/>
              </w:rPr>
              <w:t xml:space="preserve">Sutarties kaina </w:t>
            </w:r>
            <w:r w:rsidRPr="009F3A7D">
              <w:rPr>
                <w:kern w:val="2"/>
                <w:szCs w:val="24"/>
              </w:rPr>
              <w:t>yra (</w:t>
            </w:r>
            <w:r w:rsidR="009F3A7D" w:rsidRPr="009F3A7D">
              <w:rPr>
                <w:kern w:val="2"/>
                <w:szCs w:val="24"/>
              </w:rPr>
              <w:t xml:space="preserve">             </w:t>
            </w:r>
            <w:r w:rsidRPr="009F3A7D">
              <w:rPr>
                <w:kern w:val="2"/>
                <w:szCs w:val="24"/>
              </w:rPr>
              <w:t>) Eur (</w:t>
            </w:r>
            <w:r w:rsidR="009F3A7D" w:rsidRPr="009F3A7D">
              <w:rPr>
                <w:kern w:val="2"/>
                <w:szCs w:val="24"/>
              </w:rPr>
              <w:t xml:space="preserve">                    </w:t>
            </w:r>
            <w:r w:rsidRPr="009F3A7D">
              <w:rPr>
                <w:kern w:val="2"/>
                <w:szCs w:val="24"/>
              </w:rPr>
              <w:t xml:space="preserve">) </w:t>
            </w:r>
            <w:r w:rsidRPr="0017585F">
              <w:rPr>
                <w:kern w:val="2"/>
                <w:szCs w:val="24"/>
              </w:rPr>
              <w:t>su PVM.</w:t>
            </w:r>
          </w:p>
          <w:p w14:paraId="100581A0" w14:textId="39626E29" w:rsidR="00B25D6F" w:rsidRPr="00B25D6F" w:rsidRDefault="00B25D6F" w:rsidP="004A5466">
            <w:pPr>
              <w:spacing w:line="276" w:lineRule="auto"/>
              <w:rPr>
                <w:color w:val="000000"/>
                <w:kern w:val="2"/>
                <w:szCs w:val="24"/>
              </w:rPr>
            </w:pPr>
            <w:r w:rsidRPr="0017585F">
              <w:rPr>
                <w:color w:val="000000"/>
                <w:kern w:val="2"/>
                <w:szCs w:val="24"/>
              </w:rPr>
              <w:t xml:space="preserve">Šioje Sutartyje Pradinės Sutarties vertė yra lygi Tiekėjo pasiūlymo kainai be PVM, apskaičiuotai sudauginus </w:t>
            </w:r>
            <w:r w:rsidRPr="0017585F">
              <w:rPr>
                <w:b/>
                <w:color w:val="000000"/>
                <w:kern w:val="2"/>
                <w:szCs w:val="24"/>
              </w:rPr>
              <w:t xml:space="preserve">maksimalų </w:t>
            </w:r>
            <w:r w:rsidRPr="0017585F">
              <w:rPr>
                <w:b/>
                <w:color w:val="000000"/>
                <w:szCs w:val="24"/>
              </w:rPr>
              <w:t>Paslaugų</w:t>
            </w:r>
            <w:r w:rsidRPr="0017585F">
              <w:rPr>
                <w:b/>
                <w:color w:val="000000"/>
                <w:kern w:val="2"/>
                <w:szCs w:val="24"/>
              </w:rPr>
              <w:t xml:space="preserve"> kiekį</w:t>
            </w:r>
            <w:r w:rsidRPr="0017585F">
              <w:rPr>
                <w:color w:val="000000"/>
                <w:kern w:val="2"/>
                <w:szCs w:val="24"/>
              </w:rPr>
              <w:t xml:space="preserve"> iš Tiekėjo pasiūlyto įkainio be PVM. Pirkėjas perka P</w:t>
            </w:r>
            <w:r w:rsidRPr="0017585F">
              <w:rPr>
                <w:color w:val="000000"/>
                <w:szCs w:val="24"/>
              </w:rPr>
              <w:t>aslaugas</w:t>
            </w:r>
            <w:r w:rsidRPr="0017585F">
              <w:rPr>
                <w:color w:val="000000"/>
                <w:kern w:val="2"/>
                <w:szCs w:val="24"/>
              </w:rPr>
              <w:t xml:space="preserve"> pagal poreikį Sutartyje arba jos priede Nr.</w:t>
            </w:r>
            <w:r w:rsidR="008768C8">
              <w:rPr>
                <w:kern w:val="2"/>
                <w:szCs w:val="24"/>
              </w:rPr>
              <w:t>3</w:t>
            </w:r>
            <w:r w:rsidRPr="0017585F">
              <w:rPr>
                <w:kern w:val="2"/>
                <w:szCs w:val="24"/>
              </w:rPr>
              <w:t xml:space="preserve"> </w:t>
            </w:r>
            <w:r w:rsidRPr="0017585F">
              <w:rPr>
                <w:color w:val="000000"/>
                <w:kern w:val="2"/>
                <w:szCs w:val="24"/>
              </w:rPr>
              <w:t>nurodytais įkainiais, neviršijant jame nurodyto P</w:t>
            </w:r>
            <w:r w:rsidRPr="0017585F">
              <w:rPr>
                <w:color w:val="000000"/>
                <w:szCs w:val="24"/>
              </w:rPr>
              <w:t xml:space="preserve">aslaugų </w:t>
            </w:r>
            <w:r w:rsidRPr="0017585F">
              <w:rPr>
                <w:color w:val="000000"/>
                <w:kern w:val="2"/>
                <w:szCs w:val="24"/>
              </w:rPr>
              <w:t>maksimalaus kiekio.</w:t>
            </w:r>
          </w:p>
          <w:p w14:paraId="69666801" w14:textId="77777777" w:rsidR="004A5466" w:rsidRDefault="004A5466" w:rsidP="004A5466">
            <w:pPr>
              <w:spacing w:line="276" w:lineRule="auto"/>
              <w:rPr>
                <w:color w:val="4472C4"/>
                <w:kern w:val="2"/>
                <w:szCs w:val="24"/>
              </w:rPr>
            </w:pPr>
            <w:r w:rsidRPr="0027579C">
              <w:rPr>
                <w:kern w:val="2"/>
                <w:szCs w:val="24"/>
              </w:rPr>
              <w:t>Pirkėjas neįsipareigoja išpirkti preliminaraus Paslaugų kiekio ar bet kokios jo dalies.</w:t>
            </w:r>
          </w:p>
          <w:p w14:paraId="1B3C9330" w14:textId="77777777" w:rsidR="004A5466" w:rsidRPr="0017585F" w:rsidRDefault="004A5466" w:rsidP="0017585F">
            <w:pPr>
              <w:spacing w:line="276" w:lineRule="auto"/>
              <w:rPr>
                <w:kern w:val="2"/>
                <w:szCs w:val="24"/>
              </w:rPr>
            </w:pPr>
          </w:p>
        </w:tc>
      </w:tr>
      <w:tr w:rsidR="0017585F" w:rsidRPr="0017585F" w14:paraId="4E07FAF5" w14:textId="77777777" w:rsidTr="0027579C">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257" w:type="dxa"/>
          </w:tcPr>
          <w:p w14:paraId="491CAC81" w14:textId="5473A200" w:rsidR="0017585F" w:rsidRPr="0017585F" w:rsidRDefault="0017585F" w:rsidP="0017585F">
            <w:pPr>
              <w:spacing w:line="276" w:lineRule="auto"/>
              <w:rPr>
                <w:kern w:val="2"/>
                <w:szCs w:val="24"/>
              </w:rPr>
            </w:pPr>
          </w:p>
          <w:p w14:paraId="6C12AC46" w14:textId="38919003" w:rsidR="0017585F" w:rsidRPr="0017585F" w:rsidRDefault="0017585F" w:rsidP="0017585F">
            <w:pPr>
              <w:spacing w:line="276" w:lineRule="auto"/>
              <w:rPr>
                <w:szCs w:val="24"/>
              </w:rPr>
            </w:pPr>
            <w:r w:rsidRPr="0017585F">
              <w:rPr>
                <w:kern w:val="2"/>
                <w:szCs w:val="24"/>
              </w:rPr>
              <w:t xml:space="preserve">Sutarties </w:t>
            </w:r>
            <w:r w:rsidRPr="0017585F">
              <w:rPr>
                <w:color w:val="FF0000"/>
                <w:kern w:val="2"/>
                <w:szCs w:val="24"/>
              </w:rPr>
              <w:t xml:space="preserve"> </w:t>
            </w:r>
            <w:r w:rsidRPr="004A5466">
              <w:rPr>
                <w:kern w:val="2"/>
                <w:szCs w:val="24"/>
              </w:rPr>
              <w:t>įkainiai</w:t>
            </w:r>
            <w:r w:rsidRPr="0017585F">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27579C">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257" w:type="dxa"/>
          </w:tcPr>
          <w:p w14:paraId="7B19C509" w14:textId="7F0A2D3B" w:rsidR="771F6C7A" w:rsidRDefault="771F6C7A" w:rsidP="7D55A6B7">
            <w:pPr>
              <w:spacing w:line="276" w:lineRule="auto"/>
            </w:pPr>
            <w:r w:rsidRPr="7D55A6B7">
              <w:rPr>
                <w:szCs w:val="24"/>
                <w:lang w:val="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4887798" w14:textId="2672376B" w:rsidR="771F6C7A" w:rsidRDefault="771F6C7A" w:rsidP="7D55A6B7">
            <w:pPr>
              <w:spacing w:line="276" w:lineRule="auto"/>
              <w:rPr>
                <w:szCs w:val="24"/>
              </w:rPr>
            </w:pPr>
            <w:r w:rsidRPr="7D55A6B7">
              <w:rPr>
                <w:szCs w:val="24"/>
                <w:lang w:val="lt"/>
              </w:rPr>
              <w:t xml:space="preserve">Perskaičiavimas įforminamas Susitarimu ne vėliau kaip per 20 darbo dienų nuo PVM mokėjimą reglamentuojančių teisės aktų pasikeitimo, kuris tampa neatskiriama Sutarties dalimi. </w:t>
            </w:r>
            <w:r w:rsidRPr="7D55A6B7">
              <w:rPr>
                <w:szCs w:val="24"/>
                <w:lang w:val="lt"/>
              </w:rPr>
              <w:lastRenderedPageBreak/>
              <w:t>Perskaičiuota (-</w:t>
            </w:r>
            <w:proofErr w:type="spellStart"/>
            <w:r w:rsidRPr="7D55A6B7">
              <w:rPr>
                <w:szCs w:val="24"/>
                <w:lang w:val="lt"/>
              </w:rPr>
              <w:t>as</w:t>
            </w:r>
            <w:proofErr w:type="spellEnd"/>
            <w:r w:rsidRPr="7D55A6B7">
              <w:rPr>
                <w:szCs w:val="24"/>
                <w:lang w:val="lt"/>
              </w:rPr>
              <w:t>) Sutarties kaina / įkainiai taikoma (-i) už tą Paslaugų dalį, kurios bus teikiamos nuo naujo PVM įvedimo datos (nepriklausomai nuo to, kada pasirašytas Susitarimas).</w:t>
            </w:r>
          </w:p>
          <w:p w14:paraId="79064A82" w14:textId="51CB1675" w:rsidR="0017585F" w:rsidRPr="0017585F" w:rsidRDefault="0017585F" w:rsidP="63FB1611">
            <w:pPr>
              <w:spacing w:line="276" w:lineRule="auto"/>
            </w:pPr>
          </w:p>
        </w:tc>
      </w:tr>
      <w:tr w:rsidR="0017585F" w:rsidRPr="0017585F" w14:paraId="4A2B3AD1" w14:textId="77777777" w:rsidTr="0027579C">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lastRenderedPageBreak/>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636AE0D7" w:rsidR="0017585F" w:rsidRPr="00397FE8" w:rsidRDefault="0017585F" w:rsidP="0017585F">
            <w:pPr>
              <w:spacing w:line="276" w:lineRule="auto"/>
              <w:rPr>
                <w:b/>
                <w:i/>
                <w:iCs/>
                <w:kern w:val="2"/>
                <w:szCs w:val="24"/>
              </w:rPr>
            </w:pPr>
          </w:p>
        </w:tc>
        <w:tc>
          <w:tcPr>
            <w:tcW w:w="6257" w:type="dxa"/>
          </w:tcPr>
          <w:p w14:paraId="1792E9A0" w14:textId="77777777" w:rsidR="0017585F" w:rsidRPr="0017585F" w:rsidRDefault="0017585F" w:rsidP="0017585F">
            <w:pPr>
              <w:spacing w:line="276" w:lineRule="auto"/>
              <w:rPr>
                <w:kern w:val="2"/>
                <w:szCs w:val="24"/>
              </w:rPr>
            </w:pPr>
          </w:p>
          <w:p w14:paraId="02E2D883" w14:textId="200E9EE1" w:rsidR="00E55BBF" w:rsidRDefault="006219E8" w:rsidP="00E55BBF">
            <w:pPr>
              <w:pStyle w:val="Sraopastraipa"/>
              <w:numPr>
                <w:ilvl w:val="3"/>
                <w:numId w:val="17"/>
              </w:numPr>
              <w:spacing w:line="276" w:lineRule="auto"/>
              <w:ind w:left="52" w:firstLine="0"/>
              <w:jc w:val="both"/>
              <w:rPr>
                <w:szCs w:val="24"/>
              </w:rPr>
            </w:pPr>
            <w:r w:rsidRPr="006F06B0">
              <w:rPr>
                <w:szCs w:val="24"/>
              </w:rPr>
              <w:t xml:space="preserve">Sutarties kaina/įkainiai taip pat gali būti perskaičiuojami, jeigu Paslaugų tiekimo trukmė yra ilgesnė nei 6 mėnesiai ir tam tikru laikotarpiu (kurio pradžia yra ne ankstesnė negu Sutarties įsigaliojimo diena) Valstybės duomenų agentūros </w:t>
            </w:r>
            <w:r w:rsidRPr="001322F0">
              <w:rPr>
                <w:szCs w:val="24"/>
              </w:rPr>
              <w:t>skelbiamo vartotojų kainų indekso pagal klasifikatorių „</w:t>
            </w:r>
            <w:r w:rsidR="004A5466" w:rsidRPr="004A5466">
              <w:rPr>
                <w:i/>
                <w:iCs/>
                <w:szCs w:val="24"/>
              </w:rPr>
              <w:t>Įvairios paslaugos ir prekės</w:t>
            </w:r>
            <w:r w:rsidRPr="001322F0">
              <w:rPr>
                <w:szCs w:val="24"/>
              </w:rPr>
              <w:t xml:space="preserve">“ (toliau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w:t>
            </w:r>
            <w:proofErr w:type="spellStart"/>
            <w:r w:rsidRPr="001322F0">
              <w:rPr>
                <w:szCs w:val="24"/>
              </w:rPr>
              <w:t>proc</w:t>
            </w:r>
            <w:proofErr w:type="spellEnd"/>
            <w:r w:rsidRPr="001322F0">
              <w:rPr>
                <w:szCs w:val="24"/>
              </w:rPr>
              <w:t>)=</w:t>
            </w:r>
            <w:proofErr w:type="spellStart"/>
            <w:r w:rsidRPr="001322F0">
              <w:rPr>
                <w:szCs w:val="24"/>
              </w:rPr>
              <w:t>I</w:t>
            </w:r>
            <w:r w:rsidRPr="001322F0">
              <w:rPr>
                <w:szCs w:val="24"/>
                <w:vertAlign w:val="subscript"/>
              </w:rPr>
              <w:t>pb</w:t>
            </w:r>
            <w:proofErr w:type="spellEnd"/>
            <w:r w:rsidRPr="001322F0">
              <w:rPr>
                <w:szCs w:val="24"/>
              </w:rPr>
              <w:t>/</w:t>
            </w:r>
            <w:proofErr w:type="spellStart"/>
            <w:r w:rsidRPr="001322F0">
              <w:rPr>
                <w:szCs w:val="24"/>
              </w:rPr>
              <w:t>I</w:t>
            </w:r>
            <w:r w:rsidRPr="001322F0">
              <w:rPr>
                <w:szCs w:val="24"/>
                <w:vertAlign w:val="subscript"/>
              </w:rPr>
              <w:t>pr</w:t>
            </w:r>
            <w:proofErr w:type="spellEnd"/>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pr</w:t>
            </w:r>
            <w:proofErr w:type="spellEnd"/>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proofErr w:type="spellStart"/>
            <w:r w:rsidRPr="001322F0">
              <w:rPr>
                <w:szCs w:val="24"/>
              </w:rPr>
              <w:t>I</w:t>
            </w:r>
            <w:r w:rsidRPr="001322F0">
              <w:rPr>
                <w:szCs w:val="24"/>
                <w:vertAlign w:val="subscript"/>
              </w:rPr>
              <w:t>pb</w:t>
            </w:r>
            <w:proofErr w:type="spellEnd"/>
            <w:r w:rsidRPr="001322F0">
              <w:rPr>
                <w:szCs w:val="24"/>
              </w:rPr>
              <w:t xml:space="preserve"> – Indekso reikšmė laikotarpio pabaigoje.</w:t>
            </w:r>
          </w:p>
          <w:p w14:paraId="1800C7DC" w14:textId="1C9F8129"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w:t>
            </w:r>
            <w:r w:rsidR="00463FF1">
              <w:rPr>
                <w:szCs w:val="24"/>
              </w:rPr>
              <w:t xml:space="preserve">rocentų, kiek padidėjo/sumažėjo </w:t>
            </w:r>
            <w:r w:rsidRPr="001322F0">
              <w:rPr>
                <w:szCs w:val="24"/>
              </w:rPr>
              <w:t>Indeksas</w:t>
            </w:r>
            <w:r>
              <w:rPr>
                <w:szCs w:val="24"/>
              </w:rPr>
              <w:t xml:space="preserve"> (K)</w:t>
            </w:r>
            <w:r w:rsidR="00463FF1">
              <w:rPr>
                <w:szCs w:val="24"/>
              </w:rPr>
              <w:t xml:space="preserve">, </w:t>
            </w:r>
            <w:proofErr w:type="spellStart"/>
            <w:r w:rsidR="00463FF1">
              <w:rPr>
                <w:szCs w:val="24"/>
              </w:rPr>
              <w:t>t.</w:t>
            </w:r>
            <w:r w:rsidRPr="001322F0">
              <w:rPr>
                <w:szCs w:val="24"/>
              </w:rPr>
              <w:t>y</w:t>
            </w:r>
            <w:proofErr w:type="spellEnd"/>
            <w:r w:rsidRPr="001322F0">
              <w:rPr>
                <w:szCs w:val="24"/>
              </w:rPr>
              <w:t xml:space="preserve">.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lastRenderedPageBreak/>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proofErr w:type="spellStart"/>
            <w:r w:rsidRPr="001322F0">
              <w:rPr>
                <w:szCs w:val="24"/>
              </w:rPr>
              <w:t>I</w:t>
            </w:r>
            <w:r w:rsidRPr="001322F0">
              <w:rPr>
                <w:szCs w:val="24"/>
                <w:vertAlign w:val="subscript"/>
              </w:rPr>
              <w:t>pr</w:t>
            </w:r>
            <w:proofErr w:type="spellEnd"/>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w:t>
            </w:r>
            <w:proofErr w:type="spellStart"/>
            <w:r w:rsidRPr="00EC2BAC">
              <w:rPr>
                <w:szCs w:val="24"/>
              </w:rPr>
              <w:t>I</w:t>
            </w:r>
            <w:r w:rsidRPr="00EC2BAC">
              <w:rPr>
                <w:szCs w:val="24"/>
                <w:vertAlign w:val="subscript"/>
              </w:rPr>
              <w:t>pb</w:t>
            </w:r>
            <w:proofErr w:type="spellEnd"/>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27579C">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257" w:type="dxa"/>
          </w:tcPr>
          <w:p w14:paraId="2C05FC93" w14:textId="77777777" w:rsidR="0017585F" w:rsidRPr="0017585F" w:rsidRDefault="0017585F" w:rsidP="0017585F">
            <w:pPr>
              <w:spacing w:line="276" w:lineRule="auto"/>
              <w:rPr>
                <w:kern w:val="2"/>
                <w:szCs w:val="24"/>
              </w:rPr>
            </w:pPr>
          </w:p>
          <w:p w14:paraId="1FEA5A1C" w14:textId="77777777" w:rsidR="0017585F" w:rsidRPr="00456DF5" w:rsidRDefault="0017585F" w:rsidP="0017585F">
            <w:pPr>
              <w:spacing w:line="276" w:lineRule="auto"/>
              <w:rPr>
                <w:kern w:val="2"/>
                <w:szCs w:val="24"/>
              </w:rPr>
            </w:pPr>
            <w:r w:rsidRPr="004A5466">
              <w:rPr>
                <w:kern w:val="2"/>
                <w:szCs w:val="24"/>
              </w:rPr>
              <w:t xml:space="preserve">Pirkėjas numato galimybę įsigyti Sutartimi įsigyjamų Paslaugų sąraše nenurodytų, tačiau su pirkimo objektu </w:t>
            </w:r>
            <w:r w:rsidRPr="00456DF5">
              <w:rPr>
                <w:kern w:val="2"/>
                <w:szCs w:val="24"/>
              </w:rPr>
              <w:t>susijusių Paslaugų (toliau – Nenumatytos paslaugos) neviršijant 10 (dešimt) proc. Pradinės Sutarties vertės (jos nedidinant).</w:t>
            </w:r>
          </w:p>
          <w:p w14:paraId="7C8FB9D0" w14:textId="77777777" w:rsidR="0017585F" w:rsidRPr="0017585F" w:rsidRDefault="0017585F" w:rsidP="0017585F">
            <w:pPr>
              <w:spacing w:line="276" w:lineRule="auto"/>
              <w:rPr>
                <w:szCs w:val="24"/>
              </w:rPr>
            </w:pPr>
            <w:r w:rsidRPr="00456DF5">
              <w:rPr>
                <w:kern w:val="2"/>
                <w:szCs w:val="24"/>
              </w:rPr>
              <w:t xml:space="preserve">Už Nenumatytas </w:t>
            </w:r>
            <w:r w:rsidRPr="00456DF5">
              <w:rPr>
                <w:szCs w:val="24"/>
              </w:rPr>
              <w:t xml:space="preserve">paslaugas </w:t>
            </w:r>
            <w:r w:rsidRPr="00456DF5">
              <w:rPr>
                <w:kern w:val="2"/>
                <w:szCs w:val="24"/>
              </w:rPr>
              <w:t xml:space="preserve">bus apmokama ne didesnėmis nei Užsakymo dieną Tiekėjo prekybos vietoje, kataloge ar interneto svetainėje nurodytomis galiojančiomis šių </w:t>
            </w:r>
            <w:r w:rsidRPr="00456DF5">
              <w:rPr>
                <w:szCs w:val="24"/>
              </w:rPr>
              <w:t xml:space="preserve">paslaugų </w:t>
            </w:r>
            <w:r w:rsidRPr="00456DF5">
              <w:rPr>
                <w:kern w:val="2"/>
                <w:szCs w:val="24"/>
              </w:rPr>
              <w:t>kainomis arba, jei tokios kainos neskelbiamos, tiekėjo pasiūlytomis, konkurencingomis ir rinką atitinkančiomis kainomis. Nenumatytų p</w:t>
            </w:r>
            <w:r w:rsidRPr="00456DF5">
              <w:rPr>
                <w:szCs w:val="24"/>
              </w:rPr>
              <w:t>aslaugų</w:t>
            </w:r>
            <w:r w:rsidRPr="00456DF5">
              <w:rPr>
                <w:kern w:val="2"/>
                <w:szCs w:val="24"/>
              </w:rPr>
              <w:t xml:space="preserve"> kaina su Pirkėju turi būti derinama iš anksto. Gavęs Tiekėjo pateiktas Nenumatytų </w:t>
            </w:r>
            <w:r w:rsidRPr="00456DF5">
              <w:rPr>
                <w:szCs w:val="24"/>
              </w:rPr>
              <w:t xml:space="preserve">paslaugų </w:t>
            </w:r>
            <w:r w:rsidRPr="00456DF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456DF5">
              <w:rPr>
                <w:szCs w:val="24"/>
              </w:rPr>
              <w:t>paslaugų</w:t>
            </w:r>
            <w:r w:rsidRPr="00456DF5">
              <w:rPr>
                <w:kern w:val="2"/>
                <w:szCs w:val="24"/>
              </w:rPr>
              <w:t xml:space="preserve"> kainos atitinka rinkos kainas. Nustačius, kad Tiekėjo pasiūlytos Nenumatytų </w:t>
            </w:r>
            <w:r w:rsidRPr="00456DF5">
              <w:rPr>
                <w:szCs w:val="24"/>
              </w:rPr>
              <w:t>paslaugų</w:t>
            </w:r>
            <w:r w:rsidRPr="00456DF5">
              <w:rPr>
                <w:kern w:val="2"/>
                <w:szCs w:val="24"/>
              </w:rPr>
              <w:t xml:space="preserve"> kainos yra didesnės nei rinkos, Pirkėjas prašo Tiekėjo jas sumažinti. Tiekėjui nesutikus sumažinti Nenumatytų </w:t>
            </w:r>
            <w:r w:rsidRPr="00456DF5">
              <w:rPr>
                <w:szCs w:val="24"/>
              </w:rPr>
              <w:t>paslaugų</w:t>
            </w:r>
            <w:r w:rsidRPr="00456DF5">
              <w:rPr>
                <w:kern w:val="2"/>
                <w:szCs w:val="24"/>
              </w:rPr>
              <w:t xml:space="preserve"> kainos iki rinkos kainos, Pirkėjas pasilieka teisę Nenumatytas </w:t>
            </w:r>
            <w:r w:rsidRPr="00456DF5">
              <w:rPr>
                <w:szCs w:val="24"/>
              </w:rPr>
              <w:t>paslaugas</w:t>
            </w:r>
            <w:r w:rsidRPr="00456DF5">
              <w:rPr>
                <w:kern w:val="2"/>
                <w:szCs w:val="24"/>
              </w:rPr>
              <w:t xml:space="preserve"> įsigyti atskiru pirkimu</w:t>
            </w:r>
            <w:r w:rsidRPr="0017585F">
              <w:rPr>
                <w:color w:val="FF0000"/>
                <w:kern w:val="2"/>
                <w:szCs w:val="24"/>
              </w:rPr>
              <w:t>.</w:t>
            </w:r>
          </w:p>
        </w:tc>
      </w:tr>
      <w:tr w:rsidR="0017585F" w:rsidRPr="0017585F" w14:paraId="6C5BD0D8" w14:textId="77777777" w:rsidTr="0027579C">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lastRenderedPageBreak/>
              <w:t>5.5</w:t>
            </w:r>
            <w:r w:rsidR="0017585F" w:rsidRPr="0017585F">
              <w:rPr>
                <w:b/>
                <w:kern w:val="2"/>
                <w:szCs w:val="24"/>
              </w:rPr>
              <w:t>. Atsiskaitymo su Tiekėju terminas ir tvarka</w:t>
            </w:r>
          </w:p>
        </w:tc>
        <w:tc>
          <w:tcPr>
            <w:tcW w:w="6257" w:type="dxa"/>
          </w:tcPr>
          <w:p w14:paraId="5742CF2B" w14:textId="61858B9C" w:rsidR="0017585F" w:rsidRPr="00B25D6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00B25D6F">
              <w:rPr>
                <w:kern w:val="2"/>
                <w:szCs w:val="24"/>
              </w:rPr>
              <w:t>nuo Sąskaitos gavimo dienos.</w:t>
            </w:r>
          </w:p>
          <w:p w14:paraId="77551D46" w14:textId="77777777" w:rsidR="00456DF5"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Apmokėjimo sąlygos</w:t>
            </w:r>
            <w:r w:rsidR="00456DF5">
              <w:rPr>
                <w:color w:val="000000"/>
                <w:kern w:val="2"/>
                <w:szCs w:val="24"/>
                <w:shd w:val="clear" w:color="auto" w:fill="FFFFFF"/>
              </w:rPr>
              <w:t>:</w:t>
            </w:r>
          </w:p>
          <w:p w14:paraId="48F6091F" w14:textId="0CB95C79" w:rsidR="00456DF5" w:rsidRPr="00456DF5" w:rsidRDefault="0017585F" w:rsidP="0017585F">
            <w:pPr>
              <w:spacing w:line="276" w:lineRule="auto"/>
              <w:rPr>
                <w:kern w:val="2"/>
                <w:szCs w:val="24"/>
                <w:shd w:val="clear" w:color="auto" w:fill="FFFFFF"/>
              </w:rPr>
            </w:pPr>
            <w:r w:rsidRPr="00456DF5">
              <w:rPr>
                <w:kern w:val="2"/>
                <w:szCs w:val="24"/>
                <w:shd w:val="clear" w:color="auto" w:fill="FFFFFF"/>
              </w:rPr>
              <w:t>įvykdžius Užsakymą, mokama už konkretų kiekį / a</w:t>
            </w:r>
            <w:r w:rsidR="005C4392">
              <w:rPr>
                <w:kern w:val="2"/>
                <w:szCs w:val="24"/>
                <w:shd w:val="clear" w:color="auto" w:fill="FFFFFF"/>
              </w:rPr>
              <w:t>pimtį pagal nustatytus įkainius.</w:t>
            </w:r>
            <w:r w:rsidR="00456DF5" w:rsidRPr="00456DF5">
              <w:rPr>
                <w:kern w:val="2"/>
                <w:szCs w:val="24"/>
                <w:shd w:val="clear" w:color="auto" w:fill="FFFFFF"/>
              </w:rPr>
              <w:t xml:space="preserve"> </w:t>
            </w:r>
          </w:p>
          <w:p w14:paraId="27E7B6AE" w14:textId="5649A194" w:rsidR="0017585F" w:rsidRPr="00463FF1" w:rsidRDefault="0017585F" w:rsidP="0017585F">
            <w:pPr>
              <w:spacing w:line="276" w:lineRule="auto"/>
              <w:rPr>
                <w:strike/>
                <w:kern w:val="2"/>
                <w:szCs w:val="24"/>
                <w:shd w:val="clear" w:color="auto" w:fill="FFFFFF"/>
              </w:rPr>
            </w:pPr>
          </w:p>
          <w:p w14:paraId="00CDA5BC" w14:textId="34CD745E" w:rsidR="0017585F" w:rsidRPr="0017585F" w:rsidRDefault="0017585F" w:rsidP="0017585F">
            <w:pPr>
              <w:spacing w:line="276" w:lineRule="auto"/>
              <w:rPr>
                <w:color w:val="4472C4"/>
                <w:kern w:val="2"/>
                <w:szCs w:val="24"/>
                <w:shd w:val="clear" w:color="auto" w:fill="FFFFFF"/>
              </w:rPr>
            </w:pPr>
          </w:p>
        </w:tc>
      </w:tr>
      <w:tr w:rsidR="0017585F" w:rsidRPr="0017585F" w14:paraId="4CDF9712" w14:textId="77777777" w:rsidTr="0027579C">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257"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27579C">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257"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278FC66" w14:textId="77777777" w:rsidR="00ED4914" w:rsidRPr="00ED4914" w:rsidRDefault="00ED4914" w:rsidP="00ED4914">
            <w:pPr>
              <w:rPr>
                <w:color w:val="000000"/>
                <w:szCs w:val="24"/>
                <w:lang w:eastAsia="en-GB"/>
              </w:rPr>
            </w:pPr>
            <w:r w:rsidRPr="00ED4914">
              <w:rPr>
                <w:color w:val="000000"/>
                <w:szCs w:val="24"/>
                <w:lang w:eastAsia="en-GB"/>
              </w:rPr>
              <w:t>Netaikoma</w:t>
            </w:r>
          </w:p>
          <w:p w14:paraId="2677B963" w14:textId="77777777" w:rsidR="00ED4914" w:rsidRPr="00ED4914" w:rsidRDefault="00ED4914" w:rsidP="00ED4914">
            <w:pPr>
              <w:rPr>
                <w:color w:val="000000"/>
                <w:szCs w:val="24"/>
                <w:lang w:eastAsia="en-GB"/>
              </w:rPr>
            </w:pPr>
            <w:r w:rsidRPr="00ED4914">
              <w:rPr>
                <w:color w:val="000000"/>
                <w:szCs w:val="24"/>
                <w:lang w:eastAsia="en-GB"/>
              </w:rPr>
              <w:t> </w:t>
            </w:r>
          </w:p>
          <w:p w14:paraId="01CC7949" w14:textId="331300CC" w:rsidR="00ED4914" w:rsidRPr="00ED4914" w:rsidRDefault="00ED4914" w:rsidP="00ED4914">
            <w:pPr>
              <w:rPr>
                <w:color w:val="000000"/>
                <w:szCs w:val="24"/>
                <w:lang w:eastAsia="en-GB"/>
              </w:rPr>
            </w:pPr>
          </w:p>
          <w:p w14:paraId="0E625778" w14:textId="07DBE7D1"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49553191" w14:textId="77777777" w:rsidR="00ED4914" w:rsidRPr="00ED4914" w:rsidRDefault="00ED4914" w:rsidP="00ED4914">
            <w:pPr>
              <w:rPr>
                <w:color w:val="000000"/>
                <w:szCs w:val="24"/>
                <w:lang w:eastAsia="en-GB"/>
              </w:rPr>
            </w:pPr>
            <w:r w:rsidRPr="00ED4914">
              <w:rPr>
                <w:color w:val="000000"/>
                <w:szCs w:val="24"/>
                <w:lang w:eastAsia="en-GB"/>
              </w:rPr>
              <w:t> </w:t>
            </w:r>
          </w:p>
          <w:p w14:paraId="1701B87F" w14:textId="77777777" w:rsidR="00ED4914" w:rsidRPr="00ED4914" w:rsidRDefault="00ED4914" w:rsidP="00ED4914">
            <w:pPr>
              <w:rPr>
                <w:color w:val="000000"/>
                <w:szCs w:val="24"/>
                <w:lang w:eastAsia="en-GB"/>
              </w:rPr>
            </w:pPr>
            <w:r w:rsidRPr="00ED4914">
              <w:rPr>
                <w:color w:val="000000"/>
                <w:szCs w:val="24"/>
                <w:lang w:eastAsia="en-GB"/>
              </w:rPr>
              <w:t> </w:t>
            </w:r>
          </w:p>
          <w:p w14:paraId="70D0AF95" w14:textId="30E24E7D" w:rsidR="0017585F" w:rsidRPr="0017585F" w:rsidRDefault="0017585F" w:rsidP="00456DF5">
            <w:pPr>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47656B35" w14:textId="6397F3BB" w:rsidR="00ED4914" w:rsidRPr="00ED4914" w:rsidRDefault="00ED4914" w:rsidP="00456DF5">
            <w:pPr>
              <w:rPr>
                <w:color w:val="000000"/>
                <w:szCs w:val="24"/>
                <w:lang w:eastAsia="en-GB"/>
              </w:rPr>
            </w:pPr>
            <w:r w:rsidRPr="00ED4914">
              <w:rPr>
                <w:color w:val="000000"/>
                <w:szCs w:val="24"/>
                <w:lang w:eastAsia="en-GB"/>
              </w:rPr>
              <w:t>Netaikoma </w:t>
            </w:r>
          </w:p>
          <w:p w14:paraId="18CEB6C2" w14:textId="77777777" w:rsidR="00ED4914" w:rsidRPr="00ED4914" w:rsidRDefault="00ED4914" w:rsidP="00ED4914">
            <w:pPr>
              <w:rPr>
                <w:color w:val="000000"/>
                <w:szCs w:val="24"/>
                <w:lang w:eastAsia="en-GB"/>
              </w:rPr>
            </w:pPr>
            <w:r w:rsidRPr="00ED4914">
              <w:rPr>
                <w:color w:val="000000"/>
                <w:szCs w:val="24"/>
                <w:lang w:eastAsia="en-GB"/>
              </w:rPr>
              <w:t> </w:t>
            </w:r>
          </w:p>
          <w:p w14:paraId="311949F5" w14:textId="15DFA6D8" w:rsidR="0017585F" w:rsidRPr="0017585F" w:rsidRDefault="0017585F" w:rsidP="00456DF5">
            <w:pPr>
              <w:rPr>
                <w:kern w:val="2"/>
                <w:szCs w:val="24"/>
              </w:rPr>
            </w:pP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00DF3C4C" w14:textId="576E3DED" w:rsidR="0017585F" w:rsidRPr="0017585F" w:rsidRDefault="0017585F" w:rsidP="0017585F">
            <w:pPr>
              <w:spacing w:line="276" w:lineRule="auto"/>
              <w:rPr>
                <w:b/>
                <w:kern w:val="2"/>
                <w:szCs w:val="24"/>
              </w:rPr>
            </w:pP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7DD01EDF" w14:textId="7D7A9272" w:rsidR="0017585F" w:rsidRPr="0017585F" w:rsidRDefault="0017585F" w:rsidP="00E7239D">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456DF5">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A2DF1CE" w14:textId="34A8FC8D" w:rsidR="0017585F" w:rsidRPr="00456DF5" w:rsidRDefault="00456DF5" w:rsidP="00456DF5">
            <w:pPr>
              <w:spacing w:line="276" w:lineRule="auto"/>
              <w:rPr>
                <w:kern w:val="2"/>
                <w:szCs w:val="24"/>
              </w:rPr>
            </w:pPr>
            <w:r>
              <w:rPr>
                <w:kern w:val="2"/>
                <w:szCs w:val="24"/>
              </w:rPr>
              <w:t>Netaikoma</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44E7ED3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w:t>
            </w:r>
            <w:r w:rsidR="0017585F" w:rsidRPr="005D7BF7">
              <w:rPr>
                <w:kern w:val="2"/>
                <w:szCs w:val="24"/>
              </w:rPr>
              <w:lastRenderedPageBreak/>
              <w:t>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44E7ED3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44E7ED3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44E7ED3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51ED7C1F" w:rsidR="0017585F" w:rsidRPr="0017585F" w:rsidRDefault="0017585F" w:rsidP="0017585F">
            <w:pPr>
              <w:spacing w:line="276" w:lineRule="auto"/>
              <w:rPr>
                <w:kern w:val="2"/>
                <w:szCs w:val="24"/>
              </w:rPr>
            </w:pPr>
          </w:p>
        </w:tc>
      </w:tr>
      <w:tr w:rsidR="0017585F" w:rsidRPr="0017585F" w14:paraId="48634887" w14:textId="77777777" w:rsidTr="44E7ED3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3859E8C" w14:textId="77777777" w:rsidR="0017585F" w:rsidRPr="007A735D" w:rsidRDefault="0017585F" w:rsidP="0017585F">
            <w:pPr>
              <w:spacing w:line="276" w:lineRule="auto"/>
              <w:rPr>
                <w:kern w:val="2"/>
                <w:szCs w:val="24"/>
              </w:rPr>
            </w:pPr>
          </w:p>
          <w:p w14:paraId="57BF61CE" w14:textId="2D606934" w:rsidR="0017585F" w:rsidRPr="00181E93" w:rsidRDefault="00181E93" w:rsidP="00181E93">
            <w:pPr>
              <w:spacing w:line="276" w:lineRule="auto"/>
              <w:rPr>
                <w:kern w:val="2"/>
                <w:szCs w:val="24"/>
              </w:rPr>
            </w:pPr>
            <w:r w:rsidRPr="00181E93">
              <w:rPr>
                <w:kern w:val="2"/>
                <w:szCs w:val="24"/>
              </w:rPr>
              <w:t xml:space="preserve">9.5.1. </w:t>
            </w:r>
            <w:r w:rsidR="00456DF5" w:rsidRPr="00181E93">
              <w:rPr>
                <w:kern w:val="2"/>
                <w:szCs w:val="24"/>
              </w:rPr>
              <w:t>Nesilaikius aplinkosauginių</w:t>
            </w:r>
            <w:r w:rsidR="0017585F" w:rsidRPr="00181E93">
              <w:rPr>
                <w:kern w:val="2"/>
                <w:szCs w:val="24"/>
              </w:rPr>
              <w:t xml:space="preserve"> kriterijų, </w:t>
            </w:r>
            <w:r w:rsidRPr="00181E93">
              <w:rPr>
                <w:kern w:val="2"/>
                <w:szCs w:val="24"/>
              </w:rPr>
              <w:t>minimų</w:t>
            </w:r>
            <w:r w:rsidR="0017585F" w:rsidRPr="00181E93">
              <w:rPr>
                <w:kern w:val="2"/>
                <w:szCs w:val="24"/>
              </w:rPr>
              <w:t xml:space="preserve"> </w:t>
            </w:r>
            <w:r w:rsidR="00456DF5" w:rsidRPr="00181E93">
              <w:rPr>
                <w:kern w:val="2"/>
                <w:szCs w:val="24"/>
              </w:rPr>
              <w:t>13.1.</w:t>
            </w:r>
            <w:r w:rsidRPr="00181E93">
              <w:rPr>
                <w:kern w:val="2"/>
                <w:szCs w:val="24"/>
              </w:rPr>
              <w:t xml:space="preserve">punkte, mokama 10 procentų dydžio bauda nuo Pradinės Sutarties vertės, nurodytos Specialiųjų sąlygų 5.2 punkte.  </w:t>
            </w:r>
          </w:p>
          <w:p w14:paraId="6417F9CB" w14:textId="77777777" w:rsidR="0017585F" w:rsidRPr="00181E93" w:rsidRDefault="0017585F" w:rsidP="0017585F">
            <w:pPr>
              <w:spacing w:line="276" w:lineRule="auto"/>
              <w:rPr>
                <w:kern w:val="2"/>
                <w:szCs w:val="24"/>
              </w:rPr>
            </w:pPr>
          </w:p>
          <w:p w14:paraId="1686B1E4" w14:textId="44148AFC" w:rsidR="0017585F" w:rsidRPr="007A735D" w:rsidRDefault="0017585F" w:rsidP="0017585F">
            <w:pPr>
              <w:spacing w:line="276" w:lineRule="auto"/>
              <w:rPr>
                <w:color w:val="4472C4"/>
                <w:kern w:val="2"/>
                <w:szCs w:val="24"/>
              </w:rPr>
            </w:pPr>
          </w:p>
        </w:tc>
      </w:tr>
      <w:tr w:rsidR="0017585F" w:rsidRPr="0017585F" w14:paraId="3E96E5C8" w14:textId="77777777" w:rsidTr="44E7ED3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 xml:space="preserve">9.6. Tiekėjui / Pirkėjui taikoma bauda dėl </w:t>
            </w:r>
            <w:r w:rsidRPr="0017585F">
              <w:rPr>
                <w:b/>
                <w:kern w:val="2"/>
                <w:szCs w:val="24"/>
              </w:rPr>
              <w:lastRenderedPageBreak/>
              <w:t>konfidencialumo reikalavimų nesilaikymo</w:t>
            </w:r>
          </w:p>
        </w:tc>
        <w:tc>
          <w:tcPr>
            <w:tcW w:w="6441" w:type="dxa"/>
          </w:tcPr>
          <w:p w14:paraId="3DC641BA" w14:textId="77777777" w:rsidR="0017585F" w:rsidRPr="0017585F" w:rsidRDefault="0017585F" w:rsidP="0017585F">
            <w:pPr>
              <w:spacing w:line="276" w:lineRule="auto"/>
              <w:rPr>
                <w:kern w:val="2"/>
                <w:szCs w:val="24"/>
              </w:rPr>
            </w:pPr>
          </w:p>
          <w:p w14:paraId="63513CD0" w14:textId="4B6E8DFD" w:rsidR="0017585F" w:rsidRPr="007369D1" w:rsidRDefault="006E4B9B" w:rsidP="009F3A7D">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sidRPr="009F3A7D">
              <w:rPr>
                <w:rFonts w:ascii="TimesNewRoman,Bold" w:hAnsi="TimesNewRoman,Bold" w:cs="TimesNewRoman,Bold"/>
                <w:b/>
                <w:bCs/>
                <w:szCs w:val="24"/>
              </w:rPr>
              <w:t>500</w:t>
            </w:r>
            <w:r w:rsidRPr="009F3A7D">
              <w:rPr>
                <w:rFonts w:ascii="TimesNewRoman,Bold" w:hAnsi="TimesNewRoman,Bold" w:cs="TimesNewRoman,Bold"/>
                <w:b/>
                <w:bCs/>
                <w:szCs w:val="24"/>
              </w:rPr>
              <w:t>,00</w:t>
            </w:r>
            <w:r w:rsidRPr="006E4B9B">
              <w:rPr>
                <w:rFonts w:ascii="TimesNewRoman,Bold" w:hAnsi="TimesNewRoman,Bold" w:cs="TimesNewRoman,Bold"/>
                <w:b/>
                <w:bCs/>
                <w:szCs w:val="24"/>
              </w:rPr>
              <w:t xml:space="preserve"> Eur</w:t>
            </w:r>
            <w:r w:rsidR="008C2689">
              <w:rPr>
                <w:rFonts w:ascii="TimesNewRoman,Bold" w:hAnsi="TimesNewRoman,Bold" w:cs="TimesNewRoman,Bold"/>
                <w:b/>
                <w:bCs/>
                <w:szCs w:val="24"/>
              </w:rPr>
              <w:t xml:space="preserve"> </w:t>
            </w:r>
            <w:r w:rsidRPr="006E4B9B">
              <w:rPr>
                <w:rFonts w:ascii="TimesNewRoman" w:hAnsi="TimesNewRoman" w:cs="TimesNewRoman"/>
                <w:szCs w:val="24"/>
              </w:rPr>
              <w:lastRenderedPageBreak/>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44E7ED3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lastRenderedPageBreak/>
              <w:t xml:space="preserve">9.7. Tiekėjui taikomos netesybos dėl pirkimo dokumentuose nustatytų kokybinių kriterijų </w:t>
            </w:r>
            <w:proofErr w:type="spellStart"/>
            <w:r w:rsidRPr="0017585F">
              <w:rPr>
                <w:b/>
                <w:kern w:val="2"/>
                <w:szCs w:val="24"/>
              </w:rPr>
              <w:t>nepasiekimo</w:t>
            </w:r>
            <w:proofErr w:type="spellEnd"/>
            <w:r w:rsidRPr="0017585F">
              <w:rPr>
                <w:b/>
                <w:kern w:val="2"/>
                <w:szCs w:val="24"/>
              </w:rPr>
              <w:t xml:space="preserve"> Sutarties vykdymo metu</w:t>
            </w:r>
          </w:p>
        </w:tc>
        <w:tc>
          <w:tcPr>
            <w:tcW w:w="6441" w:type="dxa"/>
          </w:tcPr>
          <w:p w14:paraId="3C818401" w14:textId="125D7320" w:rsidR="00181E93" w:rsidRPr="0017585F" w:rsidRDefault="0017585F" w:rsidP="00181E93">
            <w:pPr>
              <w:spacing w:line="276" w:lineRule="auto"/>
              <w:rPr>
                <w:color w:val="4472C4"/>
                <w:kern w:val="2"/>
                <w:szCs w:val="24"/>
              </w:rPr>
            </w:pPr>
            <w:r w:rsidRPr="0017585F">
              <w:rPr>
                <w:szCs w:val="24"/>
              </w:rPr>
              <w:t xml:space="preserve">Netaikoma </w:t>
            </w:r>
          </w:p>
          <w:p w14:paraId="7A1B9EC1" w14:textId="216AA94A" w:rsidR="0017585F" w:rsidRPr="0017585F" w:rsidRDefault="0017585F" w:rsidP="0017585F">
            <w:pPr>
              <w:spacing w:line="276" w:lineRule="auto"/>
              <w:rPr>
                <w:color w:val="4472C4"/>
                <w:kern w:val="2"/>
                <w:szCs w:val="24"/>
              </w:rPr>
            </w:pPr>
          </w:p>
        </w:tc>
      </w:tr>
      <w:tr w:rsidR="0017585F" w:rsidRPr="0017585F" w14:paraId="2C75ED33" w14:textId="77777777" w:rsidTr="44E7ED3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27C3C9D0" w14:textId="77777777" w:rsidR="0017585F" w:rsidRPr="00B927A5" w:rsidRDefault="0017585F" w:rsidP="0017585F">
            <w:pPr>
              <w:spacing w:line="276" w:lineRule="auto"/>
              <w:rPr>
                <w:kern w:val="2"/>
                <w:szCs w:val="24"/>
              </w:rPr>
            </w:pPr>
          </w:p>
          <w:p w14:paraId="0623F4E0" w14:textId="26164641" w:rsidR="0017585F" w:rsidRPr="0017585F" w:rsidRDefault="0017585F" w:rsidP="0017585F">
            <w:pPr>
              <w:spacing w:line="276" w:lineRule="auto"/>
              <w:rPr>
                <w:color w:val="4472C4"/>
                <w:kern w:val="2"/>
                <w:szCs w:val="24"/>
              </w:rPr>
            </w:pPr>
          </w:p>
        </w:tc>
      </w:tr>
      <w:tr w:rsidR="00B927A5" w:rsidRPr="00B927A5" w14:paraId="647D6E7E" w14:textId="77777777" w:rsidTr="44E7ED3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386BC92" w:rsidR="0017585F" w:rsidRPr="00B927A5" w:rsidRDefault="32006E58" w:rsidP="51117D23">
            <w:pPr>
              <w:spacing w:line="276" w:lineRule="auto"/>
            </w:pPr>
            <w:r w:rsidRPr="44E7ED30">
              <w:rPr>
                <w:szCs w:val="24"/>
                <w:lang w:val="lt"/>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F84955">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04B71B9D" w14:textId="77777777" w:rsidR="0017585F" w:rsidRPr="0017585F" w:rsidRDefault="0017585F" w:rsidP="0017585F">
            <w:pPr>
              <w:spacing w:line="276" w:lineRule="auto"/>
              <w:rPr>
                <w:kern w:val="2"/>
                <w:szCs w:val="24"/>
              </w:rPr>
            </w:pPr>
          </w:p>
          <w:p w14:paraId="1CD874E0" w14:textId="3F91E4DC" w:rsidR="0017585F" w:rsidRPr="0017585F" w:rsidRDefault="0017585F" w:rsidP="0017585F">
            <w:pPr>
              <w:spacing w:line="276" w:lineRule="auto"/>
              <w:rPr>
                <w:color w:val="4472C4"/>
                <w:kern w:val="2"/>
                <w:szCs w:val="24"/>
              </w:rPr>
            </w:pPr>
          </w:p>
        </w:tc>
      </w:tr>
      <w:tr w:rsidR="007A735D" w:rsidRPr="0017585F" w14:paraId="143DA16B" w14:textId="77777777" w:rsidTr="00F84955">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182D12F9" w14:textId="5B059D11" w:rsidR="007A735D" w:rsidRPr="0017585F" w:rsidRDefault="007A735D" w:rsidP="00181E93">
            <w:pPr>
              <w:spacing w:line="276" w:lineRule="atLeast"/>
              <w:jc w:val="both"/>
              <w:textAlignment w:val="baseline"/>
              <w:rPr>
                <w:kern w:val="2"/>
                <w:szCs w:val="24"/>
              </w:rPr>
            </w:pPr>
            <w:r w:rsidRPr="007A735D">
              <w:rPr>
                <w:color w:val="000000"/>
                <w:szCs w:val="24"/>
                <w:lang w:eastAsia="en-GB"/>
              </w:rPr>
              <w:t>Netaikoma </w:t>
            </w: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F84955">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2B17E7D3" w14:textId="405639D3" w:rsidR="0017585F" w:rsidRPr="0017585F" w:rsidRDefault="0017585F" w:rsidP="00181E93">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kaip </w:t>
            </w:r>
            <w:r w:rsidR="00B25D6F">
              <w:rPr>
                <w:color w:val="000000"/>
                <w:kern w:val="2"/>
                <w:szCs w:val="24"/>
              </w:rPr>
              <w:t>3</w:t>
            </w:r>
            <w:r w:rsidR="00463FF1">
              <w:rPr>
                <w:color w:val="000000"/>
                <w:kern w:val="2"/>
                <w:szCs w:val="24"/>
              </w:rPr>
              <w:t>6</w:t>
            </w:r>
            <w:r w:rsidR="005E3C39">
              <w:rPr>
                <w:color w:val="000000"/>
                <w:kern w:val="2"/>
                <w:szCs w:val="24"/>
              </w:rPr>
              <w:t xml:space="preserve"> (</w:t>
            </w:r>
            <w:r w:rsidR="00181E93">
              <w:rPr>
                <w:color w:val="000000"/>
                <w:kern w:val="2"/>
                <w:szCs w:val="24"/>
              </w:rPr>
              <w:t>trisdešimt</w:t>
            </w:r>
            <w:r w:rsidR="00463FF1">
              <w:rPr>
                <w:color w:val="000000"/>
                <w:kern w:val="2"/>
                <w:szCs w:val="24"/>
              </w:rPr>
              <w:t xml:space="preserve"> šeši</w:t>
            </w:r>
            <w:r w:rsidR="00181E93">
              <w:rPr>
                <w:color w:val="000000"/>
                <w:kern w:val="2"/>
                <w:szCs w:val="24"/>
              </w:rPr>
              <w:t>) mėnesiai</w:t>
            </w:r>
          </w:p>
          <w:p w14:paraId="4080E783" w14:textId="731B1AAD" w:rsidR="0017585F" w:rsidRPr="0017585F" w:rsidRDefault="0017585F" w:rsidP="0017585F">
            <w:pPr>
              <w:spacing w:line="276" w:lineRule="auto"/>
              <w:rPr>
                <w:color w:val="4472C4"/>
                <w:kern w:val="2"/>
                <w:szCs w:val="24"/>
              </w:rPr>
            </w:pPr>
          </w:p>
        </w:tc>
      </w:tr>
      <w:tr w:rsidR="0017585F" w:rsidRPr="0017585F" w14:paraId="32E9B1F6" w14:textId="77777777" w:rsidTr="00F84955">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32803F37" w14:textId="77777777" w:rsidR="0017585F" w:rsidRPr="0017585F" w:rsidRDefault="0017585F" w:rsidP="0017585F">
            <w:pPr>
              <w:spacing w:line="276" w:lineRule="auto"/>
              <w:rPr>
                <w:kern w:val="2"/>
                <w:szCs w:val="24"/>
              </w:rPr>
            </w:pPr>
          </w:p>
          <w:p w14:paraId="4DA0F527" w14:textId="064219D6"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F84955">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56F07D2A" w14:textId="77777777" w:rsidR="0017585F" w:rsidRPr="0017585F" w:rsidRDefault="0017585F" w:rsidP="0017585F">
            <w:pPr>
              <w:spacing w:line="276" w:lineRule="auto"/>
              <w:rPr>
                <w:kern w:val="2"/>
                <w:szCs w:val="24"/>
              </w:rPr>
            </w:pPr>
          </w:p>
          <w:p w14:paraId="25C9BE93" w14:textId="30E5EA8E" w:rsidR="0017585F" w:rsidRPr="0017585F" w:rsidRDefault="0017585F" w:rsidP="0017585F">
            <w:pPr>
              <w:spacing w:line="276" w:lineRule="auto"/>
              <w:rPr>
                <w:color w:val="4472C4"/>
                <w:kern w:val="2"/>
                <w:szCs w:val="24"/>
              </w:rPr>
            </w:pPr>
          </w:p>
        </w:tc>
      </w:tr>
      <w:tr w:rsidR="0017585F" w:rsidRPr="0017585F" w14:paraId="2F961935" w14:textId="77777777" w:rsidTr="00F84955">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lastRenderedPageBreak/>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B822088" w14:textId="2CB629B5" w:rsidR="007A735D" w:rsidRPr="007A735D" w:rsidRDefault="007A735D" w:rsidP="007A735D">
            <w:pPr>
              <w:rPr>
                <w:color w:val="000000"/>
                <w:szCs w:val="24"/>
                <w:lang w:eastAsia="en-GB"/>
              </w:rPr>
            </w:pPr>
          </w:p>
          <w:p w14:paraId="0A26E5BD" w14:textId="756A959D" w:rsidR="007A735D" w:rsidRPr="006E6485" w:rsidRDefault="007A735D" w:rsidP="007A735D">
            <w:pPr>
              <w:rPr>
                <w:szCs w:val="24"/>
                <w:lang w:eastAsia="en-GB"/>
              </w:rPr>
            </w:pPr>
            <w:r w:rsidRPr="006E6485">
              <w:rPr>
                <w:szCs w:val="24"/>
                <w:lang w:eastAsia="en-GB"/>
              </w:rPr>
              <w:t>12.2.1. jeigu Tiekėjas nevykdo prisiimtų įsipareigojimų už Sutar</w:t>
            </w:r>
            <w:r w:rsidR="006E6485" w:rsidRPr="006E6485">
              <w:rPr>
                <w:szCs w:val="24"/>
                <w:lang w:eastAsia="en-GB"/>
              </w:rPr>
              <w:t>tyje nustatytus</w:t>
            </w:r>
            <w:r w:rsidRPr="006E6485">
              <w:rPr>
                <w:szCs w:val="24"/>
                <w:lang w:eastAsia="en-GB"/>
              </w:rPr>
              <w:t xml:space="preserve"> įkainius;</w:t>
            </w:r>
          </w:p>
          <w:p w14:paraId="6815C93A" w14:textId="501C6FD1" w:rsidR="007A735D" w:rsidRPr="006E6485" w:rsidRDefault="007A735D" w:rsidP="007A735D">
            <w:pPr>
              <w:spacing w:line="257" w:lineRule="atLeast"/>
              <w:jc w:val="both"/>
              <w:rPr>
                <w:szCs w:val="24"/>
                <w:lang w:eastAsia="en-GB"/>
              </w:rPr>
            </w:pPr>
            <w:r w:rsidRPr="006E6485">
              <w:rPr>
                <w:szCs w:val="24"/>
                <w:lang w:eastAsia="en-GB"/>
              </w:rPr>
              <w:t>12.2.</w:t>
            </w:r>
            <w:r w:rsidR="005E3C39">
              <w:rPr>
                <w:szCs w:val="24"/>
                <w:lang w:eastAsia="en-GB"/>
              </w:rPr>
              <w:t>2</w:t>
            </w:r>
            <w:r w:rsidRPr="006E6485">
              <w:rPr>
                <w:szCs w:val="24"/>
                <w:lang w:eastAsia="en-GB"/>
              </w:rPr>
              <w:t>. Tiekėjas pažeidžia Paslaugų suteikimo terminus ir dėl Paslaugų suteikimo vėlavimo Paslaugos tampa nebereikalingos;</w:t>
            </w:r>
          </w:p>
          <w:p w14:paraId="26D5B706" w14:textId="57FBCFBC" w:rsidR="007A735D" w:rsidRPr="006E6485" w:rsidRDefault="005E3C39" w:rsidP="007A735D">
            <w:pPr>
              <w:spacing w:line="257" w:lineRule="atLeast"/>
              <w:jc w:val="both"/>
              <w:rPr>
                <w:szCs w:val="24"/>
                <w:lang w:eastAsia="en-GB"/>
              </w:rPr>
            </w:pPr>
            <w:r>
              <w:rPr>
                <w:szCs w:val="24"/>
                <w:lang w:eastAsia="en-GB"/>
              </w:rPr>
              <w:t>12.2.3</w:t>
            </w:r>
            <w:r w:rsidR="007A735D" w:rsidRPr="006E6485">
              <w:rPr>
                <w:szCs w:val="24"/>
                <w:lang w:eastAsia="en-GB"/>
              </w:rPr>
              <w:t>. Tiekėjas daugiau kaip 2 (du) kartus suteikia Paslaugas, kurios neatitinka Sutartyje ir (ar) įstatymuose nustatytų reikalavimų Paslaugoms;</w:t>
            </w:r>
          </w:p>
          <w:p w14:paraId="6FDB2BCE" w14:textId="12F3463B" w:rsidR="007A735D" w:rsidRPr="006E6485" w:rsidRDefault="005E3C39" w:rsidP="007A735D">
            <w:pPr>
              <w:spacing w:line="257" w:lineRule="atLeast"/>
              <w:jc w:val="both"/>
              <w:rPr>
                <w:szCs w:val="24"/>
                <w:lang w:eastAsia="en-GB"/>
              </w:rPr>
            </w:pPr>
            <w:r>
              <w:rPr>
                <w:szCs w:val="24"/>
                <w:lang w:eastAsia="en-GB"/>
              </w:rPr>
              <w:t>12.2.4</w:t>
            </w:r>
            <w:r w:rsidR="007A735D" w:rsidRPr="006E6485">
              <w:rPr>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13F1E27D" w:rsidR="007A735D" w:rsidRPr="006E6485" w:rsidRDefault="005E3C39" w:rsidP="007A735D">
            <w:pPr>
              <w:spacing w:line="257" w:lineRule="atLeast"/>
              <w:jc w:val="both"/>
              <w:rPr>
                <w:szCs w:val="24"/>
                <w:lang w:eastAsia="en-GB"/>
              </w:rPr>
            </w:pPr>
            <w:r>
              <w:rPr>
                <w:szCs w:val="24"/>
                <w:lang w:eastAsia="en-GB"/>
              </w:rPr>
              <w:t>12.2.5</w:t>
            </w:r>
            <w:r w:rsidR="007A735D" w:rsidRPr="006E6485">
              <w:rPr>
                <w:szCs w:val="24"/>
                <w:lang w:eastAsia="en-GB"/>
              </w:rPr>
              <w:t>. Tiekėjas pažeidžia šios Sutarties nuostatas, reglamentuojančias konkurenciją, intelektinės nuosavybės ar konfidencialios informacijos valdymą;</w:t>
            </w:r>
          </w:p>
          <w:p w14:paraId="78B414FD" w14:textId="54FE37EA" w:rsidR="0017585F" w:rsidRPr="0017585F" w:rsidRDefault="0017585F" w:rsidP="006E6485">
            <w:pPr>
              <w:spacing w:line="257" w:lineRule="atLeast"/>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6E740526"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7D55A6B7">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20A7E759" w14:textId="76B303B9" w:rsidR="0081494F" w:rsidRDefault="00886144" w:rsidP="0017585F">
            <w:pPr>
              <w:spacing w:line="276" w:lineRule="auto"/>
              <w:rPr>
                <w:kern w:val="2"/>
                <w:szCs w:val="24"/>
                <w:shd w:val="clear" w:color="auto" w:fill="FFFFFF"/>
              </w:rPr>
            </w:pPr>
            <w:r w:rsidRPr="00886144">
              <w:rPr>
                <w:kern w:val="2"/>
                <w:szCs w:val="24"/>
                <w:shd w:val="clear" w:color="auto" w:fill="FFFFFF"/>
              </w:rPr>
              <w:t xml:space="preserve">Perkamoms paslaugoms yra taikomi </w:t>
            </w:r>
            <w:r w:rsidR="0017585F" w:rsidRPr="00886144">
              <w:rPr>
                <w:kern w:val="2"/>
                <w:szCs w:val="24"/>
                <w:shd w:val="clear" w:color="auto" w:fill="FFFFFF"/>
              </w:rPr>
              <w:t>Aplinkos apsaugos kriterijai</w:t>
            </w:r>
            <w:r w:rsidRPr="00886144">
              <w:rPr>
                <w:kern w:val="2"/>
                <w:szCs w:val="24"/>
                <w:shd w:val="clear" w:color="auto" w:fill="FFFFFF"/>
              </w:rPr>
              <w:t>, numatyti A</w:t>
            </w:r>
            <w:r w:rsidR="0017585F" w:rsidRPr="00886144">
              <w:rPr>
                <w:kern w:val="2"/>
                <w:szCs w:val="24"/>
                <w:shd w:val="clear" w:color="auto" w:fill="FFFFFF"/>
              </w:rPr>
              <w:t>plinkos apsaugos kriterijų taikymo, vykdant žaliuosius pirkimus, tvarkos apraš</w:t>
            </w:r>
            <w:r w:rsidRPr="00886144">
              <w:rPr>
                <w:kern w:val="2"/>
                <w:szCs w:val="24"/>
                <w:shd w:val="clear" w:color="auto" w:fill="FFFFFF"/>
              </w:rPr>
              <w:t>o,</w:t>
            </w:r>
            <w:r w:rsidR="0017585F" w:rsidRPr="00886144">
              <w:rPr>
                <w:kern w:val="2"/>
                <w:szCs w:val="24"/>
                <w:shd w:val="clear" w:color="auto" w:fill="FFFFFF"/>
              </w:rPr>
              <w:t xml:space="preserve"> patvirtint</w:t>
            </w:r>
            <w:r w:rsidRPr="00886144">
              <w:rPr>
                <w:kern w:val="2"/>
                <w:szCs w:val="24"/>
                <w:shd w:val="clear" w:color="auto" w:fill="FFFFFF"/>
              </w:rPr>
              <w:t>o</w:t>
            </w:r>
            <w:r w:rsidR="0017585F" w:rsidRPr="00886144">
              <w:rPr>
                <w:kern w:val="2"/>
                <w:szCs w:val="24"/>
                <w:shd w:val="clear" w:color="auto" w:fill="FFFFFF"/>
              </w:rPr>
              <w:t xml:space="preserve"> 2011 m. birželio 28 d. Lietuvos Respublikos aplinkos ministro įsakymu Nr. D1-508 „Dėl Aplinkos apsaugos kriterijų taikymo, vykdant žaliuosius pirkimus, tvarkos aprašo patvirtinimo“</w:t>
            </w:r>
          </w:p>
          <w:p w14:paraId="3AC84F88" w14:textId="19ACC5BA" w:rsidR="00FA47F6" w:rsidRPr="005E3C39" w:rsidRDefault="00FA47F6" w:rsidP="0017585F">
            <w:pPr>
              <w:spacing w:line="276" w:lineRule="auto"/>
              <w:rPr>
                <w:kern w:val="2"/>
                <w:szCs w:val="24"/>
                <w:shd w:val="clear" w:color="auto" w:fill="FFFFFF"/>
              </w:rPr>
            </w:pPr>
            <w:r w:rsidRPr="005E3C39">
              <w:rPr>
                <w:kern w:val="2"/>
                <w:szCs w:val="24"/>
                <w:shd w:val="clear" w:color="auto" w:fill="FFFFFF"/>
              </w:rPr>
              <w:t>4.4.4.3. papunktyje</w:t>
            </w:r>
            <w:r w:rsidR="005E3C39" w:rsidRPr="005E3C39">
              <w:rPr>
                <w:kern w:val="2"/>
                <w:szCs w:val="24"/>
                <w:shd w:val="clear" w:color="auto" w:fill="FFFFFF"/>
              </w:rPr>
              <w:t xml:space="preserve"> </w:t>
            </w:r>
            <w:r w:rsidRPr="005E3C39">
              <w:rPr>
                <w:kern w:val="2"/>
                <w:szCs w:val="24"/>
                <w:shd w:val="clear" w:color="auto" w:fill="FFFFFF"/>
              </w:rPr>
              <w:t>( prekei pagaminti, paslaugai teikti ar darbams atlikti naudojama mažiau ar nenaudojama pavojingųjų cheminių medžiagų, neteršiama aplinka ir nekeliamas pavojus sveikatai</w:t>
            </w:r>
            <w:r w:rsidR="005E3C39" w:rsidRPr="005E3C39">
              <w:rPr>
                <w:kern w:val="2"/>
                <w:szCs w:val="24"/>
                <w:shd w:val="clear" w:color="auto" w:fill="FFFFFF"/>
              </w:rPr>
              <w:t>)</w:t>
            </w:r>
            <w:r w:rsidRPr="005E3C39">
              <w:rPr>
                <w:kern w:val="2"/>
                <w:szCs w:val="24"/>
                <w:shd w:val="clear" w:color="auto" w:fill="FFFFFF"/>
              </w:rPr>
              <w:t>;</w:t>
            </w:r>
          </w:p>
          <w:p w14:paraId="10B79753" w14:textId="688F4E4B" w:rsidR="0017585F" w:rsidRPr="0017585F" w:rsidRDefault="0017585F" w:rsidP="7D55A6B7">
            <w:pPr>
              <w:spacing w:line="276" w:lineRule="auto"/>
              <w:rPr>
                <w:color w:val="000000"/>
                <w:kern w:val="2"/>
                <w:shd w:val="clear" w:color="auto" w:fill="FFFFFF"/>
              </w:rPr>
            </w:pPr>
            <w:r w:rsidRPr="7D55A6B7">
              <w:rPr>
                <w:color w:val="000000"/>
                <w:kern w:val="2"/>
                <w:shd w:val="clear" w:color="auto" w:fill="FFFFFF"/>
              </w:rPr>
              <w:t xml:space="preserve">Nustačius, kad Tiekėjas šiame </w:t>
            </w:r>
            <w:r w:rsidR="001153C9" w:rsidRPr="7D55A6B7">
              <w:rPr>
                <w:color w:val="000000"/>
                <w:kern w:val="2"/>
                <w:shd w:val="clear" w:color="auto" w:fill="FFFFFF"/>
              </w:rPr>
              <w:t>punkte</w:t>
            </w:r>
            <w:r w:rsidRPr="7D55A6B7">
              <w:rPr>
                <w:color w:val="000000"/>
                <w:kern w:val="2"/>
                <w:shd w:val="clear" w:color="auto" w:fill="FFFFFF"/>
              </w:rPr>
              <w:t xml:space="preserve"> nustatyto kriterijaus (-jų) nesilaiko, Tiekėjui taikoma Specialiųjų sąlygų 9.5 </w:t>
            </w:r>
            <w:r w:rsidR="001153C9" w:rsidRPr="7D55A6B7">
              <w:rPr>
                <w:color w:val="000000"/>
                <w:kern w:val="2"/>
                <w:shd w:val="clear" w:color="auto" w:fill="FFFFFF"/>
              </w:rPr>
              <w:t>punkte</w:t>
            </w:r>
            <w:r w:rsidRPr="7D55A6B7">
              <w:rPr>
                <w:color w:val="000000"/>
                <w:kern w:val="2"/>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7D55A6B7">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2E8E2CBA" w14:textId="77777777" w:rsidR="0017585F" w:rsidRPr="0017585F" w:rsidRDefault="0017585F" w:rsidP="0017585F">
            <w:pPr>
              <w:spacing w:line="276" w:lineRule="auto"/>
              <w:rPr>
                <w:color w:val="000000"/>
                <w:kern w:val="2"/>
                <w:szCs w:val="24"/>
                <w:shd w:val="clear" w:color="auto" w:fill="FFFFFF"/>
              </w:rPr>
            </w:pPr>
          </w:p>
          <w:p w14:paraId="6F95E474" w14:textId="5CBB77CC"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F84955">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9B486C2" w:rsidR="0017585F" w:rsidRPr="006E6485" w:rsidRDefault="006E6485" w:rsidP="006E6485">
            <w:pPr>
              <w:spacing w:line="276" w:lineRule="auto"/>
              <w:rPr>
                <w:kern w:val="2"/>
                <w:szCs w:val="24"/>
              </w:rPr>
            </w:pPr>
            <w:r w:rsidRPr="006E6485">
              <w:rPr>
                <w:kern w:val="2"/>
                <w:szCs w:val="24"/>
              </w:rPr>
              <w:t>Techninė specifikacija</w:t>
            </w:r>
          </w:p>
        </w:tc>
      </w:tr>
      <w:tr w:rsidR="0017585F" w:rsidRPr="0017585F" w14:paraId="769DF5F6" w14:textId="77777777" w:rsidTr="00F84955">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26C3D404" w:rsidR="0017585F" w:rsidRPr="006E6485" w:rsidRDefault="006E6485" w:rsidP="006E6485">
            <w:pPr>
              <w:spacing w:line="276" w:lineRule="auto"/>
              <w:rPr>
                <w:kern w:val="2"/>
                <w:szCs w:val="24"/>
              </w:rPr>
            </w:pPr>
            <w:r w:rsidRPr="006E6485">
              <w:rPr>
                <w:kern w:val="2"/>
                <w:szCs w:val="24"/>
              </w:rPr>
              <w:t>Pasiūlymas</w:t>
            </w:r>
          </w:p>
        </w:tc>
      </w:tr>
      <w:tr w:rsidR="0017585F" w:rsidRPr="0017585F" w14:paraId="0D217FFC" w14:textId="77777777" w:rsidTr="00F84955">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6E05F138" w:rsidR="0017585F" w:rsidRPr="008768C8" w:rsidRDefault="008768C8" w:rsidP="008768C8">
            <w:pPr>
              <w:spacing w:line="276" w:lineRule="auto"/>
              <w:rPr>
                <w:kern w:val="2"/>
                <w:szCs w:val="24"/>
              </w:rPr>
            </w:pPr>
            <w:r w:rsidRPr="008768C8">
              <w:rPr>
                <w:kern w:val="2"/>
                <w:szCs w:val="24"/>
              </w:rPr>
              <w:t>Tiekėjo pasiūlymas</w:t>
            </w:r>
          </w:p>
        </w:tc>
      </w:tr>
      <w:tr w:rsidR="0017585F" w:rsidRPr="0017585F" w14:paraId="61C83406" w14:textId="77777777" w:rsidTr="00F84955">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F84955">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73847D75" w:rsidR="000001E2" w:rsidRPr="0017585F" w:rsidRDefault="000001E2" w:rsidP="0017585F">
      <w:pPr>
        <w:spacing w:line="276" w:lineRule="auto"/>
        <w:jc w:val="center"/>
        <w:rPr>
          <w:b/>
          <w:kern w:val="2"/>
          <w:szCs w:val="24"/>
        </w:rPr>
      </w:pPr>
      <w:r w:rsidRPr="0017585F">
        <w:rPr>
          <w:b/>
          <w:kern w:val="2"/>
          <w:szCs w:val="24"/>
        </w:rPr>
        <w:t>1</w:t>
      </w:r>
      <w:r w:rsidR="000167F1">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F84955">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lastRenderedPageBreak/>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F84955">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F84955">
        <w:tc>
          <w:tcPr>
            <w:tcW w:w="5224" w:type="dxa"/>
          </w:tcPr>
          <w:p w14:paraId="3F071CD4" w14:textId="77777777" w:rsidR="00B25D6F" w:rsidRDefault="00B25D6F" w:rsidP="006F06B0">
            <w:pPr>
              <w:spacing w:line="276" w:lineRule="auto"/>
              <w:rPr>
                <w:kern w:val="2"/>
                <w:szCs w:val="24"/>
              </w:rPr>
            </w:pPr>
            <w:r>
              <w:rPr>
                <w:kern w:val="2"/>
                <w:szCs w:val="24"/>
              </w:rPr>
              <w:t xml:space="preserve">Administracijos direktorius </w:t>
            </w:r>
          </w:p>
          <w:p w14:paraId="02D08B90" w14:textId="0EE9C803" w:rsidR="0017585F" w:rsidRPr="0017585F" w:rsidRDefault="00B25D6F" w:rsidP="006F06B0">
            <w:pPr>
              <w:spacing w:line="276" w:lineRule="auto"/>
              <w:rPr>
                <w:color w:val="4472C4"/>
                <w:kern w:val="2"/>
                <w:szCs w:val="24"/>
              </w:rPr>
            </w:pPr>
            <w:r>
              <w:rPr>
                <w:kern w:val="2"/>
                <w:szCs w:val="24"/>
              </w:rPr>
              <w:t>Karolis Petkevičius</w:t>
            </w:r>
          </w:p>
        </w:tc>
        <w:tc>
          <w:tcPr>
            <w:tcW w:w="4311" w:type="dxa"/>
          </w:tcPr>
          <w:p w14:paraId="1586CC30" w14:textId="54DFE738" w:rsidR="0017585F" w:rsidRPr="0017585F" w:rsidRDefault="0017585F" w:rsidP="0017585F">
            <w:pPr>
              <w:spacing w:line="276" w:lineRule="auto"/>
              <w:jc w:val="center"/>
              <w:rPr>
                <w:b/>
                <w:kern w:val="2"/>
                <w:szCs w:val="24"/>
              </w:rPr>
            </w:pPr>
          </w:p>
        </w:tc>
      </w:tr>
      <w:tr w:rsidR="0017585F" w:rsidRPr="0017585F" w14:paraId="35C54A54" w14:textId="77777777" w:rsidTr="00F84955">
        <w:tc>
          <w:tcPr>
            <w:tcW w:w="5224" w:type="dxa"/>
          </w:tcPr>
          <w:p w14:paraId="03EDA29C" w14:textId="77777777" w:rsidR="0017585F" w:rsidRPr="006F06B0" w:rsidRDefault="0017585F" w:rsidP="0017585F">
            <w:pPr>
              <w:spacing w:line="276" w:lineRule="auto"/>
              <w:jc w:val="center"/>
              <w:rPr>
                <w:b/>
                <w:kern w:val="2"/>
                <w:szCs w:val="24"/>
              </w:rPr>
            </w:pPr>
          </w:p>
          <w:p w14:paraId="4E83F471" w14:textId="77777777" w:rsidR="0017585F" w:rsidRPr="006F06B0" w:rsidRDefault="0017585F" w:rsidP="0017585F">
            <w:pPr>
              <w:spacing w:line="276" w:lineRule="auto"/>
              <w:jc w:val="center"/>
              <w:rPr>
                <w:b/>
                <w:kern w:val="2"/>
                <w:szCs w:val="24"/>
              </w:rPr>
            </w:pPr>
            <w:r w:rsidRPr="006F06B0">
              <w:rPr>
                <w:b/>
                <w:kern w:val="2"/>
                <w:szCs w:val="24"/>
              </w:rPr>
              <w:t>(parašas)</w:t>
            </w:r>
          </w:p>
          <w:p w14:paraId="37456E9D" w14:textId="77777777" w:rsidR="0017585F" w:rsidRPr="006F06B0" w:rsidRDefault="0017585F" w:rsidP="0017585F">
            <w:pPr>
              <w:spacing w:line="276" w:lineRule="auto"/>
              <w:jc w:val="center"/>
              <w:rPr>
                <w:b/>
                <w:kern w:val="2"/>
                <w:szCs w:val="24"/>
              </w:rPr>
            </w:pPr>
          </w:p>
          <w:p w14:paraId="7DB15586" w14:textId="77777777" w:rsidR="0017585F" w:rsidRPr="006F06B0" w:rsidRDefault="0017585F" w:rsidP="0017585F">
            <w:pPr>
              <w:spacing w:line="276" w:lineRule="auto"/>
              <w:jc w:val="center"/>
              <w:rPr>
                <w:b/>
                <w:kern w:val="2"/>
                <w:szCs w:val="24"/>
              </w:rPr>
            </w:pPr>
          </w:p>
        </w:tc>
        <w:tc>
          <w:tcPr>
            <w:tcW w:w="4311" w:type="dxa"/>
          </w:tcPr>
          <w:p w14:paraId="172AE361" w14:textId="77777777" w:rsidR="0017585F" w:rsidRPr="006F06B0" w:rsidRDefault="0017585F" w:rsidP="0017585F">
            <w:pPr>
              <w:spacing w:line="276" w:lineRule="auto"/>
              <w:jc w:val="center"/>
              <w:rPr>
                <w:b/>
                <w:kern w:val="2"/>
                <w:szCs w:val="24"/>
              </w:rPr>
            </w:pPr>
          </w:p>
          <w:p w14:paraId="6361B0B7" w14:textId="77777777" w:rsidR="0017585F" w:rsidRPr="006F06B0" w:rsidRDefault="0017585F" w:rsidP="0017585F">
            <w:pPr>
              <w:spacing w:line="276" w:lineRule="auto"/>
              <w:jc w:val="center"/>
              <w:rPr>
                <w:b/>
                <w:kern w:val="2"/>
                <w:szCs w:val="24"/>
              </w:rPr>
            </w:pPr>
            <w:r w:rsidRPr="006F06B0">
              <w:rPr>
                <w:b/>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A5D">
        <w:rPr>
          <w:rFonts w:eastAsia="Cambria"/>
          <w:szCs w:val="24"/>
          <w:shd w:val="clear" w:color="auto" w:fill="FFFFFF"/>
        </w:rPr>
        <w:t>subtiekimo</w:t>
      </w:r>
      <w:proofErr w:type="spellEnd"/>
      <w:r w:rsidRPr="00A92A5D">
        <w:rPr>
          <w:rFonts w:eastAsia="Cambria"/>
          <w:szCs w:val="24"/>
          <w:shd w:val="clear" w:color="auto" w:fill="FFFFFF"/>
        </w:rPr>
        <w:t xml:space="preserve">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529D8">
        <w:rPr>
          <w:szCs w:val="24"/>
        </w:rPr>
        <w:t>sui</w:t>
      </w:r>
      <w:proofErr w:type="spellEnd"/>
      <w:r w:rsidRPr="00C529D8">
        <w:rPr>
          <w:szCs w:val="24"/>
        </w:rPr>
        <w:t xml:space="preserve"> </w:t>
      </w:r>
      <w:proofErr w:type="spellStart"/>
      <w:r w:rsidRPr="00C529D8">
        <w:rPr>
          <w:szCs w:val="24"/>
        </w:rPr>
        <w:t>generis</w:t>
      </w:r>
      <w:proofErr w:type="spellEnd"/>
      <w:r w:rsidRPr="00C529D8">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3438" w14:textId="77777777" w:rsidR="00CA53A6" w:rsidRDefault="00CA53A6" w:rsidP="00DC093B">
      <w:r>
        <w:separator/>
      </w:r>
    </w:p>
  </w:endnote>
  <w:endnote w:type="continuationSeparator" w:id="0">
    <w:p w14:paraId="470E4A76" w14:textId="77777777" w:rsidR="00CA53A6" w:rsidRDefault="00CA53A6"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BD3DC" w14:textId="77777777" w:rsidR="00CA53A6" w:rsidRDefault="00CA53A6" w:rsidP="00DC093B">
      <w:r>
        <w:separator/>
      </w:r>
    </w:p>
  </w:footnote>
  <w:footnote w:type="continuationSeparator" w:id="0">
    <w:p w14:paraId="55B05E0F" w14:textId="77777777" w:rsidR="00CA53A6" w:rsidRDefault="00CA53A6" w:rsidP="00DC093B">
      <w:r>
        <w:continuationSeparator/>
      </w:r>
    </w:p>
  </w:footnote>
  <w:footnote w:id="1">
    <w:p w14:paraId="5A229F1B" w14:textId="50CC521E" w:rsidR="00463FF1" w:rsidRDefault="00463F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463FF1" w:rsidRDefault="00463F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7927209">
    <w:abstractNumId w:val="12"/>
  </w:num>
  <w:num w:numId="2" w16cid:durableId="1127360141">
    <w:abstractNumId w:val="1"/>
  </w:num>
  <w:num w:numId="3" w16cid:durableId="1944804445">
    <w:abstractNumId w:val="4"/>
  </w:num>
  <w:num w:numId="4" w16cid:durableId="405305751">
    <w:abstractNumId w:val="17"/>
  </w:num>
  <w:num w:numId="5" w16cid:durableId="432168383">
    <w:abstractNumId w:val="10"/>
  </w:num>
  <w:num w:numId="6" w16cid:durableId="817648006">
    <w:abstractNumId w:val="7"/>
  </w:num>
  <w:num w:numId="7" w16cid:durableId="2034768556">
    <w:abstractNumId w:val="9"/>
  </w:num>
  <w:num w:numId="8" w16cid:durableId="1330332695">
    <w:abstractNumId w:val="15"/>
  </w:num>
  <w:num w:numId="9" w16cid:durableId="757754605">
    <w:abstractNumId w:val="14"/>
  </w:num>
  <w:num w:numId="10" w16cid:durableId="1063408251">
    <w:abstractNumId w:val="3"/>
  </w:num>
  <w:num w:numId="11" w16cid:durableId="93988828">
    <w:abstractNumId w:val="11"/>
  </w:num>
  <w:num w:numId="12" w16cid:durableId="1461067859">
    <w:abstractNumId w:val="2"/>
  </w:num>
  <w:num w:numId="13" w16cid:durableId="31805717">
    <w:abstractNumId w:val="13"/>
  </w:num>
  <w:num w:numId="14" w16cid:durableId="422650294">
    <w:abstractNumId w:val="8"/>
  </w:num>
  <w:num w:numId="15" w16cid:durableId="770591066">
    <w:abstractNumId w:val="16"/>
  </w:num>
  <w:num w:numId="16" w16cid:durableId="1160198722">
    <w:abstractNumId w:val="5"/>
  </w:num>
  <w:num w:numId="17" w16cid:durableId="325746352">
    <w:abstractNumId w:val="6"/>
  </w:num>
  <w:num w:numId="18" w16cid:durableId="111964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167F1"/>
    <w:rsid w:val="00025CB0"/>
    <w:rsid w:val="00086C20"/>
    <w:rsid w:val="000A42C7"/>
    <w:rsid w:val="000D5185"/>
    <w:rsid w:val="001153C9"/>
    <w:rsid w:val="00126A71"/>
    <w:rsid w:val="00131826"/>
    <w:rsid w:val="00151A36"/>
    <w:rsid w:val="0017585F"/>
    <w:rsid w:val="00181E93"/>
    <w:rsid w:val="001A2BF3"/>
    <w:rsid w:val="001A59B5"/>
    <w:rsid w:val="001D01BE"/>
    <w:rsid w:val="002166BB"/>
    <w:rsid w:val="00227CD8"/>
    <w:rsid w:val="0023754D"/>
    <w:rsid w:val="00240DFE"/>
    <w:rsid w:val="002570E6"/>
    <w:rsid w:val="0027579C"/>
    <w:rsid w:val="00284987"/>
    <w:rsid w:val="002A5A9D"/>
    <w:rsid w:val="002F3509"/>
    <w:rsid w:val="00322DC6"/>
    <w:rsid w:val="00324293"/>
    <w:rsid w:val="003454A8"/>
    <w:rsid w:val="00361A45"/>
    <w:rsid w:val="003704C3"/>
    <w:rsid w:val="00384A9E"/>
    <w:rsid w:val="00390393"/>
    <w:rsid w:val="00397FE8"/>
    <w:rsid w:val="003A0375"/>
    <w:rsid w:val="003B37EC"/>
    <w:rsid w:val="003C6A64"/>
    <w:rsid w:val="00432AF1"/>
    <w:rsid w:val="00455127"/>
    <w:rsid w:val="00456DF5"/>
    <w:rsid w:val="004628A2"/>
    <w:rsid w:val="00463FF1"/>
    <w:rsid w:val="004855D1"/>
    <w:rsid w:val="004A5466"/>
    <w:rsid w:val="004B42CC"/>
    <w:rsid w:val="004D56BD"/>
    <w:rsid w:val="004E3C60"/>
    <w:rsid w:val="004E7058"/>
    <w:rsid w:val="00517246"/>
    <w:rsid w:val="00551A6E"/>
    <w:rsid w:val="00553F26"/>
    <w:rsid w:val="00577B05"/>
    <w:rsid w:val="005B642B"/>
    <w:rsid w:val="005C3CD0"/>
    <w:rsid w:val="005C4392"/>
    <w:rsid w:val="005D7BF7"/>
    <w:rsid w:val="005E3C39"/>
    <w:rsid w:val="006219E8"/>
    <w:rsid w:val="00627236"/>
    <w:rsid w:val="00627477"/>
    <w:rsid w:val="00681DFC"/>
    <w:rsid w:val="00683899"/>
    <w:rsid w:val="00696820"/>
    <w:rsid w:val="006A3C0D"/>
    <w:rsid w:val="006D1B09"/>
    <w:rsid w:val="006E4B9B"/>
    <w:rsid w:val="006E6485"/>
    <w:rsid w:val="006F06B0"/>
    <w:rsid w:val="006F5BB6"/>
    <w:rsid w:val="00707C40"/>
    <w:rsid w:val="00715160"/>
    <w:rsid w:val="007369D1"/>
    <w:rsid w:val="00745848"/>
    <w:rsid w:val="00755604"/>
    <w:rsid w:val="007805FF"/>
    <w:rsid w:val="00780B60"/>
    <w:rsid w:val="007A735D"/>
    <w:rsid w:val="007A7AA6"/>
    <w:rsid w:val="007C78B6"/>
    <w:rsid w:val="007E53F7"/>
    <w:rsid w:val="0081494F"/>
    <w:rsid w:val="008233B5"/>
    <w:rsid w:val="00874867"/>
    <w:rsid w:val="008768C8"/>
    <w:rsid w:val="00886144"/>
    <w:rsid w:val="00897330"/>
    <w:rsid w:val="008A592A"/>
    <w:rsid w:val="008B100A"/>
    <w:rsid w:val="008C2689"/>
    <w:rsid w:val="008D23CA"/>
    <w:rsid w:val="008D5726"/>
    <w:rsid w:val="008F27C1"/>
    <w:rsid w:val="00984274"/>
    <w:rsid w:val="009C07AE"/>
    <w:rsid w:val="009C20F5"/>
    <w:rsid w:val="009C7184"/>
    <w:rsid w:val="009E3F4E"/>
    <w:rsid w:val="009F211F"/>
    <w:rsid w:val="009F3A7D"/>
    <w:rsid w:val="00A65298"/>
    <w:rsid w:val="00A92A5D"/>
    <w:rsid w:val="00AA2716"/>
    <w:rsid w:val="00AE2972"/>
    <w:rsid w:val="00B25D6F"/>
    <w:rsid w:val="00B358FC"/>
    <w:rsid w:val="00B500DE"/>
    <w:rsid w:val="00B927A5"/>
    <w:rsid w:val="00B9431B"/>
    <w:rsid w:val="00BA15E7"/>
    <w:rsid w:val="00C216BA"/>
    <w:rsid w:val="00C23C26"/>
    <w:rsid w:val="00C34F49"/>
    <w:rsid w:val="00C529D8"/>
    <w:rsid w:val="00C819A7"/>
    <w:rsid w:val="00CA53A6"/>
    <w:rsid w:val="00CD0292"/>
    <w:rsid w:val="00CE1A0F"/>
    <w:rsid w:val="00CF6056"/>
    <w:rsid w:val="00D11E90"/>
    <w:rsid w:val="00D51450"/>
    <w:rsid w:val="00D52F5D"/>
    <w:rsid w:val="00D548AB"/>
    <w:rsid w:val="00D92307"/>
    <w:rsid w:val="00D96997"/>
    <w:rsid w:val="00DC093B"/>
    <w:rsid w:val="00DC3E47"/>
    <w:rsid w:val="00DC7012"/>
    <w:rsid w:val="00DF1788"/>
    <w:rsid w:val="00E55BBF"/>
    <w:rsid w:val="00E65A24"/>
    <w:rsid w:val="00E7239D"/>
    <w:rsid w:val="00E77E1A"/>
    <w:rsid w:val="00EA0780"/>
    <w:rsid w:val="00EB3A69"/>
    <w:rsid w:val="00EB5B4E"/>
    <w:rsid w:val="00EC2BAC"/>
    <w:rsid w:val="00ED4914"/>
    <w:rsid w:val="00ED79D6"/>
    <w:rsid w:val="00F13DBF"/>
    <w:rsid w:val="00F44737"/>
    <w:rsid w:val="00F621F2"/>
    <w:rsid w:val="00F6626B"/>
    <w:rsid w:val="00F84955"/>
    <w:rsid w:val="00F926CC"/>
    <w:rsid w:val="00FA47F6"/>
    <w:rsid w:val="021605BC"/>
    <w:rsid w:val="039D56B4"/>
    <w:rsid w:val="0D54984E"/>
    <w:rsid w:val="115E7DF2"/>
    <w:rsid w:val="18175F84"/>
    <w:rsid w:val="25135578"/>
    <w:rsid w:val="2EE7A4E5"/>
    <w:rsid w:val="32006E58"/>
    <w:rsid w:val="34955AD8"/>
    <w:rsid w:val="383ED853"/>
    <w:rsid w:val="44689E83"/>
    <w:rsid w:val="44E7ED30"/>
    <w:rsid w:val="51117D23"/>
    <w:rsid w:val="515DF74F"/>
    <w:rsid w:val="5943DB8C"/>
    <w:rsid w:val="61A9288F"/>
    <w:rsid w:val="61E44880"/>
    <w:rsid w:val="63FB1611"/>
    <w:rsid w:val="6B545521"/>
    <w:rsid w:val="6C0CD5EC"/>
    <w:rsid w:val="7129E5C8"/>
    <w:rsid w:val="71866B21"/>
    <w:rsid w:val="771F6C7A"/>
    <w:rsid w:val="789AA951"/>
    <w:rsid w:val="7D4A84F1"/>
    <w:rsid w:val="7D55A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styleId="Komentaronuoroda">
    <w:name w:val="annotation reference"/>
    <w:basedOn w:val="Numatytasispastraiposriftas"/>
    <w:uiPriority w:val="99"/>
    <w:semiHidden/>
    <w:unhideWhenUsed/>
    <w:rsid w:val="008A592A"/>
    <w:rPr>
      <w:sz w:val="16"/>
      <w:szCs w:val="16"/>
    </w:rPr>
  </w:style>
  <w:style w:type="paragraph" w:styleId="Komentarotekstas">
    <w:name w:val="annotation text"/>
    <w:basedOn w:val="prastasis"/>
    <w:link w:val="KomentarotekstasDiagrama"/>
    <w:uiPriority w:val="99"/>
    <w:unhideWhenUsed/>
    <w:rsid w:val="008A592A"/>
    <w:rPr>
      <w:sz w:val="20"/>
    </w:rPr>
  </w:style>
  <w:style w:type="character" w:customStyle="1" w:styleId="KomentarotekstasDiagrama">
    <w:name w:val="Komentaro tekstas Diagrama"/>
    <w:basedOn w:val="Numatytasispastraiposriftas"/>
    <w:link w:val="Komentarotekstas"/>
    <w:uiPriority w:val="99"/>
    <w:rsid w:val="008A592A"/>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A592A"/>
    <w:rPr>
      <w:b/>
      <w:bCs/>
    </w:rPr>
  </w:style>
  <w:style w:type="character" w:customStyle="1" w:styleId="KomentarotemaDiagrama">
    <w:name w:val="Komentaro tema Diagrama"/>
    <w:basedOn w:val="KomentarotekstasDiagrama"/>
    <w:link w:val="Komentarotema"/>
    <w:uiPriority w:val="99"/>
    <w:semiHidden/>
    <w:rsid w:val="008A592A"/>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8A59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592A"/>
    <w:rPr>
      <w:rFonts w:ascii="Segoe UI" w:eastAsia="Times New Roman" w:hAnsi="Segoe UI" w:cs="Segoe UI"/>
      <w:kern w:val="0"/>
      <w:sz w:val="18"/>
      <w:szCs w:val="18"/>
      <w:lang w:val="lt-LT"/>
      <w14:ligatures w14:val="none"/>
    </w:rPr>
  </w:style>
  <w:style w:type="paragraph" w:styleId="Pataisymai">
    <w:name w:val="Revision"/>
    <w:hidden/>
    <w:uiPriority w:val="99"/>
    <w:semiHidden/>
    <w:rsid w:val="003704C3"/>
    <w:pPr>
      <w:spacing w:after="0" w:line="240" w:lineRule="auto"/>
    </w:pPr>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ezmariu.apylinke@kaisiador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ezmariu.apylinke@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a48281e12aa24dc9f9816313126be631">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13aec2d40bb0c0eac30a9ef29dbd0d16"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BD6A1643-34DA-4FD5-92A0-B2CED21F2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9C6A0-C53F-44B7-8FF9-49411F0EDFA0}">
  <ds:schemaRefs>
    <ds:schemaRef ds:uri="http://schemas.microsoft.com/sharepoint/v3/contenttype/forms"/>
  </ds:schemaRefs>
</ds:datastoreItem>
</file>

<file path=customXml/itemProps3.xml><?xml version="1.0" encoding="utf-8"?>
<ds:datastoreItem xmlns:ds="http://schemas.openxmlformats.org/officeDocument/2006/customXml" ds:itemID="{4D9A7158-2845-4EB7-BE9A-DD4BAC763583}">
  <ds:schemaRefs>
    <ds:schemaRef ds:uri="http://schemas.openxmlformats.org/officeDocument/2006/bibliography"/>
  </ds:schemaRefs>
</ds:datastoreItem>
</file>

<file path=customXml/itemProps4.xml><?xml version="1.0" encoding="utf-8"?>
<ds:datastoreItem xmlns:ds="http://schemas.openxmlformats.org/officeDocument/2006/customXml" ds:itemID="{32CB3CC4-5BD0-440D-B32C-D42438BD560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15257</Words>
  <Characters>86967</Characters>
  <Application>Microsoft Office Word</Application>
  <DocSecurity>0</DocSecurity>
  <Lines>724</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dcterms:created xsi:type="dcterms:W3CDTF">2026-03-24T09:27:00Z</dcterms:created>
  <dcterms:modified xsi:type="dcterms:W3CDTF">2026-03-24T09:27:00Z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