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233" w14:textId="77777777" w:rsidR="00222D69" w:rsidRPr="009570BF" w:rsidRDefault="00222D69" w:rsidP="00556522">
      <w:pPr>
        <w:pStyle w:val="Stilius5"/>
        <w:spacing w:after="0"/>
        <w:outlineLvl w:val="0"/>
        <w:rPr>
          <w:sz w:val="24"/>
          <w:szCs w:val="24"/>
        </w:rPr>
      </w:pPr>
    </w:p>
    <w:p w14:paraId="01FD26B6" w14:textId="584C50AB" w:rsidR="001C3EE0" w:rsidRDefault="001C3EE0" w:rsidP="001C3EE0">
      <w:pPr>
        <w:widowControl/>
        <w:suppressAutoHyphens w:val="0"/>
        <w:ind w:firstLine="567"/>
        <w:jc w:val="right"/>
        <w:rPr>
          <w:rFonts w:cs="Times New Roman"/>
          <w:color w:val="101828"/>
          <w:shd w:val="clear" w:color="auto" w:fill="FFFFFF"/>
        </w:rPr>
      </w:pPr>
      <w:bookmarkStart w:id="0" w:name="_Hlk69733908"/>
      <w:r w:rsidRPr="001C3EE0">
        <w:rPr>
          <w:rFonts w:cs="Times New Roman"/>
          <w:color w:val="101828"/>
          <w:shd w:val="clear" w:color="auto" w:fill="FFFFFF"/>
        </w:rPr>
        <w:t xml:space="preserve">Pirkimo sąlygų </w:t>
      </w:r>
      <w:r w:rsidR="00A56C3D">
        <w:rPr>
          <w:rFonts w:cs="Times New Roman"/>
          <w:color w:val="101828"/>
          <w:shd w:val="clear" w:color="auto" w:fill="FFFFFF"/>
        </w:rPr>
        <w:t>6</w:t>
      </w:r>
      <w:r w:rsidRPr="001C3EE0">
        <w:rPr>
          <w:rFonts w:cs="Times New Roman"/>
          <w:color w:val="101828"/>
          <w:shd w:val="clear" w:color="auto" w:fill="FFFFFF"/>
        </w:rPr>
        <w:t xml:space="preserve"> priedas</w:t>
      </w:r>
    </w:p>
    <w:p w14:paraId="639495C6" w14:textId="77777777" w:rsidR="001C3EE0" w:rsidRDefault="001C3EE0" w:rsidP="00A56C3D">
      <w:pPr>
        <w:widowControl/>
        <w:suppressAutoHyphens w:val="0"/>
        <w:rPr>
          <w:rFonts w:cs="Times New Roman"/>
          <w:b/>
          <w:bCs/>
          <w:color w:val="101828"/>
          <w:shd w:val="clear" w:color="auto" w:fill="FFFFFF"/>
        </w:rPr>
      </w:pPr>
    </w:p>
    <w:p w14:paraId="54AF492F" w14:textId="5BF323A7" w:rsidR="00222D69" w:rsidRPr="00BD1F7A" w:rsidRDefault="00222D69" w:rsidP="00A56C3D">
      <w:pPr>
        <w:widowControl/>
        <w:suppressAutoHyphens w:val="0"/>
        <w:ind w:firstLine="567"/>
        <w:jc w:val="center"/>
        <w:rPr>
          <w:rFonts w:cs="Times New Roman"/>
          <w:b/>
          <w:bCs/>
          <w:color w:val="101828"/>
          <w:shd w:val="clear" w:color="auto" w:fill="FFFFFF"/>
        </w:rPr>
      </w:pPr>
      <w:r w:rsidRPr="00BD1F7A">
        <w:rPr>
          <w:rFonts w:cs="Times New Roman"/>
          <w:b/>
          <w:bCs/>
          <w:color w:val="101828"/>
          <w:shd w:val="clear" w:color="auto" w:fill="FFFFFF"/>
        </w:rPr>
        <w:t>KĖDAINIŲ MIESTO STADIONO LAUKO PADĖLIO KORTŲ ĮRENGIMO DARB</w:t>
      </w:r>
      <w:r w:rsidR="00A56C3D">
        <w:rPr>
          <w:rFonts w:cs="Times New Roman"/>
          <w:b/>
          <w:bCs/>
          <w:color w:val="101828"/>
          <w:shd w:val="clear" w:color="auto" w:fill="FFFFFF"/>
        </w:rPr>
        <w:t>Ų</w:t>
      </w:r>
    </w:p>
    <w:p w14:paraId="245CAAE4" w14:textId="3FDE7806" w:rsidR="00B70109" w:rsidRPr="00BD1F7A" w:rsidRDefault="00B70109" w:rsidP="00556522">
      <w:pPr>
        <w:widowControl/>
        <w:suppressAutoHyphens w:val="0"/>
        <w:ind w:firstLine="567"/>
        <w:jc w:val="center"/>
        <w:rPr>
          <w:rFonts w:eastAsiaTheme="minorHAnsi" w:cs="Times New Roman"/>
          <w:b/>
          <w:szCs w:val="24"/>
          <w:lang w:eastAsia="en-US"/>
        </w:rPr>
      </w:pPr>
      <w:r w:rsidRPr="00BD1F7A">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68F6CFD7" w:rsidR="00222D69" w:rsidRPr="00222D69" w:rsidRDefault="00222D69" w:rsidP="00222D69">
      <w:pPr>
        <w:jc w:val="center"/>
        <w:rPr>
          <w:rFonts w:eastAsia="Times New Roman" w:cs="Times New Roman"/>
          <w:szCs w:val="24"/>
        </w:rPr>
      </w:pPr>
      <w:r w:rsidRPr="00222D69">
        <w:rPr>
          <w:rFonts w:eastAsia="Times New Roman" w:cs="Times New Roman"/>
          <w:szCs w:val="24"/>
        </w:rPr>
        <w:t>20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1A802E54" w14:textId="650AAAE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b/>
          <w:szCs w:val="24"/>
          <w:lang w:eastAsia="lt-LT"/>
        </w:rPr>
        <w:t>Kėdainių sporto centras</w:t>
      </w:r>
      <w:r w:rsidRPr="00F3312B">
        <w:rPr>
          <w:rFonts w:eastAsia="Times New Roman" w:cs="Times New Roman"/>
          <w:szCs w:val="24"/>
          <w:lang w:eastAsia="lt-LT"/>
        </w:rPr>
        <w:t>, juridinio asmens kodas 191015760, kurio</w:t>
      </w:r>
      <w:r w:rsidR="00D41EFE">
        <w:rPr>
          <w:rFonts w:eastAsia="Times New Roman" w:cs="Times New Roman"/>
          <w:szCs w:val="24"/>
          <w:lang w:eastAsia="lt-LT"/>
        </w:rPr>
        <w:t xml:space="preserve"> </w:t>
      </w:r>
      <w:r w:rsidRPr="00F3312B">
        <w:rPr>
          <w:rFonts w:eastAsia="Times New Roman" w:cs="Times New Roman"/>
          <w:szCs w:val="24"/>
          <w:lang w:eastAsia="lt-LT"/>
        </w:rPr>
        <w:t xml:space="preserve">registruota buveinė </w:t>
      </w:r>
      <w:r w:rsidRPr="00F3312B">
        <w:rPr>
          <w:rFonts w:eastAsia="Times New Roman" w:cs="Times New Roman"/>
          <w:kern w:val="1"/>
          <w:szCs w:val="24"/>
          <w:lang w:eastAsia="hi-IN" w:bidi="hi-IN"/>
        </w:rPr>
        <w:t>Parko g. 4, Vilainių k., Kėdainių r. sav.</w:t>
      </w:r>
      <w:r w:rsidRPr="00F3312B">
        <w:rPr>
          <w:rFonts w:eastAsia="Times New Roman" w:cs="Times New Roman"/>
          <w:szCs w:val="24"/>
          <w:lang w:eastAsia="lt-LT"/>
        </w:rPr>
        <w:t xml:space="preserve">, duomenys apie įstaigą kaupiami ir saugomi Lietuvos Respublikos juridinių asmenų registre, atstovaujama </w:t>
      </w:r>
      <w:r w:rsidRPr="00F3312B">
        <w:rPr>
          <w:rFonts w:eastAsia="Times New Roman" w:cs="Times New Roman"/>
          <w:szCs w:val="24"/>
          <w:lang w:eastAsia="en-US"/>
        </w:rPr>
        <w:t xml:space="preserve">direktoriaus </w:t>
      </w:r>
      <w:r w:rsidR="005A53F7">
        <w:rPr>
          <w:rFonts w:eastAsia="Times New Roman" w:cs="Times New Roman"/>
          <w:szCs w:val="24"/>
          <w:lang w:eastAsia="en-US"/>
        </w:rPr>
        <w:t>..................</w:t>
      </w:r>
      <w:r w:rsidRPr="00F3312B">
        <w:rPr>
          <w:rFonts w:eastAsia="Times New Roman" w:cs="Times New Roman"/>
          <w:szCs w:val="24"/>
          <w:lang w:eastAsia="en-US"/>
        </w:rPr>
        <w:t xml:space="preserve"> </w:t>
      </w:r>
      <w:r w:rsidRPr="00F3312B">
        <w:rPr>
          <w:rFonts w:eastAsia="Times New Roman" w:cs="Times New Roman"/>
          <w:szCs w:val="24"/>
          <w:lang w:eastAsia="lt-LT"/>
        </w:rPr>
        <w:t>veikiančio pagal įstaigos įstatus, (</w:t>
      </w:r>
      <w:r w:rsidRPr="00F3312B">
        <w:rPr>
          <w:rFonts w:eastAsia="Times New Roman" w:cs="Times New Roman"/>
          <w:szCs w:val="24"/>
        </w:rPr>
        <w:t xml:space="preserve">toliau vadinama </w:t>
      </w:r>
      <w:r w:rsidRPr="00F3312B">
        <w:rPr>
          <w:rFonts w:eastAsia="Times New Roman" w:cs="Times New Roman"/>
          <w:b/>
          <w:bCs/>
          <w:szCs w:val="24"/>
        </w:rPr>
        <w:t>„Užsakovu“</w:t>
      </w:r>
      <w:r w:rsidRPr="00F3312B">
        <w:rPr>
          <w:rFonts w:eastAsia="Times New Roman" w:cs="Times New Roman"/>
          <w:szCs w:val="24"/>
          <w:lang w:eastAsia="lt-LT"/>
        </w:rPr>
        <w:t>),</w:t>
      </w:r>
    </w:p>
    <w:p w14:paraId="427E02C4" w14:textId="7777777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szCs w:val="24"/>
          <w:lang w:eastAsia="lt-LT"/>
        </w:rPr>
        <w:t>Ir</w:t>
      </w:r>
    </w:p>
    <w:p w14:paraId="773CE028" w14:textId="199914E6" w:rsidR="00F3312B" w:rsidRPr="00F3312B" w:rsidRDefault="00F3312B" w:rsidP="00F3312B">
      <w:pPr>
        <w:ind w:firstLine="567"/>
        <w:jc w:val="both"/>
        <w:rPr>
          <w:rFonts w:eastAsia="Times New Roman" w:cs="Times New Roman"/>
          <w:szCs w:val="24"/>
        </w:rPr>
      </w:pPr>
      <w:r>
        <w:rPr>
          <w:rFonts w:eastAsia="Times New Roman" w:cs="Times New Roman"/>
          <w:szCs w:val="24"/>
          <w:lang w:eastAsia="lt-LT"/>
        </w:rPr>
        <w:t>..................................</w:t>
      </w:r>
      <w:r w:rsidRPr="00F3312B">
        <w:rPr>
          <w:rFonts w:eastAsia="Times New Roman" w:cs="Times New Roman"/>
          <w:szCs w:val="24"/>
          <w:lang w:eastAsia="lt-LT"/>
        </w:rPr>
        <w:t>,  juridinio asmens koda</w:t>
      </w:r>
      <w:r w:rsidR="00035D7B">
        <w:rPr>
          <w:rFonts w:eastAsia="Times New Roman" w:cs="Times New Roman"/>
          <w:szCs w:val="24"/>
          <w:lang w:eastAsia="lt-LT"/>
        </w:rPr>
        <w:t>s</w:t>
      </w:r>
      <w:r w:rsidRPr="00F3312B">
        <w:rPr>
          <w:rFonts w:eastAsia="Times New Roman" w:cs="Times New Roman"/>
          <w:szCs w:val="24"/>
          <w:lang w:eastAsia="lt-LT"/>
        </w:rPr>
        <w:t xml:space="preserve">, kurio registruota buveinė yra </w:t>
      </w:r>
      <w:r>
        <w:rPr>
          <w:rFonts w:eastAsia="Times New Roman" w:cs="Times New Roman"/>
          <w:szCs w:val="24"/>
          <w:lang w:eastAsia="lt-LT"/>
        </w:rPr>
        <w:t>...........................................</w:t>
      </w:r>
      <w:r w:rsidRPr="00F3312B">
        <w:rPr>
          <w:rFonts w:eastAsia="Times New Roman" w:cs="Times New Roman"/>
          <w:szCs w:val="24"/>
          <w:lang w:eastAsia="lt-LT"/>
        </w:rPr>
        <w:t xml:space="preserve">, duomenys apie įmonę kaupiami ir saugomi Lietuvos Respublikos juridinių asmenų registre, atstovaujama </w:t>
      </w:r>
      <w:r>
        <w:rPr>
          <w:rFonts w:eastAsia="Times New Roman" w:cs="Times New Roman"/>
          <w:szCs w:val="24"/>
          <w:lang w:eastAsia="lt-LT"/>
        </w:rPr>
        <w:t>.........................................</w:t>
      </w:r>
      <w:r w:rsidRPr="00F3312B">
        <w:rPr>
          <w:rFonts w:eastAsia="Times New Roman" w:cs="Times New Roman"/>
          <w:szCs w:val="24"/>
          <w:lang w:eastAsia="lt-LT"/>
        </w:rPr>
        <w:t>, veikiančio (-</w:t>
      </w:r>
      <w:proofErr w:type="spellStart"/>
      <w:r w:rsidRPr="00F3312B">
        <w:rPr>
          <w:rFonts w:eastAsia="Times New Roman" w:cs="Times New Roman"/>
          <w:szCs w:val="24"/>
          <w:lang w:eastAsia="lt-LT"/>
        </w:rPr>
        <w:t>ios</w:t>
      </w:r>
      <w:proofErr w:type="spellEnd"/>
      <w:r w:rsidRPr="00F3312B">
        <w:rPr>
          <w:rFonts w:eastAsia="Times New Roman" w:cs="Times New Roman"/>
          <w:szCs w:val="24"/>
          <w:lang w:eastAsia="lt-LT"/>
        </w:rPr>
        <w:t xml:space="preserve">) </w:t>
      </w:r>
      <w:r>
        <w:rPr>
          <w:rFonts w:eastAsia="Times New Roman" w:cs="Times New Roman"/>
          <w:szCs w:val="24"/>
          <w:lang w:eastAsia="lt-LT"/>
        </w:rPr>
        <w:t>....................................</w:t>
      </w:r>
      <w:r w:rsidRPr="00F3312B">
        <w:rPr>
          <w:rFonts w:eastAsia="Times New Roman" w:cs="Times New Roman"/>
          <w:szCs w:val="24"/>
          <w:lang w:eastAsia="lt-LT"/>
        </w:rPr>
        <w:t xml:space="preserve"> (</w:t>
      </w:r>
      <w:r w:rsidRPr="00F3312B">
        <w:rPr>
          <w:rFonts w:eastAsia="Times New Roman" w:cs="Times New Roman"/>
          <w:szCs w:val="24"/>
        </w:rPr>
        <w:t xml:space="preserve">toliau vadinama </w:t>
      </w:r>
      <w:r w:rsidRPr="00F3312B">
        <w:rPr>
          <w:rFonts w:eastAsia="Times New Roman" w:cs="Times New Roman"/>
          <w:b/>
          <w:bCs/>
          <w:szCs w:val="24"/>
        </w:rPr>
        <w:t>„Rangovu“</w:t>
      </w:r>
      <w:r w:rsidRPr="00F3312B">
        <w:rPr>
          <w:rFonts w:eastAsia="Times New Roman" w:cs="Times New Roman"/>
          <w:szCs w:val="24"/>
          <w:lang w:eastAsia="lt-LT"/>
        </w:rPr>
        <w:t xml:space="preserve">), toliau kartu </w:t>
      </w:r>
      <w:r w:rsidRPr="00F3312B">
        <w:rPr>
          <w:rFonts w:eastAsia="Times New Roman" w:cs="Times New Roman"/>
          <w:szCs w:val="24"/>
        </w:rPr>
        <w:t>vadinami</w:t>
      </w:r>
      <w:r w:rsidRPr="00F3312B">
        <w:rPr>
          <w:rFonts w:eastAsia="Times New Roman" w:cs="Times New Roman"/>
          <w:b/>
          <w:szCs w:val="24"/>
        </w:rPr>
        <w:t xml:space="preserve"> „Šalimis“</w:t>
      </w:r>
      <w:r w:rsidRPr="00F3312B">
        <w:rPr>
          <w:rFonts w:eastAsia="Times New Roman" w:cs="Times New Roman"/>
          <w:szCs w:val="24"/>
        </w:rPr>
        <w:t xml:space="preserve">, o kiekvienas atskirai – </w:t>
      </w:r>
      <w:r w:rsidRPr="00F3312B">
        <w:rPr>
          <w:rFonts w:eastAsia="Times New Roman" w:cs="Times New Roman"/>
          <w:b/>
          <w:szCs w:val="24"/>
        </w:rPr>
        <w:t>„Šalimi“</w:t>
      </w:r>
      <w:r w:rsidRPr="00F3312B">
        <w:rPr>
          <w:rFonts w:eastAsia="Times New Roman" w:cs="Times New Roman"/>
          <w:szCs w:val="24"/>
        </w:rPr>
        <w:t xml:space="preserve">, sudarė šią </w:t>
      </w:r>
      <w:r w:rsidRPr="00F3312B">
        <w:rPr>
          <w:rFonts w:ascii="Liberation Serif" w:eastAsia="NSimSun" w:hAnsi="Liberation Serif" w:cs="Lucida Sans"/>
          <w:kern w:val="2"/>
          <w:szCs w:val="24"/>
          <w:lang w:eastAsia="lt-LT" w:bidi="hi-IN"/>
        </w:rPr>
        <w:t xml:space="preserve">Kėdainių miesto stadiono </w:t>
      </w:r>
      <w:r>
        <w:rPr>
          <w:rFonts w:ascii="Liberation Serif" w:eastAsia="NSimSun" w:hAnsi="Liberation Serif" w:cs="Lucida Sans"/>
          <w:kern w:val="2"/>
          <w:szCs w:val="24"/>
          <w:lang w:eastAsia="lt-LT" w:bidi="hi-IN"/>
        </w:rPr>
        <w:t>lauko padėlio kortų įrengimo</w:t>
      </w:r>
      <w:r w:rsidRPr="00F3312B">
        <w:rPr>
          <w:rFonts w:ascii="Liberation Serif" w:eastAsia="NSimSun" w:hAnsi="Liberation Serif" w:cs="Lucida Sans"/>
          <w:b/>
          <w:bCs/>
          <w:kern w:val="2"/>
          <w:szCs w:val="24"/>
          <w:lang w:eastAsia="lt-LT" w:bidi="hi-IN"/>
        </w:rPr>
        <w:t xml:space="preserve"> </w:t>
      </w:r>
      <w:r w:rsidRPr="00F3312B">
        <w:rPr>
          <w:rFonts w:eastAsia="Times New Roman" w:cs="Times New Roman"/>
          <w:bCs/>
          <w:szCs w:val="24"/>
        </w:rPr>
        <w:t xml:space="preserve">darbų sutartį </w:t>
      </w:r>
      <w:r w:rsidRPr="00F3312B">
        <w:rPr>
          <w:rFonts w:eastAsia="Times New Roman" w:cs="Times New Roman"/>
          <w:szCs w:val="24"/>
        </w:rPr>
        <w:t xml:space="preserve">(toliau vadinama </w:t>
      </w:r>
      <w:r w:rsidRPr="00F3312B">
        <w:rPr>
          <w:rFonts w:eastAsia="Times New Roman" w:cs="Times New Roman"/>
          <w:b/>
          <w:bCs/>
          <w:szCs w:val="24"/>
        </w:rPr>
        <w:t>„Sutartimi</w:t>
      </w:r>
      <w:r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45A0B67B" w14:textId="21CAB0CD" w:rsidR="0018509C" w:rsidRPr="00A56C3D" w:rsidRDefault="0018509C" w:rsidP="0018509C">
      <w:pPr>
        <w:jc w:val="both"/>
        <w:rPr>
          <w:rFonts w:eastAsia="Times New Roman" w:cs="Times New Roman"/>
          <w:color w:val="000000"/>
          <w:szCs w:val="24"/>
          <w:u w:val="single"/>
        </w:rPr>
      </w:pPr>
      <w:r>
        <w:rPr>
          <w:rFonts w:cs="Times New Roman"/>
          <w:kern w:val="2"/>
          <w:szCs w:val="24"/>
        </w:rPr>
        <w:tab/>
      </w:r>
      <w:r w:rsidR="00A56C3D" w:rsidRPr="00A56C3D">
        <w:rPr>
          <w:rFonts w:cs="Times New Roman"/>
          <w:kern w:val="2"/>
          <w:szCs w:val="24"/>
        </w:rPr>
        <w:t>1.1. Šia Sutartimi Rangovas įsipareigoja Sutartyje nustatyta tvarka ir sąlygomis,  vadovaudamasis supaprastintu projektu „Sporto paskirties inžinerinių statinių (lauko padelio Teniso kortai) J.</w:t>
      </w:r>
      <w:r w:rsidR="00A56C3D">
        <w:rPr>
          <w:rFonts w:cs="Times New Roman"/>
          <w:kern w:val="2"/>
          <w:szCs w:val="24"/>
        </w:rPr>
        <w:t xml:space="preserve"> </w:t>
      </w:r>
      <w:r w:rsidR="00A56C3D" w:rsidRPr="00A56C3D">
        <w:rPr>
          <w:rFonts w:cs="Times New Roman"/>
          <w:kern w:val="2"/>
          <w:szCs w:val="24"/>
        </w:rPr>
        <w:t xml:space="preserve">Basanavičiaus g. 1, Kėdainių r. sav., supaprastintas projektas“ (toliau – projektas, Sutarties 10 priedas) ir Veiklos sąrašu (Sutarties </w:t>
      </w:r>
      <w:r w:rsidR="00A56C3D">
        <w:rPr>
          <w:rFonts w:cs="Times New Roman"/>
          <w:kern w:val="2"/>
          <w:szCs w:val="24"/>
        </w:rPr>
        <w:t>3</w:t>
      </w:r>
      <w:r w:rsidR="00A56C3D" w:rsidRPr="00A56C3D">
        <w:rPr>
          <w:rFonts w:cs="Times New Roman"/>
          <w:kern w:val="2"/>
          <w:szCs w:val="24"/>
        </w:rPr>
        <w:t xml:space="preserve"> priedas), kurie yra šios Sutarties neatskiriamos dalys, atlikti Kėdainių miesto stadiono lauko padėlio korto Nr. 2 įrengimo darbus (toliau – Darbai) ir visų dokumentų (įskaitant kadastrinių matavimų bylą), būtinų objektui įregistruoti VĮ Registrų centre, parengimo paslaugas ir perduoti Darbų rezultatą Užsakovui, o Užsakovas sudaryti Rangovui būtinas sąlygas Darbams atlikti, Sutartyje numatyta tvarka priimti Darbų rezultatą ir apmokėti už Darbus Sutartyje nustatyta tvarka ir terminais.</w:t>
      </w: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56DDEC40"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w:t>
      </w:r>
      <w:r w:rsidR="00BB72C5">
        <w:rPr>
          <w:rFonts w:cs="Times New Roman"/>
          <w:szCs w:val="24"/>
          <w:lang w:eastAsia="en-US" w:bidi="en-US"/>
        </w:rPr>
        <w:t xml:space="preserve">, nustatyta atlikus viešąjį pirkimą, </w:t>
      </w:r>
      <w:r w:rsidR="00B70109" w:rsidRPr="00B70109">
        <w:rPr>
          <w:rFonts w:cs="Times New Roman"/>
          <w:szCs w:val="24"/>
          <w:lang w:eastAsia="en-US" w:bidi="en-US"/>
        </w:rPr>
        <w:t>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w:t>
      </w:r>
      <w:r>
        <w:rPr>
          <w:rFonts w:eastAsia="Calibri" w:cs="Times New Roman"/>
          <w:szCs w:val="24"/>
        </w:rPr>
        <w:lastRenderedPageBreak/>
        <w:t>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13803FC3"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B678E6">
        <w:rPr>
          <w:rFonts w:cs="Times New Roman"/>
          <w:szCs w:val="24"/>
        </w:rPr>
        <w:t>4</w:t>
      </w:r>
      <w:r w:rsidRPr="00C073BA">
        <w:rPr>
          <w:rFonts w:cs="Times New Roman"/>
          <w:szCs w:val="24"/>
        </w:rPr>
        <w:t xml:space="preserve"> mėnes</w:t>
      </w:r>
      <w:r w:rsidR="001D28B6">
        <w:rPr>
          <w:rFonts w:cs="Times New Roman"/>
          <w:szCs w:val="24"/>
        </w:rPr>
        <w:t>ius</w:t>
      </w:r>
      <w:r w:rsidRPr="00C073BA">
        <w:rPr>
          <w:rFonts w:cs="Times New Roman"/>
          <w:szCs w:val="24"/>
        </w:rPr>
        <w:t xml:space="preserve"> nuo Sutarties įsigaliojimo dienos. Pirkimo sutartis įsigalioja ją pasirašius abiem Šalims </w:t>
      </w:r>
      <w:r w:rsidRPr="00C073BA">
        <w:rPr>
          <w:rFonts w:eastAsia="Times New Roman" w:cs="Times New Roman"/>
          <w:szCs w:val="24"/>
        </w:rPr>
        <w:t xml:space="preserve">bei </w:t>
      </w:r>
      <w:r w:rsidRPr="00C073BA">
        <w:rPr>
          <w:rFonts w:cs="Times New Roman"/>
          <w:szCs w:val="24"/>
        </w:rPr>
        <w:t>galioja iki visiško pirkimo sutarties Šalių sutartinių įsipareigojimų įvykdymo.</w:t>
      </w:r>
    </w:p>
    <w:p w14:paraId="10ECFAE2" w14:textId="53A19C9F"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w:t>
      </w:r>
      <w:r w:rsidR="00D57E69">
        <w:rPr>
          <w:kern w:val="2"/>
          <w:szCs w:val="24"/>
          <w14:ligatures w14:val="standardContextual"/>
        </w:rPr>
        <w:t>os</w:t>
      </w:r>
      <w:r w:rsidR="00F11A76">
        <w:rPr>
          <w:kern w:val="2"/>
          <w:szCs w:val="24"/>
          <w14:ligatures w14:val="standardContextual"/>
        </w:rPr>
        <w:t xml:space="preserve">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1C9724A" w14:textId="68326A4E" w:rsidR="00035D7B" w:rsidRPr="00035D7B" w:rsidRDefault="0018509C" w:rsidP="0018509C">
      <w:pPr>
        <w:pStyle w:val="Stilius3"/>
        <w:spacing w:before="0"/>
        <w:rPr>
          <w:lang w:val="lt-LT"/>
        </w:rPr>
      </w:pPr>
      <w:r w:rsidRPr="0018509C">
        <w:rPr>
          <w:lang w:val="lt-LT"/>
        </w:rPr>
        <w:t>Aplinkybės, dėl kurių gali būti stabdomi Darbai, yra:</w:t>
      </w:r>
    </w:p>
    <w:p w14:paraId="1BD20333" w14:textId="38956663" w:rsidR="0018509C" w:rsidRDefault="0018509C" w:rsidP="00035D7B">
      <w:pPr>
        <w:pStyle w:val="Komentarotekstas"/>
        <w:numPr>
          <w:ilvl w:val="0"/>
          <w:numId w:val="2"/>
        </w:numPr>
        <w:tabs>
          <w:tab w:val="left" w:pos="360"/>
          <w:tab w:val="left" w:pos="993"/>
        </w:tabs>
        <w:suppressAutoHyphens w:val="0"/>
        <w:spacing w:after="0" w:line="240" w:lineRule="auto"/>
        <w:ind w:hanging="153"/>
        <w:rPr>
          <w:sz w:val="24"/>
          <w:szCs w:val="24"/>
        </w:rPr>
      </w:pPr>
      <w:r>
        <w:rPr>
          <w:sz w:val="24"/>
          <w:szCs w:val="24"/>
        </w:rPr>
        <w:t>trečiųjų šalių įtaka;</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2013E36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w:t>
      </w:r>
      <w:r w:rsidR="00B30907">
        <w:rPr>
          <w:sz w:val="24"/>
          <w:szCs w:val="24"/>
        </w:rPr>
        <w:t>R</w:t>
      </w:r>
      <w:r>
        <w:rPr>
          <w:sz w:val="24"/>
          <w:szCs w:val="24"/>
        </w:rPr>
        <w:t xml:space="preserve">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w:t>
      </w:r>
      <w:r w:rsidR="0068635C">
        <w:rPr>
          <w:sz w:val="24"/>
          <w:szCs w:val="24"/>
        </w:rPr>
        <w:t>R</w:t>
      </w:r>
      <w:r>
        <w:rPr>
          <w:sz w:val="24"/>
          <w:szCs w:val="24"/>
        </w:rPr>
        <w:t xml:space="preserve">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73117A90"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w:t>
      </w:r>
      <w:r w:rsidR="00D57E69">
        <w:rPr>
          <w:kern w:val="2"/>
          <w:szCs w:val="24"/>
          <w14:ligatures w14:val="standardContextual"/>
        </w:rPr>
        <w:t>os</w:t>
      </w:r>
      <w:r w:rsidR="003214C6" w:rsidRPr="00F44B52">
        <w:rPr>
          <w:kern w:val="2"/>
          <w:szCs w:val="24"/>
          <w14:ligatures w14:val="standardContextual"/>
        </w:rPr>
        <w:t xml:space="preserve"> sąraše nurodytos fiksuotos Darbų grupių (etapų) kainos.</w:t>
      </w:r>
    </w:p>
    <w:p w14:paraId="09B5812F" w14:textId="69B2D21B"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w:t>
      </w:r>
      <w:r w:rsidR="00A56C3D">
        <w:rPr>
          <w:kern w:val="2"/>
          <w:szCs w:val="24"/>
          <w14:ligatures w14:val="standardContextual"/>
        </w:rPr>
        <w:t xml:space="preserve"> </w:t>
      </w:r>
      <w:r w:rsidRPr="00F44B52">
        <w:rPr>
          <w:kern w:val="2"/>
          <w:szCs w:val="24"/>
          <w14:ligatures w14:val="standardContextual"/>
        </w:rPr>
        <w:t>Veikl</w:t>
      </w:r>
      <w:r w:rsidR="00A56C3D">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w:t>
      </w:r>
      <w:r w:rsidR="00D57E69">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lastRenderedPageBreak/>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8581E23"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w:t>
      </w:r>
      <w:r w:rsidR="00012167">
        <w:rPr>
          <w:kern w:val="2"/>
          <w:szCs w:val="24"/>
          <w14:ligatures w14:val="standardContextual"/>
        </w:rPr>
        <w:t>K</w:t>
      </w:r>
      <w:r w:rsidRPr="00F44B52">
        <w:rPr>
          <w:kern w:val="2"/>
          <w:szCs w:val="24"/>
          <w14:ligatures w14:val="standardContextual"/>
        </w:rPr>
        <w:t xml:space="preserve">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0C333412"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5A940E80"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w:t>
      </w:r>
      <w:r w:rsidR="009A051B">
        <w:rPr>
          <w:rFonts w:cs="Times New Roman"/>
          <w:szCs w:val="24"/>
        </w:rPr>
        <w:t xml:space="preserve"> </w:t>
      </w:r>
      <w:r w:rsidR="009A051B" w:rsidRPr="00EF2707">
        <w:rPr>
          <w:rFonts w:cs="Times New Roman"/>
          <w:color w:val="000000" w:themeColor="text1"/>
          <w:szCs w:val="24"/>
        </w:rPr>
        <w:t>pranešus Rangovui</w:t>
      </w:r>
      <w:r w:rsidR="009A051B">
        <w:rPr>
          <w:rFonts w:cs="Times New Roman"/>
          <w:szCs w:val="24"/>
        </w:rPr>
        <w:t>,</w:t>
      </w:r>
      <w:r>
        <w:rPr>
          <w:rFonts w:cs="Times New Roman"/>
          <w:szCs w:val="24"/>
        </w:rPr>
        <w:t xml:space="preserve"> be Rangovo sutikimo išskaičiuoti, iš pateiktų galutiniam apmokėjimui dokumentų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5565778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w:t>
      </w:r>
      <w:r w:rsidR="00EF2707">
        <w:rPr>
          <w:rFonts w:eastAsia="Times New Roman" w:cs="Times New Roman"/>
          <w:szCs w:val="24"/>
        </w:rPr>
        <w:t xml:space="preserve"> </w:t>
      </w:r>
      <w:r>
        <w:rPr>
          <w:rFonts w:eastAsia="Times New Roman" w:cs="Times New Roman"/>
          <w:szCs w:val="24"/>
        </w:rPr>
        <w:t>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w:t>
      </w:r>
      <w:r>
        <w:rPr>
          <w:szCs w:val="24"/>
        </w:rPr>
        <w:lastRenderedPageBreak/>
        <w:t>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3576D38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60CF55CE"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Darbų faktinių kiekių neatitikimas orientaciniams (projektiniams) kiekiams, kurie gali būti nustatyti Veikl</w:t>
      </w:r>
      <w:r w:rsidR="00D57E69">
        <w:rPr>
          <w:kern w:val="2"/>
          <w:szCs w:val="24"/>
          <w14:ligatures w14:val="standardContextual"/>
        </w:rPr>
        <w:t>os</w:t>
      </w:r>
      <w:r w:rsidRPr="00F44B52">
        <w:rPr>
          <w:kern w:val="2"/>
          <w:szCs w:val="24"/>
          <w14:ligatures w14:val="standardContextual"/>
        </w:rPr>
        <w:t xml:space="preserve">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lastRenderedPageBreak/>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3FE78F4E" w14:textId="6336F762" w:rsidR="00005F33" w:rsidRPr="00EF2707" w:rsidRDefault="0018509C" w:rsidP="00005F33">
      <w:pPr>
        <w:ind w:firstLine="567"/>
        <w:jc w:val="both"/>
        <w:rPr>
          <w:color w:val="000000" w:themeColor="text1"/>
          <w:szCs w:val="24"/>
        </w:rPr>
      </w:pPr>
      <w:r w:rsidRPr="00EF2707">
        <w:rPr>
          <w:color w:val="000000" w:themeColor="text1"/>
          <w:szCs w:val="24"/>
        </w:rPr>
        <w:t>6.2.</w:t>
      </w:r>
      <w:r w:rsidR="00FD7790" w:rsidRPr="00EF2707">
        <w:rPr>
          <w:color w:val="000000" w:themeColor="text1"/>
          <w:szCs w:val="24"/>
        </w:rPr>
        <w:t>19</w:t>
      </w:r>
      <w:r w:rsidRPr="00EF2707">
        <w:rPr>
          <w:color w:val="000000" w:themeColor="text1"/>
          <w:szCs w:val="24"/>
        </w:rPr>
        <w:t xml:space="preserve">. </w:t>
      </w:r>
      <w:r w:rsidR="00005F33" w:rsidRPr="00EF2707">
        <w:rPr>
          <w:color w:val="000000" w:themeColor="text1"/>
          <w:szCs w:val="24"/>
        </w:rPr>
        <w:t xml:space="preserve">Rangovas, vykdydamas Sutartį,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317167E6" w14:textId="77777777" w:rsidR="00005F33" w:rsidRPr="00EF2707" w:rsidRDefault="00005F33" w:rsidP="00005F33">
      <w:pPr>
        <w:ind w:firstLine="567"/>
        <w:jc w:val="both"/>
        <w:rPr>
          <w:color w:val="000000" w:themeColor="text1"/>
          <w:szCs w:val="24"/>
        </w:rPr>
      </w:pPr>
      <w:r w:rsidRPr="00EF2707">
        <w:rPr>
          <w:color w:val="000000" w:themeColor="text1"/>
          <w:szCs w:val="24"/>
        </w:rPr>
        <w:t xml:space="preserve">Nurodytus dokumentus, </w:t>
      </w:r>
      <w:r w:rsidRPr="00EF2707">
        <w:rPr>
          <w:b/>
          <w:bCs/>
          <w:color w:val="000000" w:themeColor="text1"/>
          <w:szCs w:val="24"/>
        </w:rPr>
        <w:t>Rangovas privalo</w:t>
      </w:r>
      <w:r w:rsidRPr="00EF2707">
        <w:rPr>
          <w:color w:val="000000" w:themeColor="text1"/>
          <w:szCs w:val="24"/>
        </w:rPr>
        <w:t xml:space="preserve"> pateikti Užsakovui prieš pradėdamas vykdyti darbus. </w:t>
      </w:r>
    </w:p>
    <w:p w14:paraId="59B517FD" w14:textId="4205D2C6" w:rsidR="00005F33" w:rsidRPr="00EF2707" w:rsidRDefault="0018509C" w:rsidP="0018509C">
      <w:pPr>
        <w:ind w:firstLine="567"/>
        <w:jc w:val="both"/>
        <w:rPr>
          <w:rFonts w:cs="Times New Roman"/>
          <w:b/>
          <w:bCs/>
          <w:color w:val="000000" w:themeColor="text1"/>
          <w:szCs w:val="24"/>
        </w:rPr>
      </w:pPr>
      <w:r w:rsidRPr="00EF2707">
        <w:rPr>
          <w:rFonts w:cs="Times New Roman"/>
          <w:color w:val="000000" w:themeColor="text1"/>
          <w:szCs w:val="24"/>
        </w:rPr>
        <w:t>6.2.</w:t>
      </w:r>
      <w:r w:rsidR="0052681C" w:rsidRPr="00EF2707">
        <w:rPr>
          <w:rFonts w:cs="Times New Roman"/>
          <w:color w:val="000000" w:themeColor="text1"/>
          <w:szCs w:val="24"/>
        </w:rPr>
        <w:t>2</w:t>
      </w:r>
      <w:r w:rsidR="00FD7790" w:rsidRPr="00EF2707">
        <w:rPr>
          <w:rFonts w:cs="Times New Roman"/>
          <w:color w:val="000000" w:themeColor="text1"/>
          <w:szCs w:val="24"/>
        </w:rPr>
        <w:t>0</w:t>
      </w:r>
      <w:r w:rsidRPr="00EF2707">
        <w:rPr>
          <w:rFonts w:cs="Times New Roman"/>
          <w:color w:val="000000" w:themeColor="text1"/>
          <w:szCs w:val="24"/>
        </w:rPr>
        <w:t>.</w:t>
      </w:r>
      <w:r w:rsidRPr="00EF2707">
        <w:rPr>
          <w:rFonts w:cs="Times New Roman"/>
          <w:b/>
          <w:bCs/>
          <w:color w:val="000000" w:themeColor="text1"/>
          <w:szCs w:val="24"/>
        </w:rPr>
        <w:t xml:space="preserve"> </w:t>
      </w:r>
      <w:r w:rsidR="00005F33" w:rsidRPr="00EF2707">
        <w:rPr>
          <w:rFonts w:cs="Times New Roman"/>
          <w:color w:val="000000" w:themeColor="text1"/>
          <w:szCs w:val="24"/>
        </w:rPr>
        <w:t>Užsakovui paprašius, Rangovas pateikia dokumentus patvirtinančius, kad,</w:t>
      </w:r>
      <w:r w:rsidR="00005F33" w:rsidRPr="00EF2707">
        <w:rPr>
          <w:rFonts w:cs="Times New Roman"/>
          <w:b/>
          <w:bCs/>
          <w:color w:val="000000" w:themeColor="text1"/>
          <w:szCs w:val="24"/>
        </w:rPr>
        <w:t xml:space="preserve"> </w:t>
      </w:r>
      <w:r w:rsidR="00005F33" w:rsidRPr="00EF2707">
        <w:rPr>
          <w:rFonts w:cs="Times New Roman"/>
          <w:color w:val="000000" w:themeColor="text1"/>
          <w:szCs w:val="24"/>
        </w:rPr>
        <w:t>vykdydamas Darbus taikys Sutarties 6.2.19. punkto reikalavimus (dokumentai turi galioti visą sutarties vykdymo laikotarpį). Rangovui nepateikus šių dokumentų ar pateiktų dokumentų galiojimo laikas yra pasibaigęs, šis įsipareigojimų pažeidimas laikomas esminiu, kaip nurodyta Sutarties 10.4 punkte</w:t>
      </w:r>
      <w:r w:rsidR="00005F33" w:rsidRPr="00EF2707">
        <w:rPr>
          <w:rFonts w:cs="Times New Roman"/>
          <w:b/>
          <w:bCs/>
          <w:color w:val="000000" w:themeColor="text1"/>
          <w:szCs w:val="24"/>
        </w:rPr>
        <w:t>.</w:t>
      </w:r>
    </w:p>
    <w:p w14:paraId="40A8D802" w14:textId="30A74BE7" w:rsidR="0018509C" w:rsidRDefault="0018509C" w:rsidP="00005F33">
      <w:pPr>
        <w:ind w:firstLine="567"/>
        <w:jc w:val="both"/>
        <w:rPr>
          <w:rFonts w:cs="Times New Roman"/>
          <w:b/>
          <w:bCs/>
          <w:color w:val="000000" w:themeColor="text1"/>
          <w:szCs w:val="24"/>
        </w:rPr>
      </w:pPr>
      <w:r w:rsidRPr="00EF2707">
        <w:rPr>
          <w:rFonts w:cs="Times New Roman"/>
          <w:color w:val="000000" w:themeColor="text1"/>
          <w:szCs w:val="24"/>
        </w:rPr>
        <w:t>6.2.</w:t>
      </w:r>
      <w:r w:rsidR="0052681C" w:rsidRPr="00EF2707">
        <w:rPr>
          <w:rFonts w:cs="Times New Roman"/>
          <w:color w:val="000000" w:themeColor="text1"/>
          <w:szCs w:val="24"/>
        </w:rPr>
        <w:t>2</w:t>
      </w:r>
      <w:r w:rsidR="00FD7790" w:rsidRPr="00EF2707">
        <w:rPr>
          <w:rFonts w:cs="Times New Roman"/>
          <w:color w:val="000000" w:themeColor="text1"/>
          <w:szCs w:val="24"/>
        </w:rPr>
        <w:t>1</w:t>
      </w:r>
      <w:r w:rsidRPr="00EF2707">
        <w:rPr>
          <w:rFonts w:cs="Times New Roman"/>
          <w:color w:val="000000" w:themeColor="text1"/>
          <w:szCs w:val="24"/>
        </w:rPr>
        <w:t xml:space="preserve">. </w:t>
      </w:r>
      <w:r w:rsidR="00005F33" w:rsidRPr="00EF2707">
        <w:rPr>
          <w:rFonts w:cs="Times New Roman"/>
          <w:color w:val="000000" w:themeColor="text1"/>
          <w:szCs w:val="24"/>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Sutartyje numatytą terminą, Rangovas apmoka papildomas elektroninio statybos žurnalo išlaidas savo sąskaita. Šių Sutarties nuostatų pažeidimas</w:t>
      </w:r>
      <w:r w:rsidR="00005F33" w:rsidRPr="00EF2707">
        <w:rPr>
          <w:rFonts w:cs="Times New Roman"/>
          <w:b/>
          <w:bCs/>
          <w:color w:val="000000" w:themeColor="text1"/>
          <w:szCs w:val="24"/>
        </w:rPr>
        <w:t xml:space="preserve"> laikomas esminiu Sutarties pažeidimu.</w:t>
      </w:r>
    </w:p>
    <w:p w14:paraId="1D17AD9E" w14:textId="306C51ED" w:rsidR="00EF2707" w:rsidRDefault="00EF2707" w:rsidP="00005F33">
      <w:pPr>
        <w:ind w:firstLine="567"/>
        <w:jc w:val="both"/>
        <w:rPr>
          <w:rFonts w:cs="Times New Roman"/>
          <w:b/>
          <w:bCs/>
          <w:color w:val="000000" w:themeColor="text1"/>
          <w:szCs w:val="24"/>
        </w:rPr>
      </w:pPr>
    </w:p>
    <w:p w14:paraId="468FCE88" w14:textId="15F324A8" w:rsidR="00EF2707" w:rsidRDefault="00EF2707" w:rsidP="00005F33">
      <w:pPr>
        <w:ind w:firstLine="567"/>
        <w:jc w:val="both"/>
        <w:rPr>
          <w:rFonts w:cs="Times New Roman"/>
          <w:b/>
          <w:bCs/>
          <w:color w:val="000000" w:themeColor="text1"/>
          <w:szCs w:val="24"/>
        </w:rPr>
      </w:pPr>
    </w:p>
    <w:p w14:paraId="2BD1EE11" w14:textId="2FA6BC06" w:rsidR="00EF2707" w:rsidRDefault="00EF2707" w:rsidP="00005F33">
      <w:pPr>
        <w:ind w:firstLine="567"/>
        <w:jc w:val="both"/>
        <w:rPr>
          <w:rFonts w:cs="Times New Roman"/>
          <w:b/>
          <w:bCs/>
          <w:color w:val="000000" w:themeColor="text1"/>
          <w:szCs w:val="24"/>
        </w:rPr>
      </w:pPr>
    </w:p>
    <w:p w14:paraId="2A87EE59" w14:textId="77777777" w:rsidR="00EF2707" w:rsidRPr="00EF2707" w:rsidRDefault="00EF2707" w:rsidP="00005F33">
      <w:pPr>
        <w:ind w:firstLine="567"/>
        <w:jc w:val="both"/>
        <w:rPr>
          <w:rFonts w:cs="Times New Roman"/>
          <w:b/>
          <w:bCs/>
          <w:color w:val="000000" w:themeColor="text1"/>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lastRenderedPageBreak/>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w:t>
      </w:r>
      <w:r w:rsidR="0018509C">
        <w:rPr>
          <w:rFonts w:cs="Times New Roman"/>
          <w:szCs w:val="24"/>
        </w:rPr>
        <w:lastRenderedPageBreak/>
        <w:t xml:space="preserve">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42B33B5"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5521B">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41A96915" w14:textId="3362E77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6</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4CC98C5C"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7</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75EF5836" w:rsidR="00EC059F" w:rsidRDefault="00EC059F" w:rsidP="00EC059F">
      <w:pPr>
        <w:numPr>
          <w:ilvl w:val="12"/>
          <w:numId w:val="0"/>
        </w:numPr>
        <w:ind w:firstLine="567"/>
        <w:jc w:val="both"/>
        <w:rPr>
          <w:rFonts w:cs="Times New Roman"/>
          <w:szCs w:val="24"/>
        </w:rPr>
      </w:pPr>
      <w:r>
        <w:rPr>
          <w:color w:val="000000"/>
        </w:rPr>
        <w:lastRenderedPageBreak/>
        <w:t>1</w:t>
      </w:r>
      <w:r w:rsidR="00EB07D6">
        <w:rPr>
          <w:color w:val="000000"/>
        </w:rPr>
        <w:t>0</w:t>
      </w:r>
      <w:r>
        <w:rPr>
          <w:color w:val="000000"/>
        </w:rPr>
        <w:t>.5</w:t>
      </w:r>
      <w:r w:rsidRPr="00275504">
        <w:rPr>
          <w:color w:val="000000"/>
        </w:rPr>
        <w:t>.</w:t>
      </w:r>
      <w:r w:rsidR="00EF2707">
        <w:rPr>
          <w:color w:val="000000"/>
        </w:rPr>
        <w:t>8</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 xml:space="preserve">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w:t>
      </w:r>
      <w:r w:rsidR="00260D7A">
        <w:rPr>
          <w:rFonts w:eastAsia="Arial"/>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lastRenderedPageBreak/>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4766B9CB"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366576" w:rsidRPr="00DD54AE">
        <w:rPr>
          <w:rFonts w:eastAsia="Calibri" w:cs="Times New Roman"/>
          <w:szCs w:val="24"/>
        </w:rPr>
        <w:t>P</w:t>
      </w:r>
      <w:r w:rsidR="001F105D" w:rsidRPr="00DD54AE">
        <w:rPr>
          <w:kern w:val="2"/>
          <w:szCs w:val="24"/>
          <w14:ligatures w14:val="standardContextual"/>
        </w:rPr>
        <w:t>rojektas, 1 priedas, skaitmeninis dokumentas</w:t>
      </w:r>
      <w:r w:rsidR="002D6512">
        <w:rPr>
          <w:kern w:val="2"/>
          <w:szCs w:val="24"/>
          <w14:ligatures w14:val="standardContextual"/>
        </w:rPr>
        <w:t>.</w:t>
      </w:r>
    </w:p>
    <w:p w14:paraId="6015C5C5" w14:textId="5A8FD891"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w:t>
      </w:r>
      <w:r w:rsidR="00D57E69">
        <w:rPr>
          <w:kern w:val="2"/>
          <w:szCs w:val="24"/>
          <w14:ligatures w14:val="standardContextual"/>
        </w:rPr>
        <w:t>os</w:t>
      </w:r>
      <w:r w:rsidR="001F105D" w:rsidRPr="00DD54AE">
        <w:rPr>
          <w:kern w:val="2"/>
          <w:szCs w:val="24"/>
          <w14:ligatures w14:val="standardContextual"/>
        </w:rPr>
        <w:t xml:space="preserve">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35038454" w14:textId="45A79EEE" w:rsidR="009D4562" w:rsidRPr="009D4562" w:rsidRDefault="009D4562" w:rsidP="009D4562">
      <w:pPr>
        <w:ind w:firstLine="567"/>
        <w:jc w:val="both"/>
        <w:rPr>
          <w:rFonts w:eastAsia="Times New Roman" w:cs="Times New Roman"/>
          <w:b/>
          <w:bCs/>
          <w:kern w:val="1"/>
          <w:szCs w:val="24"/>
          <w:lang w:eastAsia="hi-IN" w:bidi="hi-IN"/>
        </w:rPr>
      </w:pPr>
      <w:r w:rsidRPr="009D4562">
        <w:rPr>
          <w:rFonts w:eastAsia="Times New Roman" w:cs="Times New Roman"/>
          <w:b/>
          <w:bCs/>
          <w:kern w:val="1"/>
          <w:szCs w:val="24"/>
          <w:lang w:eastAsia="hi-IN" w:bidi="hi-IN"/>
        </w:rPr>
        <w:t>Kėdainių sporto centras</w:t>
      </w:r>
      <w:r w:rsidRPr="009D4562">
        <w:rPr>
          <w:rFonts w:eastAsia="Times New Roman" w:cs="Times New Roman"/>
          <w:b/>
          <w:bCs/>
          <w:kern w:val="1"/>
          <w:szCs w:val="24"/>
          <w:lang w:eastAsia="hi-IN" w:bidi="hi-IN"/>
        </w:rPr>
        <w:tab/>
      </w:r>
      <w:r w:rsidRPr="009D4562">
        <w:rPr>
          <w:rFonts w:eastAsia="Times New Roman" w:cs="Times New Roman"/>
          <w:b/>
          <w:bCs/>
          <w:kern w:val="1"/>
          <w:szCs w:val="24"/>
          <w:lang w:eastAsia="hi-IN" w:bidi="hi-IN"/>
        </w:rPr>
        <w:tab/>
      </w:r>
    </w:p>
    <w:p w14:paraId="62F8566B" w14:textId="4A88F0E5"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 xml:space="preserve">Įm. kodas </w:t>
      </w:r>
      <w:r w:rsidRPr="009D4562">
        <w:rPr>
          <w:rFonts w:eastAsia="Times New Roman" w:cs="Times New Roman"/>
          <w:szCs w:val="24"/>
          <w:lang w:eastAsia="en-US"/>
        </w:rPr>
        <w:t>191015760</w:t>
      </w:r>
      <w:r w:rsidRPr="009D4562">
        <w:rPr>
          <w:rFonts w:eastAsia="Times New Roman" w:cs="Times New Roman"/>
          <w:szCs w:val="24"/>
          <w:lang w:eastAsia="en-US"/>
        </w:rPr>
        <w:tab/>
      </w:r>
      <w:r w:rsidRPr="009D4562">
        <w:rPr>
          <w:rFonts w:eastAsia="Times New Roman" w:cs="Times New Roman"/>
          <w:szCs w:val="24"/>
          <w:lang w:eastAsia="en-US"/>
        </w:rPr>
        <w:tab/>
      </w:r>
    </w:p>
    <w:p w14:paraId="6C1820C8" w14:textId="028E5245" w:rsidR="009D4562" w:rsidRPr="009D4562" w:rsidRDefault="009D4562" w:rsidP="009D4562">
      <w:pPr>
        <w:ind w:firstLine="567"/>
        <w:jc w:val="both"/>
        <w:rPr>
          <w:rFonts w:eastAsia="Times New Roman" w:cs="Times New Roman"/>
          <w:kern w:val="1"/>
          <w:szCs w:val="24"/>
          <w:lang w:eastAsia="hi-IN" w:bidi="hi-IN"/>
        </w:rPr>
      </w:pPr>
      <w:r w:rsidRPr="009D4562">
        <w:rPr>
          <w:rFonts w:eastAsia="Times New Roman" w:cs="Times New Roman"/>
          <w:kern w:val="1"/>
          <w:szCs w:val="24"/>
          <w:lang w:eastAsia="hi-IN" w:bidi="hi-IN"/>
        </w:rPr>
        <w:t>Parko g. 4, Vilainių k.,</w:t>
      </w:r>
      <w:r w:rsidRPr="009D4562">
        <w:rPr>
          <w:rFonts w:eastAsia="Times New Roman" w:cs="Times New Roman"/>
          <w:kern w:val="1"/>
          <w:szCs w:val="24"/>
          <w:lang w:eastAsia="hi-IN" w:bidi="hi-IN"/>
        </w:rPr>
        <w:tab/>
      </w:r>
      <w:r w:rsidRPr="009D4562">
        <w:rPr>
          <w:rFonts w:eastAsia="Times New Roman" w:cs="Times New Roman"/>
          <w:kern w:val="1"/>
          <w:szCs w:val="24"/>
          <w:lang w:eastAsia="hi-IN" w:bidi="hi-IN"/>
        </w:rPr>
        <w:tab/>
      </w:r>
    </w:p>
    <w:p w14:paraId="74AE97A8" w14:textId="28F6C2B6"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kern w:val="1"/>
          <w:szCs w:val="24"/>
          <w:lang w:eastAsia="hi-IN" w:bidi="hi-IN"/>
        </w:rPr>
        <w:t>Kėdainių r. sav.</w:t>
      </w:r>
      <w:r w:rsidRPr="009D4562">
        <w:rPr>
          <w:rFonts w:eastAsia="Times New Roman" w:cs="Times New Roman"/>
          <w:bCs/>
          <w:kern w:val="1"/>
          <w:szCs w:val="24"/>
          <w:lang w:eastAsia="hi-IN" w:bidi="hi-IN"/>
        </w:rPr>
        <w:tab/>
        <w:t xml:space="preserve">                                           </w:t>
      </w:r>
      <w:r w:rsidRPr="009D4562">
        <w:rPr>
          <w:rFonts w:eastAsia="Times New Roman" w:cs="Times New Roman"/>
          <w:bCs/>
          <w:kern w:val="1"/>
          <w:szCs w:val="24"/>
          <w:lang w:eastAsia="hi-IN" w:bidi="hi-IN"/>
        </w:rPr>
        <w:tab/>
        <w:t xml:space="preserve">           </w:t>
      </w:r>
    </w:p>
    <w:p w14:paraId="68FD03BC" w14:textId="5F3E6862"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Tel.: +370 </w:t>
      </w: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4D853F4D" w14:textId="77777777" w:rsidR="009D4562" w:rsidRPr="009D4562" w:rsidRDefault="009D4562" w:rsidP="009D4562">
      <w:pPr>
        <w:tabs>
          <w:tab w:val="left" w:pos="4820"/>
        </w:tabs>
        <w:rPr>
          <w:rFonts w:eastAsia="Times New Roman" w:cs="Times New Roman"/>
          <w:bCs/>
          <w:kern w:val="1"/>
          <w:szCs w:val="24"/>
          <w:lang w:eastAsia="hi-IN" w:bidi="hi-IN"/>
        </w:rPr>
      </w:pPr>
    </w:p>
    <w:p w14:paraId="0BDA5E6B" w14:textId="77777777" w:rsidR="009D4562" w:rsidRPr="009D4562" w:rsidRDefault="009D4562" w:rsidP="009D4562">
      <w:pPr>
        <w:rPr>
          <w:rFonts w:eastAsia="Times New Roman" w:cs="Times New Roman"/>
          <w:kern w:val="1"/>
          <w:szCs w:val="24"/>
          <w:lang w:eastAsia="hi-IN" w:bidi="hi-IN"/>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D4562" w:rsidRPr="009D4562" w14:paraId="1FC0E1EA" w14:textId="77777777" w:rsidTr="00982694">
        <w:trPr>
          <w:trHeight w:val="928"/>
        </w:trPr>
        <w:tc>
          <w:tcPr>
            <w:tcW w:w="4680" w:type="dxa"/>
          </w:tcPr>
          <w:p w14:paraId="5364E27F" w14:textId="5B3DF04C" w:rsidR="009D4562" w:rsidRPr="009D4562" w:rsidRDefault="009D4562" w:rsidP="009D4562">
            <w:pPr>
              <w:ind w:firstLine="342"/>
              <w:jc w:val="both"/>
              <w:rPr>
                <w:rFonts w:eastAsia="Times New Roman" w:cs="Times New Roman"/>
                <w:kern w:val="1"/>
                <w:szCs w:val="24"/>
                <w:u w:val="single"/>
                <w:lang w:eastAsia="hi-IN" w:bidi="hi-IN"/>
              </w:rPr>
            </w:pPr>
          </w:p>
          <w:p w14:paraId="605201BE"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4519CD89" w14:textId="77777777" w:rsidR="009D4562" w:rsidRPr="009D4562" w:rsidRDefault="009D4562" w:rsidP="009D4562">
            <w:pPr>
              <w:ind w:firstLine="342"/>
              <w:rPr>
                <w:rFonts w:eastAsia="Times New Roman" w:cs="Times New Roman"/>
                <w:kern w:val="1"/>
                <w:szCs w:val="24"/>
                <w:lang w:eastAsia="hi-IN" w:bidi="hi-IN"/>
              </w:rPr>
            </w:pPr>
          </w:p>
          <w:p w14:paraId="09EECFBF" w14:textId="77777777" w:rsidR="009D4562" w:rsidRPr="009D4562" w:rsidRDefault="009D4562" w:rsidP="009D4562">
            <w:pPr>
              <w:ind w:firstLine="342"/>
              <w:rPr>
                <w:rFonts w:eastAsia="Times New Roman" w:cs="Times New Roman"/>
                <w:kern w:val="1"/>
                <w:szCs w:val="24"/>
                <w:lang w:eastAsia="hi-IN" w:bidi="hi-IN"/>
              </w:rPr>
            </w:pPr>
          </w:p>
          <w:p w14:paraId="29A49719" w14:textId="77777777" w:rsidR="009D4562" w:rsidRPr="009D4562" w:rsidRDefault="009D4562" w:rsidP="009D4562">
            <w:pPr>
              <w:ind w:firstLine="342"/>
              <w:rPr>
                <w:rFonts w:eastAsia="Times New Roman" w:cs="Times New Roman"/>
                <w:kern w:val="1"/>
                <w:szCs w:val="24"/>
                <w:lang w:eastAsia="hi-IN" w:bidi="hi-IN"/>
              </w:rPr>
            </w:pPr>
          </w:p>
          <w:p w14:paraId="2A456337"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c>
          <w:tcPr>
            <w:tcW w:w="4347" w:type="dxa"/>
          </w:tcPr>
          <w:p w14:paraId="1E1CE25B" w14:textId="77777777" w:rsidR="009D4562" w:rsidRDefault="009D4562" w:rsidP="009D4562">
            <w:pPr>
              <w:ind w:firstLine="345"/>
              <w:jc w:val="both"/>
              <w:rPr>
                <w:rFonts w:eastAsia="Times New Roman" w:cs="Times New Roman"/>
                <w:kern w:val="1"/>
                <w:szCs w:val="24"/>
                <w:vertAlign w:val="superscript"/>
                <w:lang w:eastAsia="hi-IN" w:bidi="hi-IN"/>
              </w:rPr>
            </w:pPr>
          </w:p>
          <w:p w14:paraId="56AF8F8D" w14:textId="7FCAB208"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282301FF" w14:textId="77777777" w:rsidR="009D4562" w:rsidRPr="009D4562" w:rsidRDefault="009D4562" w:rsidP="009D4562">
            <w:pPr>
              <w:ind w:firstLine="345"/>
              <w:jc w:val="both"/>
              <w:rPr>
                <w:rFonts w:eastAsia="Times New Roman" w:cs="Times New Roman"/>
                <w:kern w:val="1"/>
                <w:szCs w:val="24"/>
                <w:lang w:eastAsia="hi-IN" w:bidi="hi-IN"/>
              </w:rPr>
            </w:pPr>
          </w:p>
          <w:p w14:paraId="62104B15" w14:textId="77777777" w:rsidR="009D4562" w:rsidRPr="009D4562" w:rsidRDefault="009D4562" w:rsidP="009D4562">
            <w:pPr>
              <w:ind w:firstLine="345"/>
              <w:jc w:val="both"/>
              <w:rPr>
                <w:rFonts w:eastAsia="Times New Roman" w:cs="Times New Roman"/>
                <w:kern w:val="1"/>
                <w:szCs w:val="24"/>
                <w:lang w:eastAsia="hi-IN" w:bidi="hi-IN"/>
              </w:rPr>
            </w:pPr>
          </w:p>
          <w:p w14:paraId="261D4E5B" w14:textId="77777777" w:rsidR="009D4562" w:rsidRPr="009D4562" w:rsidRDefault="009D4562" w:rsidP="009D4562">
            <w:pPr>
              <w:ind w:firstLine="345"/>
              <w:jc w:val="both"/>
              <w:rPr>
                <w:rFonts w:eastAsia="Times New Roman" w:cs="Times New Roman"/>
                <w:kern w:val="1"/>
                <w:szCs w:val="24"/>
                <w:lang w:eastAsia="hi-IN" w:bidi="hi-IN"/>
              </w:rPr>
            </w:pPr>
          </w:p>
          <w:p w14:paraId="4D53B7D9" w14:textId="77777777"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r>
    </w:tbl>
    <w:p w14:paraId="62CD27FA" w14:textId="157E9AC0" w:rsidR="0018509C" w:rsidRPr="002E5E24" w:rsidRDefault="0018509C" w:rsidP="002D6512">
      <w:pPr>
        <w:rPr>
          <w:rFonts w:ascii="Calibri" w:eastAsia="Calibri" w:hAnsi="Calibri" w:cs="Times New Roman"/>
          <w:sz w:val="20"/>
          <w:lang w:eastAsia="en-US"/>
        </w:rPr>
      </w:pPr>
    </w:p>
    <w:sectPr w:rsidR="0018509C" w:rsidRPr="002E5E24" w:rsidSect="00012167">
      <w:pgSz w:w="11906" w:h="16838" w:code="9"/>
      <w:pgMar w:top="851" w:right="849"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panose1 w:val="00000000000000000000"/>
    <w:charset w:val="BA"/>
    <w:family w:val="roman"/>
    <w:notTrueType/>
    <w:pitch w:val="default"/>
    <w:sig w:usb0="00000005" w:usb1="00000000" w:usb2="00000000" w:usb3="00000000" w:csb0="0000008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7253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85334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5F33"/>
    <w:rsid w:val="00006E5D"/>
    <w:rsid w:val="00012167"/>
    <w:rsid w:val="00012724"/>
    <w:rsid w:val="00016309"/>
    <w:rsid w:val="00027DA0"/>
    <w:rsid w:val="000327EB"/>
    <w:rsid w:val="00033A7F"/>
    <w:rsid w:val="00035D7B"/>
    <w:rsid w:val="000A36A6"/>
    <w:rsid w:val="000A473C"/>
    <w:rsid w:val="000A6F9E"/>
    <w:rsid w:val="000B1526"/>
    <w:rsid w:val="000C3685"/>
    <w:rsid w:val="000C5944"/>
    <w:rsid w:val="000E1E58"/>
    <w:rsid w:val="000E78FD"/>
    <w:rsid w:val="00112A31"/>
    <w:rsid w:val="00115E9A"/>
    <w:rsid w:val="00127329"/>
    <w:rsid w:val="00136A0C"/>
    <w:rsid w:val="00140A8B"/>
    <w:rsid w:val="001422BD"/>
    <w:rsid w:val="00142FEB"/>
    <w:rsid w:val="00147C74"/>
    <w:rsid w:val="0018509C"/>
    <w:rsid w:val="00185320"/>
    <w:rsid w:val="00195494"/>
    <w:rsid w:val="001C3070"/>
    <w:rsid w:val="001C3EE0"/>
    <w:rsid w:val="001D28B6"/>
    <w:rsid w:val="001D7901"/>
    <w:rsid w:val="001E5DC8"/>
    <w:rsid w:val="001F105D"/>
    <w:rsid w:val="00206D42"/>
    <w:rsid w:val="002220A5"/>
    <w:rsid w:val="00222D69"/>
    <w:rsid w:val="0022355F"/>
    <w:rsid w:val="002271A0"/>
    <w:rsid w:val="002357F7"/>
    <w:rsid w:val="00245265"/>
    <w:rsid w:val="002537C6"/>
    <w:rsid w:val="00253A8B"/>
    <w:rsid w:val="00260D7A"/>
    <w:rsid w:val="0027448D"/>
    <w:rsid w:val="00275504"/>
    <w:rsid w:val="00277636"/>
    <w:rsid w:val="002B27CB"/>
    <w:rsid w:val="002B5AEE"/>
    <w:rsid w:val="002B7279"/>
    <w:rsid w:val="002C0C1D"/>
    <w:rsid w:val="002D6512"/>
    <w:rsid w:val="002E5B3C"/>
    <w:rsid w:val="002E5E24"/>
    <w:rsid w:val="002F642F"/>
    <w:rsid w:val="0030231A"/>
    <w:rsid w:val="0030252A"/>
    <w:rsid w:val="0031291A"/>
    <w:rsid w:val="003149CE"/>
    <w:rsid w:val="003214C6"/>
    <w:rsid w:val="00322F53"/>
    <w:rsid w:val="0032716B"/>
    <w:rsid w:val="00327B46"/>
    <w:rsid w:val="00336D0F"/>
    <w:rsid w:val="003371BA"/>
    <w:rsid w:val="00337A67"/>
    <w:rsid w:val="00340F3E"/>
    <w:rsid w:val="00343BBC"/>
    <w:rsid w:val="0035229D"/>
    <w:rsid w:val="00352E84"/>
    <w:rsid w:val="00361EA9"/>
    <w:rsid w:val="00366576"/>
    <w:rsid w:val="003775D4"/>
    <w:rsid w:val="003812DF"/>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07B91"/>
    <w:rsid w:val="005146A2"/>
    <w:rsid w:val="0052681C"/>
    <w:rsid w:val="00531B51"/>
    <w:rsid w:val="00542AF4"/>
    <w:rsid w:val="00550DFE"/>
    <w:rsid w:val="00556522"/>
    <w:rsid w:val="00556BAB"/>
    <w:rsid w:val="00566003"/>
    <w:rsid w:val="005709AD"/>
    <w:rsid w:val="00573FA4"/>
    <w:rsid w:val="00581311"/>
    <w:rsid w:val="00595E5A"/>
    <w:rsid w:val="005A53F7"/>
    <w:rsid w:val="005B1EA3"/>
    <w:rsid w:val="005C151A"/>
    <w:rsid w:val="006048DE"/>
    <w:rsid w:val="00614B00"/>
    <w:rsid w:val="006223AE"/>
    <w:rsid w:val="00627E87"/>
    <w:rsid w:val="006562C8"/>
    <w:rsid w:val="00662B72"/>
    <w:rsid w:val="00665FD5"/>
    <w:rsid w:val="00683056"/>
    <w:rsid w:val="0068635C"/>
    <w:rsid w:val="006A53E2"/>
    <w:rsid w:val="006B2640"/>
    <w:rsid w:val="006B3207"/>
    <w:rsid w:val="006B5985"/>
    <w:rsid w:val="006B5C7E"/>
    <w:rsid w:val="006C41FE"/>
    <w:rsid w:val="006D740C"/>
    <w:rsid w:val="006D7A26"/>
    <w:rsid w:val="006E21EE"/>
    <w:rsid w:val="006E5BB9"/>
    <w:rsid w:val="006E7141"/>
    <w:rsid w:val="007027CE"/>
    <w:rsid w:val="00710303"/>
    <w:rsid w:val="00717744"/>
    <w:rsid w:val="00732808"/>
    <w:rsid w:val="007376A6"/>
    <w:rsid w:val="00751CBF"/>
    <w:rsid w:val="00753B50"/>
    <w:rsid w:val="007633A9"/>
    <w:rsid w:val="00767BD8"/>
    <w:rsid w:val="0077460E"/>
    <w:rsid w:val="00776175"/>
    <w:rsid w:val="007A0D47"/>
    <w:rsid w:val="007A2332"/>
    <w:rsid w:val="007A448F"/>
    <w:rsid w:val="007D0A4E"/>
    <w:rsid w:val="007D362C"/>
    <w:rsid w:val="007D6D6C"/>
    <w:rsid w:val="007E3F19"/>
    <w:rsid w:val="007F07B4"/>
    <w:rsid w:val="0081508E"/>
    <w:rsid w:val="008445A0"/>
    <w:rsid w:val="00847555"/>
    <w:rsid w:val="00892E4B"/>
    <w:rsid w:val="008B2547"/>
    <w:rsid w:val="008B59FB"/>
    <w:rsid w:val="008E76DC"/>
    <w:rsid w:val="00912A11"/>
    <w:rsid w:val="0091740E"/>
    <w:rsid w:val="009174F7"/>
    <w:rsid w:val="00943673"/>
    <w:rsid w:val="00947FA5"/>
    <w:rsid w:val="009570BF"/>
    <w:rsid w:val="00977BAA"/>
    <w:rsid w:val="00982CD9"/>
    <w:rsid w:val="00987069"/>
    <w:rsid w:val="009A051B"/>
    <w:rsid w:val="009A6222"/>
    <w:rsid w:val="009B3FED"/>
    <w:rsid w:val="009C1C67"/>
    <w:rsid w:val="009D4562"/>
    <w:rsid w:val="009F0698"/>
    <w:rsid w:val="009F17F3"/>
    <w:rsid w:val="009F7434"/>
    <w:rsid w:val="00A11018"/>
    <w:rsid w:val="00A277B4"/>
    <w:rsid w:val="00A37677"/>
    <w:rsid w:val="00A40398"/>
    <w:rsid w:val="00A43F9E"/>
    <w:rsid w:val="00A55271"/>
    <w:rsid w:val="00A56C3D"/>
    <w:rsid w:val="00A6764B"/>
    <w:rsid w:val="00A73EE4"/>
    <w:rsid w:val="00A906FC"/>
    <w:rsid w:val="00A91A73"/>
    <w:rsid w:val="00AA379C"/>
    <w:rsid w:val="00AA624F"/>
    <w:rsid w:val="00AF3E9E"/>
    <w:rsid w:val="00AF4032"/>
    <w:rsid w:val="00B21C8B"/>
    <w:rsid w:val="00B234F7"/>
    <w:rsid w:val="00B30907"/>
    <w:rsid w:val="00B41CB1"/>
    <w:rsid w:val="00B51091"/>
    <w:rsid w:val="00B55B0F"/>
    <w:rsid w:val="00B678E6"/>
    <w:rsid w:val="00B70109"/>
    <w:rsid w:val="00B711AB"/>
    <w:rsid w:val="00B74351"/>
    <w:rsid w:val="00B93010"/>
    <w:rsid w:val="00B944E8"/>
    <w:rsid w:val="00B9650F"/>
    <w:rsid w:val="00BA6E4B"/>
    <w:rsid w:val="00BB72C5"/>
    <w:rsid w:val="00BD1F7A"/>
    <w:rsid w:val="00C03B36"/>
    <w:rsid w:val="00C073BA"/>
    <w:rsid w:val="00C26C37"/>
    <w:rsid w:val="00C33EAE"/>
    <w:rsid w:val="00C35338"/>
    <w:rsid w:val="00C46610"/>
    <w:rsid w:val="00C5023E"/>
    <w:rsid w:val="00C8681C"/>
    <w:rsid w:val="00CD528E"/>
    <w:rsid w:val="00D072C2"/>
    <w:rsid w:val="00D204BF"/>
    <w:rsid w:val="00D31288"/>
    <w:rsid w:val="00D34AD9"/>
    <w:rsid w:val="00D36513"/>
    <w:rsid w:val="00D41EFE"/>
    <w:rsid w:val="00D57E69"/>
    <w:rsid w:val="00D61822"/>
    <w:rsid w:val="00D64350"/>
    <w:rsid w:val="00D662D5"/>
    <w:rsid w:val="00D7308C"/>
    <w:rsid w:val="00D7313B"/>
    <w:rsid w:val="00D77EA1"/>
    <w:rsid w:val="00D86116"/>
    <w:rsid w:val="00D87AAB"/>
    <w:rsid w:val="00DC0A82"/>
    <w:rsid w:val="00DC4FA7"/>
    <w:rsid w:val="00DD54AE"/>
    <w:rsid w:val="00DE3B07"/>
    <w:rsid w:val="00E1344A"/>
    <w:rsid w:val="00E31155"/>
    <w:rsid w:val="00E4720E"/>
    <w:rsid w:val="00E64EAE"/>
    <w:rsid w:val="00E87DAA"/>
    <w:rsid w:val="00E9597E"/>
    <w:rsid w:val="00EA1586"/>
    <w:rsid w:val="00EA636D"/>
    <w:rsid w:val="00EB07D6"/>
    <w:rsid w:val="00EC059F"/>
    <w:rsid w:val="00EC0818"/>
    <w:rsid w:val="00EE3A47"/>
    <w:rsid w:val="00EF0352"/>
    <w:rsid w:val="00EF2707"/>
    <w:rsid w:val="00F04701"/>
    <w:rsid w:val="00F11120"/>
    <w:rsid w:val="00F11A76"/>
    <w:rsid w:val="00F30154"/>
    <w:rsid w:val="00F3312B"/>
    <w:rsid w:val="00F44B52"/>
    <w:rsid w:val="00F53A94"/>
    <w:rsid w:val="00F5521B"/>
    <w:rsid w:val="00F832E4"/>
    <w:rsid w:val="00F921A4"/>
    <w:rsid w:val="00FA40D4"/>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paragraph" w:styleId="HTMLiankstoformatuotas">
    <w:name w:val="HTML Preformatted"/>
    <w:basedOn w:val="prastasis"/>
    <w:link w:val="HTMLiankstoformatuotasDiagrama"/>
    <w:uiPriority w:val="99"/>
    <w:semiHidden/>
    <w:unhideWhenUsed/>
    <w:rsid w:val="00D072C2"/>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D072C2"/>
    <w:rPr>
      <w:rFonts w:ascii="Consolas" w:eastAsia="Lucida Sans Unicode" w:hAnsi="Consolas" w:cs="Times New Roman Bold"/>
      <w:kern w:val="0"/>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26883</Words>
  <Characters>15324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Mantas Kučinskas</cp:lastModifiedBy>
  <cp:revision>2</cp:revision>
  <dcterms:created xsi:type="dcterms:W3CDTF">2026-03-17T07:49:00Z</dcterms:created>
  <dcterms:modified xsi:type="dcterms:W3CDTF">2026-03-17T07:49:00Z</dcterms:modified>
</cp:coreProperties>
</file>