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lineRule="auto" w:line="276" w:before="0" w:after="200"/>
        <w:ind w:left="567" w:right="567"/>
        <w:jc w:val="right"/>
        <w:rPr>
          <w:rFonts w:cs="Times New Roman"/>
          <w:szCs w:val="24"/>
        </w:rPr>
      </w:pPr>
      <w:r>
        <w:rPr>
          <w:rFonts w:cs="Times New Roman"/>
          <w:szCs w:val="24"/>
        </w:rPr>
      </w:r>
    </w:p>
    <w:p>
      <w:pPr>
        <w:pStyle w:val="Standard"/>
        <w:ind w:left="567" w:right="567"/>
        <w:jc w:val="right"/>
        <w:rPr/>
      </w:pPr>
      <w:r>
        <w:rPr/>
      </w:r>
    </w:p>
    <w:p>
      <w:pPr>
        <w:pStyle w:val="Prastasis1"/>
        <w:spacing w:lineRule="auto" w:line="240" w:before="0" w:after="120"/>
        <w:ind w:left="1138" w:right="562"/>
        <w:jc w:val="center"/>
        <w:rPr>
          <w:rFonts w:eastAsia="Times New Roman" w:cs="Times New Roman"/>
          <w:b/>
          <w:bCs/>
          <w:color w:val="auto"/>
          <w:lang w:val="lt-LT"/>
        </w:rPr>
      </w:pPr>
      <w:r>
        <w:rPr>
          <w:rFonts w:eastAsia="Times New Roman" w:cs="Times New Roman"/>
          <w:b/>
          <w:bCs/>
          <w:color w:val="auto"/>
          <w:lang w:val="lt-LT"/>
        </w:rPr>
        <w:t>TECHNINĖ SPECIFIKACIJA</w:t>
      </w:r>
    </w:p>
    <w:p>
      <w:pPr>
        <w:pStyle w:val="Prastasis1"/>
        <w:spacing w:lineRule="auto" w:line="240" w:before="0" w:after="120"/>
        <w:ind w:left="1138" w:right="562"/>
        <w:jc w:val="center"/>
        <w:rPr>
          <w:rFonts w:eastAsia="Times New Roman" w:cs="Times New Roman"/>
          <w:b/>
          <w:bCs/>
          <w:color w:val="auto"/>
          <w:lang w:val="lt-LT"/>
        </w:rPr>
      </w:pPr>
      <w:r>
        <w:rPr>
          <w:rFonts w:eastAsia="Times New Roman" w:cs="Times New Roman"/>
          <w:b/>
          <w:bCs/>
          <w:color w:val="auto"/>
          <w:lang w:val="lt-LT"/>
        </w:rPr>
        <w:t>VEIKSMINGUMO VERTINIMO METODIKOS SUKŪRIMAS: MOKYMAI SKIRTINGOMS SAVIVALDYBIŲ INSTITUCIJOMS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I SKYRIUS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BENDROSIOS NUOSTATOS</w:t>
      </w:r>
    </w:p>
    <w:p>
      <w:pPr>
        <w:pStyle w:val="Standard"/>
        <w:widowControl w:val="false"/>
        <w:numPr>
          <w:ilvl w:val="0"/>
          <w:numId w:val="1"/>
        </w:numPr>
        <w:tabs>
          <w:tab w:val="clear" w:pos="720"/>
          <w:tab w:val="left" w:pos="851" w:leader="none"/>
          <w:tab w:val="left" w:pos="993" w:leader="none"/>
        </w:tabs>
        <w:jc w:val="both"/>
        <w:rPr>
          <w:color w:themeColor="text1" w:val="000000"/>
        </w:rPr>
      </w:pPr>
      <w:r>
        <w:rPr>
          <w:color w:themeColor="text1" w:val="000000"/>
        </w:rPr>
        <w:t>Perkančioji organizacija – Biudžetinė įstaiga Higienos institutas, kodas 111958286, Studentų g. 45a, 08107 Vilnius (toliau – Perkančioji organizacija).</w:t>
      </w:r>
    </w:p>
    <w:p>
      <w:pPr>
        <w:pStyle w:val="Standard"/>
        <w:widowControl w:val="false"/>
        <w:numPr>
          <w:ilvl w:val="0"/>
          <w:numId w:val="1"/>
        </w:numPr>
        <w:tabs>
          <w:tab w:val="clear" w:pos="720"/>
          <w:tab w:val="left" w:pos="851" w:leader="none"/>
          <w:tab w:val="left" w:pos="993" w:leader="none"/>
        </w:tabs>
        <w:jc w:val="both"/>
        <w:rPr>
          <w:color w:themeColor="text1" w:val="000000"/>
        </w:rPr>
      </w:pPr>
      <w:r>
        <w:rPr>
          <w:color w:themeColor="text1" w:val="000000"/>
        </w:rPr>
        <w:t>Pirkimas skirtas įgyvendinti projekto 09-025-P-0001 „Psichikos sveikatos stiprinimas, stigmatizavimo mažinimas, savižudybių prevencija Vidurio, vakarų Lietuvos ir Sostinės regione“ veiklas.</w:t>
      </w:r>
    </w:p>
    <w:p>
      <w:pPr>
        <w:pStyle w:val="ListParagraph"/>
        <w:widowControl w:val="false"/>
        <w:numPr>
          <w:ilvl w:val="0"/>
          <w:numId w:val="1"/>
        </w:numPr>
        <w:tabs>
          <w:tab w:val="clear" w:pos="720"/>
          <w:tab w:val="left" w:pos="851" w:leader="none"/>
          <w:tab w:val="left" w:pos="993" w:leader="none"/>
        </w:tabs>
        <w:spacing w:lineRule="auto" w:line="240" w:before="0" w:after="0"/>
        <w:contextualSpacing/>
        <w:jc w:val="both"/>
        <w:rPr>
          <w:rFonts w:eastAsia="Times New Roman" w:cs="Times New Roman"/>
          <w:color w:themeColor="text1" w:val="000000"/>
          <w:lang w:val="lt-LT"/>
        </w:rPr>
      </w:pPr>
      <w:r>
        <w:rPr>
          <w:rFonts w:eastAsia="Times New Roman" w:cs="Times New Roman"/>
          <w:color w:themeColor="text1" w:val="000000"/>
          <w:lang w:val="lt-LT"/>
        </w:rPr>
        <w:t>Perkamų paslaugų tikslas – sukurti mokymų skirtingoms savivaldybių institucijoms veiksmingumo vertinimo tyrimo metodiką, įvykdyti tyrimą ir pagal gautus rezultatus atlikti programos korekcijas bei adaptaciją.</w:t>
      </w:r>
    </w:p>
    <w:p>
      <w:pPr>
        <w:pStyle w:val="ListParagraph"/>
        <w:widowControl w:val="false"/>
        <w:numPr>
          <w:ilvl w:val="0"/>
          <w:numId w:val="1"/>
        </w:numPr>
        <w:tabs>
          <w:tab w:val="clear" w:pos="720"/>
          <w:tab w:val="left" w:pos="851" w:leader="none"/>
          <w:tab w:val="left" w:pos="993" w:leader="none"/>
        </w:tabs>
        <w:spacing w:lineRule="auto" w:line="240" w:before="0" w:after="0"/>
        <w:contextualSpacing/>
        <w:jc w:val="both"/>
        <w:rPr>
          <w:rFonts w:cs="Times New Roman"/>
        </w:rPr>
      </w:pPr>
      <w:r>
        <w:rPr>
          <w:rFonts w:eastAsia="Times New Roman" w:cs="Times New Roman"/>
          <w:color w:themeColor="text1" w:val="000000"/>
          <w:lang w:val="lt-LT"/>
        </w:rPr>
        <w:t>Sutarties galiojimo terminas – 28 mėn. nuo sutarties įsigaliojimo dienos.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II SKYRIUS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PIRKIMO OBJEKTAS</w:t>
      </w:r>
    </w:p>
    <w:p>
      <w:pPr>
        <w:pStyle w:val="ListParagraph"/>
        <w:widowControl w:val="false"/>
        <w:numPr>
          <w:ilvl w:val="0"/>
          <w:numId w:val="1"/>
        </w:numPr>
        <w:tabs>
          <w:tab w:val="clear" w:pos="720"/>
          <w:tab w:val="left" w:pos="851" w:leader="none"/>
          <w:tab w:val="left" w:pos="993" w:leader="none"/>
        </w:tabs>
        <w:spacing w:lineRule="auto" w:line="240" w:before="0" w:after="0"/>
        <w:contextualSpacing/>
        <w:jc w:val="both"/>
        <w:rPr>
          <w:rFonts w:eastAsia="Times New Roman" w:cs="Times New Roman"/>
          <w:color w:themeColor="text1" w:val="000000"/>
          <w:szCs w:val="24"/>
          <w:lang w:val="lt-LT"/>
        </w:rPr>
      </w:pPr>
      <w:r>
        <w:rPr>
          <w:rFonts w:eastAsia="Times New Roman" w:cs="Times New Roman"/>
          <w:color w:themeColor="text1" w:val="000000"/>
          <w:szCs w:val="24"/>
          <w:lang w:val="lt-LT"/>
        </w:rPr>
        <w:t xml:space="preserve">Pirkimo objektas – Veiksmingumo vertinimo metodikos sukūrimas: mokymai skirtingoms savivaldybių institucijoms (toliau – Tyrimas). </w:t>
      </w:r>
    </w:p>
    <w:p>
      <w:pPr>
        <w:pStyle w:val="ListParagraph"/>
        <w:widowControl w:val="false"/>
        <w:numPr>
          <w:ilvl w:val="0"/>
          <w:numId w:val="1"/>
        </w:numPr>
        <w:tabs>
          <w:tab w:val="clear" w:pos="720"/>
          <w:tab w:val="left" w:pos="851" w:leader="none"/>
          <w:tab w:val="left" w:pos="993" w:leader="none"/>
        </w:tabs>
        <w:spacing w:lineRule="auto" w:line="240" w:before="0" w:after="0"/>
        <w:contextualSpacing/>
        <w:jc w:val="both"/>
        <w:rPr>
          <w:rFonts w:eastAsia="Times New Roman" w:cs="Times New Roman"/>
          <w:color w:themeColor="text1" w:val="000000"/>
          <w:szCs w:val="24"/>
        </w:rPr>
      </w:pPr>
      <w:r>
        <w:rPr>
          <w:rFonts w:eastAsia="Times New Roman" w:cs="Times New Roman"/>
          <w:color w:themeColor="text1" w:val="000000"/>
          <w:szCs w:val="24"/>
        </w:rPr>
        <w:t xml:space="preserve">Paslauga apima: </w:t>
      </w:r>
    </w:p>
    <w:p>
      <w:pPr>
        <w:pStyle w:val="ListParagraph"/>
        <w:widowControl w:val="false"/>
        <w:numPr>
          <w:ilvl w:val="1"/>
          <w:numId w:val="1"/>
        </w:numPr>
        <w:tabs>
          <w:tab w:val="clear" w:pos="720"/>
          <w:tab w:val="left" w:pos="851" w:leader="none"/>
          <w:tab w:val="left" w:pos="993" w:leader="none"/>
        </w:tabs>
        <w:spacing w:lineRule="auto" w:line="240" w:before="0" w:after="0"/>
        <w:contextualSpacing/>
        <w:jc w:val="both"/>
        <w:rPr>
          <w:rFonts w:eastAsia="Times New Roman" w:cs="Times New Roman"/>
          <w:color w:themeColor="text1" w:val="000000"/>
          <w:szCs w:val="24"/>
          <w:lang w:val="lt-LT"/>
        </w:rPr>
      </w:pPr>
      <w:r>
        <w:rPr>
          <w:rFonts w:eastAsia="Times New Roman" w:cs="Times New Roman"/>
          <w:color w:themeColor="text1" w:val="000000"/>
          <w:szCs w:val="24"/>
          <w:lang w:val="lt-LT"/>
        </w:rPr>
        <w:t xml:space="preserve"> </w:t>
      </w:r>
      <w:r>
        <w:rPr>
          <w:rFonts w:eastAsia="Times New Roman" w:cs="Times New Roman"/>
          <w:color w:themeColor="text1" w:val="000000"/>
          <w:szCs w:val="24"/>
          <w:lang w:val="lt-LT"/>
        </w:rPr>
        <w:t>Tyrimo metodikos parengimą – tai sistemingas procesas, kurio metu suplanuojama, kaip bus atliekamas tyrimas: apibrėžiami tyrimo tikslai, uždaviniai, imtis, duomenų rinkimo ir analizės metodai bei etiniai principai. Parengta metodika užtikrina tyrimo pagrįstumą, patikimumą ir rezultatų pritaikomumą praktikoje. </w:t>
      </w:r>
    </w:p>
    <w:p>
      <w:pPr>
        <w:pStyle w:val="ListParagraph"/>
        <w:widowControl w:val="false"/>
        <w:numPr>
          <w:ilvl w:val="1"/>
          <w:numId w:val="1"/>
        </w:numPr>
        <w:tabs>
          <w:tab w:val="clear" w:pos="720"/>
          <w:tab w:val="left" w:pos="851" w:leader="none"/>
          <w:tab w:val="left" w:pos="993" w:leader="none"/>
        </w:tabs>
        <w:spacing w:lineRule="auto" w:line="240" w:before="0" w:after="0"/>
        <w:contextualSpacing/>
        <w:jc w:val="both"/>
        <w:rPr>
          <w:rFonts w:eastAsia="Times New Roman" w:cs="Times New Roman"/>
          <w:color w:themeColor="text1" w:val="000000"/>
          <w:lang w:val="lt-LT"/>
        </w:rPr>
      </w:pPr>
      <w:r>
        <w:rPr>
          <w:rFonts w:eastAsia="Times New Roman" w:cs="Times New Roman"/>
          <w:color w:themeColor="text1" w:val="000000"/>
          <w:lang w:val="lt-LT"/>
        </w:rPr>
        <w:t xml:space="preserve"> </w:t>
      </w:r>
      <w:r>
        <w:rPr>
          <w:rFonts w:eastAsia="Times New Roman" w:cs="Times New Roman"/>
          <w:color w:themeColor="text1" w:val="000000"/>
          <w:lang w:val="lt-LT"/>
        </w:rPr>
        <w:t>Duomenų analizę – tai sistemingas ir metodologiškai pagrįstas duomenų, surinktų atliekant Tyrimą pagal parengtą veiksmingumo vertinimo metodiką, apdorojimas, lyginimas, interpretavimas ir įžvalgų formulavimas. Duomenų analizėje turi būti taikomi kokybiniai ir kiekybiniai analizės metodai, atsižvelgiant į tiriamų atvejų pobūdį, prieinamumą bei jų analitinį potencialą. Apskaičiuojamiems rodikliams turi būti parengti rodiklių skaičiavimo techniniai priedai, kuriuose išsamiai išdėstyta rodiklių apskaičiavimo metodologija. Analizės rezultatai turi būti pateikti aiškia ir pagrįsta forma, atitinkančia šios techninės specifikacijos reikalavimus. </w:t>
      </w:r>
    </w:p>
    <w:p>
      <w:pPr>
        <w:pStyle w:val="Prastasis1"/>
        <w:numPr>
          <w:ilvl w:val="0"/>
          <w:numId w:val="1"/>
        </w:numPr>
        <w:spacing w:lineRule="auto" w:line="240" w:before="0" w:after="0"/>
        <w:jc w:val="both"/>
        <w:rPr>
          <w:rFonts w:eastAsia="Times New Roman" w:cs="Times New Roman"/>
          <w:color w:themeColor="text1" w:val="000000"/>
          <w:lang w:val="lt-LT"/>
        </w:rPr>
      </w:pPr>
      <w:r>
        <w:rPr>
          <w:rFonts w:cs="Times New Roman"/>
          <w:lang w:val="lt-LT"/>
        </w:rPr>
        <w:t>Tikslinė tyrimo grupė</w:t>
      </w:r>
      <w:r>
        <w:rPr>
          <w:rFonts w:cs="Times New Roman"/>
          <w:b/>
          <w:bCs/>
          <w:lang w:val="lt-LT"/>
        </w:rPr>
        <w:t xml:space="preserve"> </w:t>
      </w:r>
      <w:r>
        <w:rPr>
          <w:rFonts w:eastAsia="Times New Roman" w:cs="Times New Roman"/>
          <w:lang w:val="lt-LT"/>
        </w:rPr>
        <w:t xml:space="preserve">– </w:t>
      </w:r>
      <w:r>
        <w:rPr>
          <w:rFonts w:eastAsia="Times New Roman" w:cs="Times New Roman"/>
          <w:color w:themeColor="text1" w:val="000000"/>
          <w:lang w:val="lt-LT"/>
        </w:rPr>
        <w:t xml:space="preserve">mokymų skirtingoms savivaldybių institucijoms dalyviai. </w:t>
      </w:r>
      <w:r>
        <w:rPr>
          <w:rFonts w:eastAsia="Times New Roman" w:cs="Times New Roman"/>
          <w:lang w:val="lt-LT"/>
        </w:rPr>
        <w:t xml:space="preserve">Skirtingų savivaldybių institucijų atstovai dalyvaus mokymuose, pagal Perkančiosios organizacijos užsakymu parengtą programą, skirtą skirtingų savivaldybių institucijų atstovams, </w:t>
      </w:r>
      <w:r>
        <w:rPr>
          <w:rFonts w:eastAsia="Times New Roman" w:cs="Times New Roman"/>
          <w:color w:val="auto"/>
          <w:lang w:val="lt-LT" w:eastAsia="lt-LT"/>
        </w:rPr>
        <w:t>dalyvaujantiems įgyvendinant reagavimo į savižudybės grėsmę algoritmą savivaldybėje arba galintiems būti</w:t>
      </w:r>
      <w:r>
        <w:rPr>
          <w:rFonts w:eastAsia="" w:cs="Times New Roman" w:eastAsiaTheme="minorEastAsia"/>
          <w:color w:val="auto"/>
          <w:lang w:val="lt-LT" w:eastAsia="lt-LT"/>
        </w:rPr>
        <w:t xml:space="preserve"> pakviestais savivaldybės ar kitų institucijų, atsakingų už pagalbos savižudybės grėsmę patiriantiems asmenims alg</w:t>
      </w:r>
      <w:r>
        <w:rPr>
          <w:rFonts w:cs="Times New Roman"/>
          <w:lang w:val="lt-LT"/>
        </w:rPr>
        <w:t xml:space="preserve">oritmų rengimą, tvirtinimą ir (ar) atnaujinimą ar koordinavimą, iniciatyva į reagavimo į savižudybės grėsmę algoritmo kūrimą, tobulinimą ar įgyvendinimą savivaldybėje, įskaitant, </w:t>
      </w:r>
      <w:r>
        <w:rPr>
          <w:rFonts w:eastAsia="Times New Roman" w:cs="Times New Roman"/>
          <w:color w:themeColor="text1" w:val="000000"/>
          <w:lang w:val="lt-LT"/>
        </w:rPr>
        <w:t>bet neapsiribojant: policijos atstovai, greitosios medicinos pagalbos atstovai, priešgaisrinės apsaugos ir gelbėjimo departamento atstovai, visuomenės sveikatos biure veikiantys savižudybių prevencijos koordinatoriai ar kitų institucijų, galinčių koordinuoti savižudybių prevenciją, atstovai, psichikos sveikatos centro atstovai, socialinių paslaugų centro atstovai, pirminės sveikatos priežiūros centro atstovai, asmens sveikatos priežiūros įstaigų atstovai, pedagoginės psichologinės tarnybos atstovai, švietimo įstaigų atstovai, vaiko teisių apsaugos įstaigų atstovai, globos centrų atstovai, savivaldybės administracijos atstovai ir kt.</w:t>
      </w:r>
    </w:p>
    <w:p>
      <w:pPr>
        <w:pStyle w:val="Prastasis1"/>
        <w:numPr>
          <w:ilvl w:val="0"/>
          <w:numId w:val="1"/>
        </w:numPr>
        <w:spacing w:lineRule="auto" w:line="240" w:before="0" w:after="0"/>
        <w:jc w:val="both"/>
        <w:rPr>
          <w:rFonts w:eastAsia="Times New Roman" w:cs="Times New Roman"/>
          <w:color w:val="auto"/>
          <w:lang w:val="lt-LT"/>
        </w:rPr>
      </w:pPr>
      <w:r>
        <w:rPr>
          <w:rFonts w:eastAsia="Times New Roman" w:cs="Times New Roman"/>
          <w:color w:val="auto"/>
          <w:lang w:val="lt-LT" w:eastAsia="lt-LT"/>
        </w:rPr>
        <w:t>Pirkimo rezultatas – sukurta mokymų skirtingoms savivaldybių institucijoms veiksmingumo vertinimo metodika, atliktas tyrimas ir pagal rezultatus patobulinta mokymų skirtingoms savivaldybių institucijoms programa</w:t>
      </w:r>
      <w:r>
        <w:rPr>
          <w:rFonts w:eastAsia="Times New Roman" w:cs="Times New Roman"/>
          <w:color w:themeColor="text1" w:val="000000"/>
          <w:lang w:val="lt-LT"/>
        </w:rPr>
        <w:t>.</w:t>
      </w:r>
    </w:p>
    <w:p>
      <w:pPr>
        <w:pStyle w:val="Prastasis1"/>
        <w:numPr>
          <w:ilvl w:val="0"/>
          <w:numId w:val="1"/>
        </w:numPr>
        <w:spacing w:lineRule="auto" w:line="240" w:before="0" w:after="0"/>
        <w:jc w:val="both"/>
        <w:rPr>
          <w:rFonts w:eastAsia="Times New Roman" w:cs="Times New Roman"/>
          <w:color w:val="auto"/>
          <w:lang w:val="lt-LT"/>
        </w:rPr>
      </w:pPr>
      <w:r>
        <w:rPr>
          <w:rFonts w:eastAsia="Times New Roman" w:cs="Times New Roman"/>
          <w:color w:val="auto"/>
          <w:lang w:val="lt-LT"/>
        </w:rPr>
        <w:t>Visos su tyrimu susijusios disponavimo teisės priklauso Perkančiajai organizacijai. Tiekėjas turi teisę Tyrimo rezultatus publikuoti mokslinėje literatūroje ir (ar) mokslinėse konferencijose po jų pristatymo Perkančiajai organizacijai, nurodant, jog tyrimas buvo užsakytas ir finansuotas Perkančiosios organizacijos. Tiekėjas 24 mėnesius nuo galutinio Paslaugų perdavimo-priėmimo akto pasirašymo dienos yra įpareigojamas informuoti Perkančiąją organizaciją apie publikuojamus straipsnius ir pranešimus, susijusius su Tyrimu. </w:t>
      </w:r>
    </w:p>
    <w:p>
      <w:pPr>
        <w:pStyle w:val="Prastasis1"/>
        <w:spacing w:lineRule="auto" w:line="240" w:before="0" w:after="0"/>
        <w:jc w:val="both"/>
        <w:rPr>
          <w:rFonts w:eastAsia="Times New Roman" w:cs="Times New Roman"/>
          <w:b/>
          <w:bCs/>
          <w:color w:val="auto"/>
          <w:lang w:val="lt-LT"/>
        </w:rPr>
      </w:pPr>
      <w:r>
        <w:rPr>
          <w:rFonts w:eastAsia="Times New Roman" w:cs="Times New Roman"/>
          <w:b/>
          <w:bCs/>
          <w:color w:val="auto"/>
          <w:lang w:val="lt-LT"/>
        </w:rPr>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III SKYRIUS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REIKALAVIMAI TYRIMUI</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val="00000A"/>
          <w:lang w:val="lt-LT"/>
        </w:rPr>
      </w:pPr>
      <w:r>
        <w:rPr>
          <w:color w:val="00000A"/>
          <w:lang w:val="lt-LT"/>
        </w:rPr>
        <w:t>Tyrimo paslauga vykdoma pagal su Perkančiąja organizacija iš anksto suderintą planą ir terminus.</w:t>
      </w:r>
    </w:p>
    <w:p>
      <w:pPr>
        <w:pStyle w:val="ListParagraph"/>
        <w:numPr>
          <w:ilvl w:val="0"/>
          <w:numId w:val="1"/>
        </w:numPr>
        <w:rPr/>
      </w:pPr>
      <w:r>
        <w:rPr/>
        <w:t>Tyrimo paslauga apima:</w:t>
      </w:r>
    </w:p>
    <w:p>
      <w:pPr>
        <w:pStyle w:val="ListParagraph"/>
        <w:numPr>
          <w:ilvl w:val="1"/>
          <w:numId w:val="1"/>
        </w:numPr>
        <w:rPr/>
      </w:pPr>
      <w:r>
        <w:rPr/>
        <w:t>Tyrimo metodikos parengimą;</w:t>
      </w:r>
    </w:p>
    <w:p>
      <w:pPr>
        <w:pStyle w:val="ListParagraph"/>
        <w:numPr>
          <w:ilvl w:val="1"/>
          <w:numId w:val="1"/>
        </w:numPr>
        <w:rPr/>
      </w:pPr>
      <w:r>
        <w:rPr/>
        <w:t>Kiekybinių duomenų surinkimą, jų apdorojimą ir analizę;</w:t>
      </w:r>
    </w:p>
    <w:p>
      <w:pPr>
        <w:pStyle w:val="ListParagraph"/>
        <w:numPr>
          <w:ilvl w:val="1"/>
          <w:numId w:val="1"/>
        </w:numPr>
        <w:rPr/>
      </w:pPr>
      <w:r>
        <w:rPr/>
        <w:t>Kokybinių duomenų surinkimą, jų apdorojimą ir analizę;</w:t>
      </w:r>
    </w:p>
    <w:p>
      <w:pPr>
        <w:pStyle w:val="ListParagraph"/>
        <w:numPr>
          <w:ilvl w:val="1"/>
          <w:numId w:val="1"/>
        </w:numPr>
        <w:rPr/>
      </w:pPr>
      <w:r>
        <w:rPr>
          <w:rFonts w:eastAsia="Times New Roman" w:cs="Times New Roman"/>
          <w:color w:val="00000A"/>
          <w:kern w:val="2"/>
          <w:szCs w:val="24"/>
          <w:lang w:val="lt-LT" w:eastAsia="lt-LT"/>
        </w:rPr>
        <w:t>Tyrimo ataskaitos ir rekomendacijų parengimą;</w:t>
      </w:r>
    </w:p>
    <w:p>
      <w:pPr>
        <w:pStyle w:val="ListParagraph"/>
        <w:numPr>
          <w:ilvl w:val="1"/>
          <w:numId w:val="1"/>
        </w:numPr>
        <w:rPr/>
      </w:pPr>
      <w:r>
        <w:rPr>
          <w:rFonts w:eastAsia="Times New Roman" w:cs="Times New Roman"/>
          <w:color w:val="00000A"/>
          <w:kern w:val="2"/>
          <w:szCs w:val="24"/>
          <w:lang w:val="lt-LT" w:eastAsia="lt-LT"/>
        </w:rPr>
        <w:t>Tyrimo rezultatų pristatymą suinteresuotoms šalims;</w:t>
      </w:r>
    </w:p>
    <w:p>
      <w:pPr>
        <w:pStyle w:val="ListParagraph"/>
        <w:numPr>
          <w:ilvl w:val="1"/>
          <w:numId w:val="1"/>
        </w:numPr>
        <w:rPr/>
      </w:pPr>
      <w:r>
        <w:rPr>
          <w:rFonts w:eastAsia="Times New Roman" w:cs="Times New Roman"/>
          <w:color w:val="00000A"/>
          <w:kern w:val="2"/>
          <w:szCs w:val="24"/>
          <w:lang w:val="lt-LT" w:eastAsia="lt-LT"/>
        </w:rPr>
        <w:t>Konsultacijas programos tobulinimui (ne daugiau nei 10 konsultacijų).</w:t>
      </w:r>
    </w:p>
    <w:p>
      <w:pPr>
        <w:pStyle w:val="Standard"/>
        <w:widowControl w:val="false"/>
        <w:numPr>
          <w:ilvl w:val="0"/>
          <w:numId w:val="1"/>
        </w:numPr>
        <w:shd w:val="clear" w:color="auto" w:fill="FFFFFF" w:themeFill="background1"/>
        <w:tabs>
          <w:tab w:val="clear" w:pos="720"/>
          <w:tab w:val="left" w:pos="851" w:leader="none"/>
          <w:tab w:val="left" w:pos="993" w:leader="none"/>
        </w:tabs>
        <w:rPr>
          <w:color w:themeColor="text1" w:val="000000"/>
          <w:lang w:val="en-US"/>
        </w:rPr>
      </w:pPr>
      <w:r>
        <w:rPr>
          <w:color w:val="00000A"/>
          <w:lang w:val="lt-LT"/>
        </w:rPr>
        <w:t>T</w:t>
      </w:r>
      <w:r>
        <w:rPr>
          <w:color w:themeColor="text1" w:val="000000"/>
        </w:rPr>
        <w:t>yrimo metodika apima: </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rPr>
        <w:t>Tyrimo tikslus, pagrindimą ir taikymo sritis;</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lang w:val="en-US"/>
        </w:rPr>
        <w:t>Tyrimo struktūrą, kuri apims kokybinių ir kiekybinių duomenų surinkimą;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rPr>
        <w:t>Duomenų rinkimo priemones (interviu klausimynai, anketos, formos ir kt.);</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rPr>
        <w:t>Su duomenų rinkimu susiję dokumentai (pvz. dalyvio informavimo formos ir pan.);</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rPr>
        <w:t>Duomenų analizės metodus;</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rPr>
        <w:t>Tyrimo atlikimo eigą ir veiksmų seką tyrėjui;</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lang w:val="en-US"/>
        </w:rPr>
        <w:t>Etinius tyrimo vykdymo aspektus ir duomenų apsaugos principus.  </w:t>
      </w:r>
    </w:p>
    <w:p>
      <w:pPr>
        <w:pStyle w:val="Standard"/>
        <w:widowControl w:val="false"/>
        <w:numPr>
          <w:ilvl w:val="0"/>
          <w:numId w:val="1"/>
        </w:numPr>
        <w:shd w:val="clear" w:color="auto" w:fill="FFFFFF" w:themeFill="background1"/>
        <w:tabs>
          <w:tab w:val="clear" w:pos="720"/>
          <w:tab w:val="left" w:pos="851" w:leader="none"/>
          <w:tab w:val="left" w:pos="993" w:leader="none"/>
        </w:tabs>
        <w:rPr>
          <w:color w:themeColor="text1" w:val="000000"/>
          <w:lang w:val="en-US"/>
        </w:rPr>
      </w:pPr>
      <w:r>
        <w:rPr/>
        <w:t>Kiekybinių duomenų surinkimą ir jų apdorojimą apima dalyvių apklausa prieš ir po mokymų, siekiant įvertinti mokymų poveikį.</w:t>
      </w:r>
      <w:r>
        <w:rPr>
          <w:color w:themeColor="text1" w:val="000000"/>
          <w:lang w:val="en-US"/>
        </w:rPr>
        <w:t xml:space="preserve"> </w:t>
      </w:r>
      <w:r>
        <w:rPr>
          <w:lang w:val="en-US"/>
        </w:rPr>
        <w:t xml:space="preserve">Siektinas kiekybinių duomenų imties dydis: 340 mokymų dalyvių, apklaustų prieš ir po mokymų (viso: 680 anketų). Surinkti duomenys turi būti išanalizuoti identifikuojant mokymų dalyvių žinių ir nuostatų pokytį, pasitenkinimą mokymų turiniu ir metodais. Kiekybiniai duomenys turi būti apdorojami taikant statistinės analizės metodus (poriniai palyginimai, vidurkių skirtumų analizė, dažnių pasiskirstymas ir kt.), siekiant nustatyti reikšmingus pokyčius. </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themeColor="text1" w:val="000000"/>
        </w:rPr>
      </w:pPr>
      <w:r>
        <w:rPr>
          <w:lang w:val="en-US"/>
        </w:rPr>
        <w:t xml:space="preserve">Siekiant įvertinti gilesnius mokymų poveikio aspektus, Tiekėjas į Tyrimo metodiką turi įtraukti ir kokybinių duomenų surinkimą bei analizę, padėsiančią identifikuoti, kaip mokymų metu įgytos žinios pritaikomos praktikoje, su kokiais iššūkiais specialistai susiduria bei kokie tolesni poreikiai kyla. Kokybinių duomenų surinkimui gali būti surengtos 4 fokus grupės skirtinguose regionuose ir (arba) 10 pusiau struktūruotų interviu. </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themeColor="text1" w:val="000000"/>
        </w:rPr>
      </w:pPr>
      <w:r>
        <w:rPr>
          <w:lang w:val="en-US"/>
        </w:rPr>
        <w:t>Tyrimo metodika turi būti suderinta su Perkančiąja organizacija.</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themeColor="text1" w:val="000000"/>
        </w:rPr>
      </w:pPr>
      <w:r>
        <w:rPr/>
        <w:t>Galutinėje Tyrimo ataskaitoje (ne mažiau 40 psl. be priedų) .docx ir .pdf formatais Tiekėjas aprašo Tyrimo struktūrą, eigą, metodus bei literatūros apžvalgą. Ataskaita turi apimti kiekybinių ir kokybinių duomenų analizės rezultatus ir atliepti šiuos Tyrimo tikslus:</w:t>
      </w:r>
    </w:p>
    <w:p>
      <w:pPr>
        <w:pStyle w:val="Standard"/>
        <w:widowControl w:val="false"/>
        <w:numPr>
          <w:ilvl w:val="1"/>
          <w:numId w:val="1"/>
        </w:numPr>
        <w:shd w:val="clear" w:color="auto" w:fill="FFFFFF" w:themeFill="background1"/>
        <w:tabs>
          <w:tab w:val="clear" w:pos="720"/>
          <w:tab w:val="left" w:pos="851" w:leader="none"/>
          <w:tab w:val="left" w:pos="993" w:leader="none"/>
        </w:tabs>
        <w:jc w:val="both"/>
        <w:rPr>
          <w:color w:themeColor="text1" w:val="000000"/>
        </w:rPr>
      </w:pPr>
      <w:r>
        <w:rPr>
          <w:color w:themeColor="text1" w:val="000000"/>
        </w:rPr>
        <w:t>Įvertinti, ar pasiekti mokymų programoje nurodyti tikslai;</w:t>
      </w:r>
    </w:p>
    <w:p>
      <w:pPr>
        <w:pStyle w:val="Standard"/>
        <w:widowControl w:val="false"/>
        <w:numPr>
          <w:ilvl w:val="1"/>
          <w:numId w:val="1"/>
        </w:numPr>
        <w:shd w:val="clear" w:color="auto" w:fill="FFFFFF" w:themeFill="background1"/>
        <w:tabs>
          <w:tab w:val="clear" w:pos="720"/>
          <w:tab w:val="left" w:pos="851" w:leader="none"/>
          <w:tab w:val="left" w:pos="993" w:leader="none"/>
        </w:tabs>
        <w:jc w:val="both"/>
        <w:rPr>
          <w:color w:themeColor="text1" w:val="000000"/>
        </w:rPr>
      </w:pPr>
      <w:r>
        <w:rPr>
          <w:color w:themeColor="text1" w:val="000000"/>
        </w:rPr>
        <w:t>Identifikuoti stipriąsias ir tobulintinas mokymų programos puses;</w:t>
      </w:r>
    </w:p>
    <w:p>
      <w:pPr>
        <w:pStyle w:val="Standard"/>
        <w:widowControl w:val="false"/>
        <w:numPr>
          <w:ilvl w:val="1"/>
          <w:numId w:val="1"/>
        </w:numPr>
        <w:shd w:val="clear" w:color="auto" w:fill="FFFFFF" w:themeFill="background1"/>
        <w:tabs>
          <w:tab w:val="clear" w:pos="720"/>
          <w:tab w:val="left" w:pos="851" w:leader="none"/>
          <w:tab w:val="left" w:pos="993" w:leader="none"/>
        </w:tabs>
        <w:jc w:val="both"/>
        <w:rPr>
          <w:color w:themeColor="text1" w:val="000000"/>
        </w:rPr>
      </w:pPr>
      <w:r>
        <w:rPr>
          <w:color w:themeColor="text1" w:val="000000"/>
        </w:rPr>
        <w:t>Pateikti konkrečias rekomendacijos dėl mokymų programos tobulinimo.</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themeColor="text1" w:val="000000"/>
        </w:rPr>
      </w:pPr>
      <w:r>
        <w:rPr/>
        <w:t xml:space="preserve">Tyrimas atliekamas lietuvių kalba. </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themeColor="text1" w:val="000000"/>
        </w:rPr>
      </w:pPr>
      <w:r>
        <w:rPr/>
        <w:t xml:space="preserve">Tiekėjas turi pateikti Tyrimo dokumentus (anketas, interviu ar fokus grupės klausimus, ataskaitą ir kt.) taisyklinga lietuvių kalba pagal galiojančias lietuvių kalbos rašybos ir skyrybos normas, be korektūros klaidų. </w:t>
      </w:r>
      <w:r>
        <w:rPr>
          <w:lang w:val="en-US"/>
        </w:rPr>
        <w:t>Tekste turi būti laikomasi vienodo stiliaus, pasirinkta vienoda numeracija, santrumpų, simbolių sistema.</w:t>
      </w:r>
    </w:p>
    <w:p>
      <w:pPr>
        <w:pStyle w:val="ListParagraph"/>
        <w:numPr>
          <w:ilvl w:val="0"/>
          <w:numId w:val="1"/>
        </w:numPr>
        <w:tabs>
          <w:tab w:val="clear" w:pos="720"/>
          <w:tab w:val="left" w:pos="993" w:leader="none"/>
        </w:tabs>
        <w:spacing w:lineRule="auto" w:line="240" w:before="0" w:after="0"/>
        <w:contextualSpacing/>
        <w:jc w:val="both"/>
        <w:rPr>
          <w:rFonts w:cs="Times New Roman"/>
          <w:szCs w:val="24"/>
          <w:lang w:val="lt-LT"/>
        </w:rPr>
      </w:pPr>
      <w:r>
        <w:rPr>
          <w:rFonts w:eastAsia="Times New Roman" w:cs="Times New Roman"/>
          <w:szCs w:val="24"/>
          <w:lang w:val="lt-LT"/>
        </w:rPr>
        <w:t xml:space="preserve">Tiekėjas turi užtikrinti, kad veiksmingumo vertinimo metodiką kurs, Tyrimą atliks ir rekomendacijas teiks specialistai, turintys tinkamą kvalifikaciją ir patirtį. </w:t>
      </w:r>
      <w:r>
        <w:rPr>
          <w:rFonts w:eastAsia="Times New Roman" w:cs="Times New Roman"/>
          <w:color w:themeColor="text1" w:val="000000"/>
          <w:lang w:val="lt-LT"/>
        </w:rPr>
        <w:t>Tiekėjas turi užtikrinti, kad Tyrimui vadovaujantys specialistai būtų susipažinę su su Mokymų programa, skirta skirtingoms savivaldybių institucijoms, kurią pateiks Perkančioji organizacija, taip pat su Lietuvos Respublikos sveikatos apsaugos ministro 2018 m. liepos 26 d. įsakymu Nr. V-859 patvirtintu „</w:t>
      </w:r>
      <w:hyperlink r:id="rId2">
        <w:r>
          <w:rPr>
            <w:rStyle w:val="Hyperlink"/>
            <w:rFonts w:eastAsia="Times New Roman" w:cs="Times New Roman"/>
            <w:color w:themeColor="text1" w:val="000000"/>
            <w:lang w:val="lt-LT"/>
          </w:rPr>
          <w:t>Pagalbos savižudybės grėsmę patiriantiems asmenims teikimo tvarkos aprašu</w:t>
        </w:r>
      </w:hyperlink>
      <w:r>
        <w:rPr>
          <w:lang w:val="lt-LT"/>
        </w:rPr>
        <w:t>”</w:t>
      </w:r>
      <w:r>
        <w:rPr>
          <w:rFonts w:eastAsia="Times New Roman" w:cs="Times New Roman"/>
          <w:color w:themeColor="text1" w:val="000000"/>
          <w:lang w:val="lt-LT"/>
        </w:rPr>
        <w:t>, Lietuvos Respublikos sveikatos apsaugos ministro 2024 m. sausio 12 d. įsakymu Nr. V-32 patvirtintu „</w:t>
      </w:r>
      <w:hyperlink r:id="rId3">
        <w:r>
          <w:rPr>
            <w:rStyle w:val="Hyperlink"/>
            <w:rFonts w:eastAsia="Times New Roman" w:cs="Times New Roman"/>
            <w:color w:themeColor="text1" w:val="000000"/>
            <w:lang w:val="lt-LT"/>
          </w:rPr>
          <w:t>Savižudybių prevencijos koordinavimo savivaldybėse tvarkos aprašu</w:t>
        </w:r>
      </w:hyperlink>
      <w:r>
        <w:rPr>
          <w:lang w:val="lt-LT"/>
        </w:rPr>
        <w:t xml:space="preserve"> ir</w:t>
      </w:r>
      <w:r>
        <w:rPr>
          <w:rFonts w:cs="Times New Roman"/>
          <w:lang w:val="lt-LT"/>
        </w:rPr>
        <w:t xml:space="preserve"> Bendruoju duomenų apsaugos reglamentu, patvirtintu 2016 m. balandžio 27 d. Europos Parlamento ir Tarybos reglamentu (ES) 2016/679.</w:t>
      </w:r>
    </w:p>
    <w:p>
      <w:pPr>
        <w:pStyle w:val="ListParagraph"/>
        <w:numPr>
          <w:ilvl w:val="0"/>
          <w:numId w:val="1"/>
        </w:numPr>
        <w:tabs>
          <w:tab w:val="clear" w:pos="720"/>
          <w:tab w:val="left" w:pos="993" w:leader="none"/>
        </w:tabs>
        <w:jc w:val="both"/>
        <w:rPr>
          <w:rFonts w:cs="Times New Roman"/>
          <w:szCs w:val="24"/>
          <w:lang w:val="lt-LT"/>
        </w:rPr>
      </w:pPr>
      <w:r>
        <w:rPr>
          <w:rFonts w:eastAsia="Times New Roman" w:cs="Times New Roman"/>
          <w:color w:themeColor="text1" w:val="000000"/>
          <w:szCs w:val="24"/>
          <w:lang w:val="lt-LT"/>
        </w:rPr>
        <w:t>Paslaugos atlikimui Tiekėjas turi pasirinkti šiuolaikinius ir inovatyvius tyrimo metodus ir priemones.</w:t>
      </w:r>
    </w:p>
    <w:p>
      <w:pPr>
        <w:pStyle w:val="ListParagraph"/>
        <w:numPr>
          <w:ilvl w:val="0"/>
          <w:numId w:val="1"/>
        </w:numPr>
        <w:tabs>
          <w:tab w:val="clear" w:pos="720"/>
          <w:tab w:val="left" w:pos="993" w:leader="none"/>
        </w:tabs>
        <w:jc w:val="both"/>
        <w:rPr>
          <w:rFonts w:cs="Times New Roman"/>
          <w:szCs w:val="24"/>
          <w:lang w:val="lt-LT"/>
        </w:rPr>
      </w:pPr>
      <w:r>
        <w:rPr>
          <w:rFonts w:cs="Times New Roman"/>
          <w:lang w:val="lt-LT"/>
        </w:rPr>
        <w:t>Viso Tyrimo proceso metu ir po jo Tiekėjas įsipareigoja išlaikyti dalyvių konfidencialumą ir anonimiškumą.   </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lang w:val="lt-LT"/>
        </w:rPr>
      </w:pPr>
      <w:r>
        <w:rPr>
          <w:rFonts w:eastAsia="Times New Roman" w:cs="Times New Roman"/>
          <w:lang w:val="lt-LT"/>
        </w:rPr>
        <w:t>Visuose dokumentuose (Tyrimo medžiagoje, ataskaitose ir kt.) turi būti naudojama Europos Sąjungos emblema ir atitinkamas teiginys - „Bendrai finansuoja Europos Sąjunga“ bei kita su Perkančiąja organizacija suderinta informacija.</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lang w:val="lt-LT"/>
        </w:rPr>
      </w:pPr>
      <w:r>
        <w:rPr>
          <w:rFonts w:eastAsia="Times New Roman" w:cs="Times New Roman"/>
          <w:lang w:val="lt-LT"/>
        </w:rPr>
        <w:t>Tiekėjas</w:t>
      </w:r>
      <w:r>
        <w:rPr>
          <w:rFonts w:eastAsia="Times New Roman" w:cs="Times New Roman"/>
          <w:color w:themeColor="text1" w:val="000000"/>
          <w:lang w:val="lt-LT"/>
        </w:rPr>
        <w:t xml:space="preserve"> turi užtikrinti, kad Tyrimo vykdymo metu nebus pažeisti horizontalieji principai: darnus vystymasis, įskaitant reikšmingos žalos nedarymą, lygios galimybės ir nediskriminavimas (dėl lyties, rasės, tautybės, pilietybės, kalbos, kilmės, socialinės padėties, tikėjimo, įsitikinimų ar pažiūrų, amžiaus, lytinės orientacijos, etninės priklausomybės, religijos, negalios ir kitų aspektų).</w:t>
      </w:r>
    </w:p>
    <w:p>
      <w:pPr>
        <w:pStyle w:val="ListParagraph"/>
        <w:tabs>
          <w:tab w:val="clear" w:pos="720"/>
          <w:tab w:val="left" w:pos="993" w:leader="none"/>
          <w:tab w:val="left" w:pos="1276" w:leader="none"/>
          <w:tab w:val="left" w:pos="1418" w:leader="none"/>
        </w:tabs>
        <w:jc w:val="center"/>
        <w:rPr>
          <w:rFonts w:eastAsia="Times New Roman" w:cs="Times New Roman"/>
          <w:b/>
          <w:bCs/>
          <w:szCs w:val="24"/>
          <w:lang w:val="lt-LT"/>
        </w:rPr>
      </w:pPr>
      <w:r>
        <w:rPr>
          <w:rFonts w:eastAsia="Times New Roman" w:cs="Times New Roman"/>
          <w:b/>
          <w:bCs/>
          <w:szCs w:val="24"/>
          <w:lang w:val="lt-LT"/>
        </w:rPr>
      </w:r>
    </w:p>
    <w:p>
      <w:pPr>
        <w:pStyle w:val="ListParagraph"/>
        <w:tabs>
          <w:tab w:val="clear" w:pos="720"/>
          <w:tab w:val="left" w:pos="993" w:leader="none"/>
          <w:tab w:val="left" w:pos="1276" w:leader="none"/>
          <w:tab w:val="left" w:pos="1418" w:leader="none"/>
        </w:tabs>
        <w:jc w:val="center"/>
        <w:rPr>
          <w:rFonts w:eastAsia="Times New Roman" w:cs="Times New Roman"/>
          <w:b/>
          <w:bCs/>
          <w:szCs w:val="24"/>
          <w:lang w:val="lt-LT"/>
        </w:rPr>
      </w:pPr>
      <w:r>
        <w:rPr>
          <w:rFonts w:eastAsia="Times New Roman" w:cs="Times New Roman"/>
          <w:b/>
          <w:bCs/>
          <w:szCs w:val="24"/>
          <w:lang w:val="lt-LT"/>
        </w:rPr>
        <w:t>IV SKYRIUS</w:t>
      </w:r>
    </w:p>
    <w:p>
      <w:pPr>
        <w:pStyle w:val="ListParagraph"/>
        <w:tabs>
          <w:tab w:val="clear" w:pos="720"/>
          <w:tab w:val="left" w:pos="993" w:leader="none"/>
          <w:tab w:val="left" w:pos="1276" w:leader="none"/>
          <w:tab w:val="left" w:pos="1418" w:leader="none"/>
        </w:tabs>
        <w:jc w:val="center"/>
        <w:rPr>
          <w:rFonts w:eastAsia="Times New Roman" w:cs="Times New Roman"/>
          <w:szCs w:val="24"/>
        </w:rPr>
      </w:pPr>
      <w:r>
        <w:rPr>
          <w:rFonts w:eastAsia="Times New Roman" w:cs="Times New Roman"/>
          <w:b/>
          <w:bCs/>
          <w:szCs w:val="24"/>
          <w:lang w:val="lt-LT"/>
        </w:rPr>
        <w:t>VYKDYMO TVARKA IR TERMINAI</w:t>
      </w:r>
    </w:p>
    <w:p>
      <w:pPr>
        <w:pStyle w:val="ListParagraph"/>
        <w:tabs>
          <w:tab w:val="clear" w:pos="720"/>
          <w:tab w:val="left" w:pos="993" w:leader="none"/>
          <w:tab w:val="left" w:pos="1276" w:leader="none"/>
          <w:tab w:val="left" w:pos="1418" w:leader="none"/>
        </w:tabs>
        <w:ind w:left="785"/>
        <w:rPr>
          <w:rFonts w:eastAsia="Times New Roman" w:cs="Times New Roman"/>
          <w:szCs w:val="24"/>
        </w:rPr>
      </w:pPr>
      <w:r>
        <w:rPr>
          <w:rFonts w:eastAsia="Times New Roman" w:cs="Times New Roman"/>
          <w:szCs w:val="24"/>
        </w:rPr>
        <w:t> </w:t>
      </w:r>
    </w:p>
    <w:p>
      <w:pPr>
        <w:pStyle w:val="ListParagraph"/>
        <w:numPr>
          <w:ilvl w:val="0"/>
          <w:numId w:val="1"/>
        </w:numPr>
        <w:tabs>
          <w:tab w:val="clear" w:pos="720"/>
          <w:tab w:val="left" w:pos="993" w:leader="none"/>
          <w:tab w:val="left" w:pos="1276" w:leader="none"/>
          <w:tab w:val="left" w:pos="1418" w:leader="none"/>
        </w:tabs>
        <w:rPr>
          <w:rFonts w:eastAsia="Times New Roman" w:cs="Times New Roman"/>
          <w:szCs w:val="24"/>
        </w:rPr>
      </w:pPr>
      <w:r>
        <w:rPr>
          <w:rFonts w:eastAsia="Times New Roman" w:cs="Times New Roman"/>
          <w:szCs w:val="24"/>
          <w:lang w:val="lt-LT"/>
        </w:rPr>
        <w:t>Paslauga suteikiama etapais plane nurodytais terminais ir turi būti suteikta ne vėliau kaip per žemiau nurodytus terminus (skaičiuojant nuo sutarties pasirašymo dienos).</w:t>
      </w:r>
      <w:r>
        <w:rPr>
          <w:rFonts w:eastAsia="Times New Roman" w:cs="Times New Roman"/>
          <w:szCs w:val="24"/>
        </w:rPr>
        <w:t> </w:t>
      </w:r>
    </w:p>
    <w:p>
      <w:pPr>
        <w:pStyle w:val="ListParagraph"/>
        <w:numPr>
          <w:ilvl w:val="0"/>
          <w:numId w:val="1"/>
        </w:numPr>
        <w:tabs>
          <w:tab w:val="clear" w:pos="720"/>
          <w:tab w:val="left" w:pos="993" w:leader="none"/>
          <w:tab w:val="left" w:pos="1276" w:leader="none"/>
          <w:tab w:val="left" w:pos="1418" w:leader="none"/>
        </w:tabs>
        <w:rPr>
          <w:rFonts w:eastAsia="Times New Roman" w:cs="Times New Roman"/>
          <w:szCs w:val="24"/>
        </w:rPr>
      </w:pPr>
      <w:r>
        <w:rPr>
          <w:rFonts w:eastAsia="Times New Roman" w:cs="Times New Roman"/>
          <w:szCs w:val="24"/>
          <w:lang w:val="lt-LT"/>
        </w:rPr>
        <w:t>Tiekėjas įsipareigoja aptarti ir suderinti paslaugos teikimo planą ne vėliau nei 5 d. d. nuo sutarties pasirašymo. </w:t>
      </w:r>
      <w:r>
        <w:rPr>
          <w:rFonts w:eastAsia="Times New Roman" w:cs="Times New Roman"/>
          <w:szCs w:val="24"/>
        </w:rPr>
        <w:t> </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rPr>
      </w:pPr>
      <w:r>
        <w:rPr>
          <w:rFonts w:eastAsia="Times New Roman" w:cs="Times New Roman"/>
          <w:lang w:val="lt-LT"/>
        </w:rPr>
        <w:t>Perkančioji organizacija įsipareigoja Tiekėjui pateikti pastabas, klausimus ar kitą svarbią informaciją ne vėliau nei per 5 d. d. nuo informacijos iš Tiekėjo gavimo dienos. </w:t>
      </w:r>
      <w:r>
        <w:rPr>
          <w:rFonts w:eastAsia="Times New Roman" w:cs="Times New Roman"/>
        </w:rPr>
        <w:t> </w:t>
      </w:r>
    </w:p>
    <w:p>
      <w:pPr>
        <w:pStyle w:val="ListParagraph"/>
        <w:numPr>
          <w:ilvl w:val="0"/>
          <w:numId w:val="1"/>
        </w:numPr>
        <w:tabs>
          <w:tab w:val="clear" w:pos="720"/>
          <w:tab w:val="left" w:pos="993" w:leader="none"/>
          <w:tab w:val="left" w:pos="1276" w:leader="none"/>
          <w:tab w:val="left" w:pos="1418" w:leader="none"/>
        </w:tabs>
        <w:rPr>
          <w:rFonts w:eastAsia="Times New Roman" w:cs="Times New Roman"/>
          <w:lang w:val="lt-LT"/>
        </w:rPr>
      </w:pPr>
      <w:r>
        <w:rPr>
          <w:rFonts w:eastAsia="Times New Roman" w:cs="Times New Roman"/>
          <w:lang w:val="lt-LT"/>
        </w:rPr>
        <w:t> </w:t>
      </w:r>
      <w:r>
        <w:rPr>
          <w:rFonts w:eastAsia="Times New Roman" w:cs="Times New Roman"/>
          <w:lang w:val="lt-LT"/>
        </w:rPr>
        <w:t>Nurodytos užduotys gali būti vykdomos paraleliai ir gali būti įvykdytos anksčiau nei nurodytas galutinis įvykdymo terminas.  Mokymų įvykdymo vėlavimo atveju, Tiekėjas gali raštu suderinti su Perkančiąja organizacija kitus užduočių atlikimo terminus.</w:t>
      </w:r>
    </w:p>
    <w:p>
      <w:pPr>
        <w:pStyle w:val="ListParagraph"/>
        <w:tabs>
          <w:tab w:val="clear" w:pos="720"/>
          <w:tab w:val="left" w:pos="993" w:leader="none"/>
          <w:tab w:val="left" w:pos="1276" w:leader="none"/>
          <w:tab w:val="left" w:pos="1418" w:leader="none"/>
        </w:tabs>
        <w:ind w:left="785"/>
        <w:jc w:val="both"/>
        <w:rPr>
          <w:rFonts w:eastAsia="Times New Roman" w:cs="Times New Roman"/>
          <w:szCs w:val="24"/>
          <w:lang w:val="lt-LT"/>
        </w:rPr>
      </w:pPr>
      <w:r>
        <w:rPr>
          <w:rFonts w:eastAsia="Times New Roman" w:cs="Times New Roman"/>
          <w:szCs w:val="24"/>
          <w:lang w:val="lt-LT"/>
        </w:rPr>
      </w:r>
    </w:p>
    <w:p>
      <w:pPr>
        <w:pStyle w:val="ListParagraph"/>
        <w:tabs>
          <w:tab w:val="clear" w:pos="720"/>
          <w:tab w:val="left" w:pos="993" w:leader="none"/>
          <w:tab w:val="left" w:pos="1276" w:leader="none"/>
          <w:tab w:val="left" w:pos="1418" w:leader="none"/>
        </w:tabs>
        <w:ind w:left="785"/>
        <w:jc w:val="both"/>
        <w:rPr>
          <w:rFonts w:eastAsia="Times New Roman" w:cs="Times New Roman"/>
          <w:szCs w:val="24"/>
        </w:rPr>
      </w:pPr>
      <w:r>
        <w:rPr>
          <w:rFonts w:eastAsia="Times New Roman" w:cs="Times New Roman"/>
          <w:szCs w:val="24"/>
          <w:lang w:val="lt-LT"/>
        </w:rPr>
        <w:t>Tyrimo įgyvendinimo veiklų planas ir terminai</w:t>
      </w:r>
      <w:r>
        <w:rPr>
          <w:rFonts w:eastAsia="Times New Roman" w:cs="Times New Roman"/>
          <w:szCs w:val="24"/>
        </w:rPr>
        <w:t>:</w:t>
      </w:r>
    </w:p>
    <w:p>
      <w:pPr>
        <w:pStyle w:val="ListParagraph"/>
        <w:tabs>
          <w:tab w:val="clear" w:pos="720"/>
          <w:tab w:val="left" w:pos="993" w:leader="none"/>
          <w:tab w:val="left" w:pos="1276" w:leader="none"/>
          <w:tab w:val="left" w:pos="1418" w:leader="none"/>
        </w:tabs>
        <w:ind w:left="785"/>
        <w:jc w:val="both"/>
        <w:rPr>
          <w:rFonts w:eastAsia="Times New Roman" w:cs="Times New Roman"/>
          <w:szCs w:val="24"/>
        </w:rPr>
      </w:pPr>
      <w:r>
        <w:rPr>
          <w:rFonts w:eastAsia="Times New Roman" w:cs="Times New Roman"/>
          <w:szCs w:val="24"/>
        </w:rPr>
      </w:r>
    </w:p>
    <w:tbl>
      <w:tblPr>
        <w:tblW w:w="9490" w:type="dxa"/>
        <w:jc w:val="left"/>
        <w:tblInd w:w="0" w:type="dxa"/>
        <w:tblLayout w:type="fixed"/>
        <w:tblCellMar>
          <w:top w:w="0" w:type="dxa"/>
          <w:left w:w="7" w:type="dxa"/>
          <w:bottom w:w="0" w:type="dxa"/>
          <w:right w:w="7" w:type="dxa"/>
        </w:tblCellMar>
        <w:tblLook w:firstRow="1" w:noVBand="1" w:lastRow="0" w:firstColumn="1" w:lastColumn="0" w:noHBand="0" w:val="04a0"/>
      </w:tblPr>
      <w:tblGrid>
        <w:gridCol w:w="4812"/>
        <w:gridCol w:w="4677"/>
      </w:tblGrid>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tabs>
                <w:tab w:val="clear" w:pos="720"/>
                <w:tab w:val="left" w:pos="993" w:leader="none"/>
                <w:tab w:val="left" w:pos="1276" w:leader="none"/>
                <w:tab w:val="left" w:pos="1418" w:leader="none"/>
              </w:tabs>
              <w:spacing w:before="0" w:after="200"/>
              <w:ind w:left="785"/>
              <w:contextualSpacing/>
              <w:jc w:val="both"/>
              <w:rPr>
                <w:rFonts w:eastAsia="Times New Roman" w:cs="Times New Roman"/>
                <w:szCs w:val="24"/>
              </w:rPr>
            </w:pPr>
            <w:r>
              <w:rPr>
                <w:rFonts w:eastAsia="Times New Roman" w:cs="Times New Roman"/>
                <w:i/>
                <w:iCs/>
                <w:szCs w:val="24"/>
                <w:lang w:val="lt-LT"/>
              </w:rPr>
              <w:t>Užduotis Tiekėjui</w:t>
            </w:r>
          </w:p>
        </w:tc>
        <w:tc>
          <w:tcPr>
            <w:tcW w:w="4677" w:type="dxa"/>
            <w:tcBorders>
              <w:top w:val="single" w:sz="6" w:space="0" w:color="000000"/>
              <w:left w:val="single" w:sz="6" w:space="0" w:color="000000"/>
              <w:bottom w:val="single" w:sz="6" w:space="0" w:color="000000"/>
              <w:right w:val="single" w:sz="6" w:space="0" w:color="000000"/>
            </w:tcBorders>
          </w:tcPr>
          <w:p>
            <w:pPr>
              <w:pStyle w:val="ListParagraph"/>
              <w:tabs>
                <w:tab w:val="clear" w:pos="720"/>
                <w:tab w:val="left" w:pos="993" w:leader="none"/>
                <w:tab w:val="left" w:pos="1276" w:leader="none"/>
                <w:tab w:val="left" w:pos="1418" w:leader="none"/>
              </w:tabs>
              <w:spacing w:before="0" w:after="200"/>
              <w:ind w:left="785"/>
              <w:contextualSpacing/>
              <w:jc w:val="both"/>
              <w:rPr>
                <w:rFonts w:eastAsia="Times New Roman" w:cs="Times New Roman"/>
                <w:szCs w:val="24"/>
              </w:rPr>
            </w:pPr>
            <w:r>
              <w:rPr>
                <w:rFonts w:eastAsia="Times New Roman" w:cs="Times New Roman"/>
                <w:i/>
                <w:iCs/>
                <w:szCs w:val="24"/>
                <w:lang w:val="lt-LT"/>
              </w:rPr>
              <w:t>Užduoties įvykdymo terminas</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2"/>
              </w:numPr>
              <w:tabs>
                <w:tab w:val="clear" w:pos="720"/>
                <w:tab w:val="left" w:pos="993" w:leader="none"/>
                <w:tab w:val="left" w:pos="1276" w:leader="none"/>
                <w:tab w:val="left" w:pos="1418" w:leader="none"/>
              </w:tabs>
              <w:spacing w:before="0" w:after="200"/>
              <w:contextualSpacing/>
              <w:jc w:val="both"/>
              <w:rPr>
                <w:rFonts w:eastAsia="Times New Roman" w:cs="Times New Roman"/>
                <w:szCs w:val="24"/>
              </w:rPr>
            </w:pPr>
            <w:r>
              <w:rPr>
                <w:rFonts w:eastAsia="Times New Roman" w:cs="Times New Roman"/>
                <w:szCs w:val="24"/>
                <w:lang w:val="lt-LT"/>
              </w:rPr>
              <w:t>Tyrimo metodikos parengimas</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3 mėnesius nuo sutarties pasirašymo datos</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3"/>
              </w:numPr>
              <w:tabs>
                <w:tab w:val="clear" w:pos="720"/>
                <w:tab w:val="left" w:pos="993" w:leader="none"/>
                <w:tab w:val="left" w:pos="1276" w:leader="none"/>
                <w:tab w:val="left" w:pos="1418" w:leader="none"/>
              </w:tabs>
              <w:spacing w:before="0" w:after="200"/>
              <w:contextualSpacing/>
              <w:jc w:val="both"/>
              <w:rPr>
                <w:rFonts w:eastAsia="Times New Roman" w:cs="Times New Roman"/>
                <w:szCs w:val="24"/>
              </w:rPr>
            </w:pPr>
            <w:r>
              <w:rPr/>
              <w:t>Kiekybinių duomenų surinkimas ir jų apdorojimas</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9 mėnesius nuo sutarties pasirašymo datos</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4"/>
              </w:numPr>
              <w:tabs>
                <w:tab w:val="clear" w:pos="720"/>
                <w:tab w:val="left" w:pos="993" w:leader="none"/>
                <w:tab w:val="left" w:pos="1276" w:leader="none"/>
                <w:tab w:val="left" w:pos="1418" w:leader="none"/>
              </w:tabs>
              <w:spacing w:before="0" w:after="200"/>
              <w:contextualSpacing/>
              <w:jc w:val="both"/>
              <w:rPr>
                <w:rFonts w:eastAsia="Times New Roman" w:cs="Times New Roman"/>
              </w:rPr>
            </w:pPr>
            <w:r>
              <w:rPr/>
              <w:t>Kokybinių duomenų surinkimas ir jų apdorojimas</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12 mėnesių nuo sutarties pasirašymo datos</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5"/>
              </w:numPr>
              <w:tabs>
                <w:tab w:val="clear" w:pos="720"/>
                <w:tab w:val="left" w:pos="993" w:leader="none"/>
                <w:tab w:val="left" w:pos="1276" w:leader="none"/>
                <w:tab w:val="left" w:pos="1418" w:leader="none"/>
              </w:tabs>
              <w:spacing w:before="0" w:after="200"/>
              <w:contextualSpacing/>
              <w:jc w:val="both"/>
              <w:rPr>
                <w:rFonts w:eastAsia="Times New Roman" w:cs="Times New Roman"/>
                <w:szCs w:val="24"/>
              </w:rPr>
            </w:pPr>
            <w:r>
              <w:rPr>
                <w:rFonts w:eastAsia="Times New Roman" w:cs="Times New Roman"/>
                <w:color w:val="00000A"/>
                <w:kern w:val="2"/>
                <w:szCs w:val="24"/>
                <w:lang w:val="lt-LT" w:eastAsia="lt-LT"/>
              </w:rPr>
              <w:t>Tyrimo ataskaitos ir rekomendacijų parengimas</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20 mėnesių nuo sutarties pasirašymo datos</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6"/>
              </w:numPr>
              <w:tabs>
                <w:tab w:val="clear" w:pos="720"/>
                <w:tab w:val="left" w:pos="993" w:leader="none"/>
                <w:tab w:val="left" w:pos="1276" w:leader="none"/>
                <w:tab w:val="left" w:pos="1418" w:leader="none"/>
              </w:tabs>
              <w:spacing w:before="0" w:after="200"/>
              <w:contextualSpacing/>
              <w:jc w:val="both"/>
              <w:rPr>
                <w:rFonts w:eastAsia="Times New Roman" w:cs="Times New Roman"/>
                <w:szCs w:val="24"/>
              </w:rPr>
            </w:pPr>
            <w:r>
              <w:rPr>
                <w:rFonts w:eastAsia="Times New Roman" w:cs="Times New Roman"/>
                <w:color w:val="00000A"/>
                <w:kern w:val="2"/>
                <w:szCs w:val="24"/>
                <w:lang w:val="lt-LT" w:eastAsia="lt-LT"/>
              </w:rPr>
              <w:t>Tyrimo rezultatų pristatymas suinteresuotoms šalims</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24 mėnesius nuo sutarties pasirašymo datos</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6"/>
              </w:numPr>
              <w:spacing w:before="0" w:after="200"/>
              <w:contextualSpacing/>
              <w:rPr/>
            </w:pPr>
            <w:r>
              <w:rPr>
                <w:rFonts w:eastAsia="Times New Roman" w:cs="Times New Roman"/>
                <w:color w:val="00000A"/>
                <w:kern w:val="2"/>
                <w:szCs w:val="24"/>
                <w:lang w:val="lt-LT" w:eastAsia="lt-LT"/>
              </w:rPr>
              <w:t>Konsultacijas programos tobulinimui (ne daugiau nei 10 konsultacijų).</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30 mėnesių nuo sutarties pasirašymo datos</w:t>
            </w:r>
          </w:p>
        </w:tc>
      </w:tr>
    </w:tbl>
    <w:p>
      <w:pPr>
        <w:pStyle w:val="Normal"/>
        <w:tabs>
          <w:tab w:val="clear" w:pos="720"/>
          <w:tab w:val="left" w:pos="993" w:leader="none"/>
          <w:tab w:val="left" w:pos="1276" w:leader="none"/>
          <w:tab w:val="left" w:pos="1418" w:leader="none"/>
        </w:tabs>
        <w:rPr>
          <w:rFonts w:eastAsia="Times New Roman" w:cs="Times New Roman"/>
          <w:szCs w:val="24"/>
        </w:rPr>
      </w:pPr>
      <w:r>
        <w:rPr>
          <w:rFonts w:eastAsia="Times New Roman" w:cs="Times New Roman"/>
          <w:szCs w:val="24"/>
        </w:rPr>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lang w:val="lt-LT"/>
        </w:rPr>
      </w:pPr>
      <w:r>
        <w:rPr>
          <w:rFonts w:eastAsia="Times New Roman" w:cs="Times New Roman"/>
          <w:color w:themeColor="text1" w:val="000000"/>
          <w:lang w:val="lt-LT"/>
        </w:rPr>
        <w:t>Tiekėjas yra atsakingas už visą Tyrimo atlikimo proceso valdymą ir darbų organizavimą bei savalaikį numatytų darbų atlikimą. Tiekėjas turi atsižvelgti į bet kuriame Tyrimo etape pateiktas Perkančiosios organizacijos pastabas. Jei Tiekėjas du kartus neatsižvelgia į pastabas ir per sutartą laiką nepataiso su Tyrimo metodika susijusios taisytinos dalies, atlygis už Tyrimą gali būti mažinamas 5 proc. arba su Tiekėju nutraukiama sutartis.</w:t>
      </w:r>
    </w:p>
    <w:p>
      <w:pPr>
        <w:pStyle w:val="ListParagraph"/>
        <w:tabs>
          <w:tab w:val="clear" w:pos="720"/>
          <w:tab w:val="left" w:pos="993" w:leader="none"/>
          <w:tab w:val="left" w:pos="1276" w:leader="none"/>
          <w:tab w:val="left" w:pos="1418" w:leader="none"/>
        </w:tabs>
        <w:ind w:left="785"/>
        <w:rPr>
          <w:rFonts w:eastAsia="Times New Roman" w:cs="Times New Roman"/>
          <w:szCs w:val="24"/>
          <w:lang w:val="lt-LT"/>
        </w:rPr>
      </w:pPr>
      <w:r>
        <w:rPr>
          <w:rFonts w:eastAsia="Times New Roman" w:cs="Times New Roman"/>
          <w:szCs w:val="24"/>
          <w:lang w:val="lt-LT"/>
        </w:rPr>
        <w:t> </w:t>
      </w:r>
    </w:p>
    <w:p>
      <w:pPr>
        <w:pStyle w:val="Prastasis1"/>
        <w:spacing w:lineRule="auto" w:line="240" w:before="120" w:after="120"/>
        <w:jc w:val="center"/>
        <w:rPr>
          <w:rFonts w:eastAsia="Times New Roman" w:cs="Times New Roman"/>
          <w:b/>
          <w:bCs/>
          <w:color w:val="auto"/>
          <w:lang w:val="lt-LT"/>
        </w:rPr>
      </w:pPr>
      <w:r>
        <w:rPr>
          <w:rFonts w:eastAsia="Times New Roman" w:cs="Times New Roman"/>
          <w:b/>
          <w:bCs/>
          <w:color w:val="auto"/>
          <w:lang w:val="lt-LT"/>
        </w:rPr>
        <w:t>V SKYRIUS</w:t>
      </w:r>
    </w:p>
    <w:p>
      <w:pPr>
        <w:pStyle w:val="ListParagraph"/>
        <w:spacing w:lineRule="auto" w:line="240" w:before="120" w:after="120"/>
        <w:ind w:hanging="360" w:left="720"/>
        <w:contextualSpacing/>
        <w:jc w:val="center"/>
        <w:rPr>
          <w:rFonts w:eastAsia="Times New Roman" w:cs="Times New Roman"/>
          <w:b/>
          <w:bCs/>
          <w:lang w:val="lt-LT"/>
        </w:rPr>
      </w:pPr>
      <w:r>
        <w:rPr>
          <w:rFonts w:eastAsia="Times New Roman" w:cs="Times New Roman"/>
          <w:b/>
          <w:bCs/>
          <w:lang w:val="lt-LT"/>
        </w:rPr>
        <w:t>BENDRIEJI REIKALAVIMAI PIRKIMUI</w:t>
      </w:r>
    </w:p>
    <w:p>
      <w:pPr>
        <w:pStyle w:val="ListParagraph"/>
        <w:spacing w:lineRule="auto" w:line="240" w:before="120" w:after="120"/>
        <w:ind w:hanging="360" w:left="720"/>
        <w:contextualSpacing/>
        <w:jc w:val="center"/>
        <w:rPr>
          <w:rFonts w:eastAsia="Times New Roman" w:cs="Times New Roman"/>
          <w:b/>
          <w:bCs/>
          <w:lang w:val="lt-LT"/>
        </w:rPr>
      </w:pPr>
      <w:r>
        <w:rPr>
          <w:rFonts w:eastAsia="Times New Roman" w:cs="Times New Roman"/>
          <w:b/>
          <w:bCs/>
          <w:lang w:val="lt-LT"/>
        </w:rPr>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Tiekėjas turi paskirti atsakingą asmenį bei sutartyje nurodyti jo kontaktus, į kurį Perkančioji organizacija galėtų kreiptis dėl teikiamų paslaugų.</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lang w:val="lt-LT"/>
        </w:rPr>
      </w:pPr>
      <w:r>
        <w:rPr>
          <w:rFonts w:eastAsia="Times New Roman" w:cs="Times New Roman"/>
          <w:color w:themeColor="text1" w:val="000000"/>
          <w:lang w:val="lt-LT"/>
        </w:rPr>
        <w:t>Tiekėjas įsipareigoja pateikti turinį, kurio nei viena dalis nepažeis trečiųjų asmenų autorinių teisių. Jeigu Tiekėjas, kurdamas Tyrimo metodiką, atlikdamas Tyrimą, ruošdamas galutinę ataskaitą ar teikdamas konsultacijas, pasinaudoja trečiųjų asmenų intelektine nuosavybe, įskaitant, bet neapsiribojant, autorių teises, licencijas, patentus, modelius, prekių ženklus, kuri integruojama ar kitaip siejama su Tyrimo turiniu, tai Tiekėjas užtikrina ir garantuoja savo sąskaita, kad nebus pažeistos šių trečiųjų asmenų teisės ir perkančioji organizacija galės tokiomis teisėmis naudotis neterminuotai ir visame pasaulyje.</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Tiekėjas užtikrina ir atsako, kad jo sukurtas turinys nepažeis trečiųjų asmenų intelektinės nuosavybės teisių, ir kad Perkančioji organizacija nepatirs jokių teisinių išlaidų ar nuostolių dėl reikalavimų ar įsipareigojimų, susijusių su intelektinės nuosavybės teisėmis į Tyrimo turinį. Tiekėjas atlygins Perkančiajai organizacijai visus patirtus nuostolius, kurie kils pagal trečiųjų asmenų reikalavimus.</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Paslaugų teikimo pabaiga laikoma galutinio paslaugų priėmimo-perdavimo akto ir galutinės sąskaitos-faktūros pateikimo Perkančiajai organizacijai diena. Kartu pateikiama galutinė Tyrimo ataskaita ir medžiaga (anketos, interviu klausimai ir kita Tyrimui naudota medžiaga redaguojamu formatu, nurodant pavadinimą ir aktualias instrukcijas; dalyvių užpildytos anketos, interviu atsakymai, fokus grupės medžiaga bei duomenų failai iš anksto su Perkančiąja organizacija suderintu formatu).</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Nuo Perkančiosios organizacijos galutinio atsiskaitymo su Tiekėju dienos, parengtos Tyrimo metodikos intelektinė nuosavybė perduodama Perkančiajai organizacijai neterminuotai ir su galimybe ja naudotis be apribojimų. Perkančiajai organizacijai suteikiama teisė naudotis minėtais rezultatais bet kokia forma, daryti kopijas, platinti, daryti pakeitimus ar kitaip disponuoti. Tiekėjas patvirtina, kad perduotos autorių turtinės teisės į jo sukurtus paslaugų rezultatus yra įskaičiuotos į pateikto pasiūlymo kainą už suteiktas paslaugas.</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Tiekėjas turi užtikrinti nenutrūkstamą Paslaugų teikimo sutarties vykdymą, gerą veiklos organizavimą, efektyvų paslaugų įgyvendinimą laiku ir aktyviai bendradarbiauti su Perkančiosios organizacijos darbuotojais.</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Tiekėjas turi periodiškai informuoti Perkančiąją organizaciją apie darbų eigą (kiekvieno mėnesio pabaigoje informaciniu el. laišku atsakingam asmeniui iš Perkančiosios organizacijos pateikti informaciją apie darbų atlikimo progresą, dalyvauti susitikimuose su Perkančiosios organizacijos ir kt. suinteresuotų šalių atstovais pagal el. paštu suderintą grafiką.</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Teikiamos paslaugos privalo būti kokybiškos ir profesionalios, atitinkančios geriausius, visuotinai pripažįstamus profesinius, techninius standartus ir praktiką, bei suteiktos panaudojant visus reikiamus įgūdžius ir žinias</w:t>
      </w:r>
    </w:p>
    <w:p>
      <w:pPr>
        <w:pStyle w:val="NoSpacing"/>
        <w:tabs>
          <w:tab w:val="clear" w:pos="720"/>
          <w:tab w:val="left" w:pos="1276" w:leader="none"/>
          <w:tab w:val="left" w:pos="1418" w:leader="none"/>
        </w:tabs>
        <w:ind w:left="785"/>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Spacing"/>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V SKYRIUS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REIKALAVIMAI ATSISKAITYMO TVARKAI</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lang w:val="lt-LT"/>
        </w:rPr>
      </w:pPr>
      <w:r>
        <w:rPr>
          <w:rFonts w:eastAsia="Times New Roman" w:cs="Times New Roman"/>
          <w:color w:themeColor="text1" w:val="000000"/>
          <w:lang w:val="lt-LT"/>
        </w:rPr>
        <w:t>Apmokėjimai vykdomi dalimis už faktiškai atliktus darbus pagal šioje techninėje specifikacijoje nurodytą Tyrimo įgyvendinimo veiklų planą ir plane numatytų veiksmų atlikimo terminus, vadovaujantis Tiekėjo pasiūlytu ir Perkančiosios organizacijos patvirtintu atsiskaitymų grafiku.</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 xml:space="preserve">Paslaugos suteikimo pabaiga laikoma priėmimo–perdavimo akto ir galutinės sąskaitos faktūros pateikimo Perkančiajai organizacijai diena. </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Perkančioji organizacija už paslaugas teikėjui sumoka per 30 (trisdešimt) kalendorinių dienų nuo sąskaitos faktūros gavimo dienos. </w:t>
      </w:r>
    </w:p>
    <w:p>
      <w:pPr>
        <w:pStyle w:val="NoSpacing"/>
        <w:tabs>
          <w:tab w:val="clear" w:pos="720"/>
          <w:tab w:val="left" w:pos="1276" w:leader="none"/>
          <w:tab w:val="left" w:pos="1418" w:leader="none"/>
        </w:tabs>
        <w:ind w:left="785"/>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Prastasis1"/>
        <w:spacing w:lineRule="auto" w:line="240" w:before="120" w:after="120"/>
        <w:jc w:val="center"/>
        <w:rPr>
          <w:rFonts w:eastAsia="Times New Roman" w:cs="Times New Roman"/>
          <w:b/>
          <w:bCs/>
          <w:color w:val="auto"/>
          <w:lang w:val="lt-LT"/>
        </w:rPr>
      </w:pPr>
      <w:r>
        <w:rPr>
          <w:rFonts w:eastAsia="Times New Roman" w:cs="Times New Roman"/>
          <w:b/>
          <w:bCs/>
          <w:color w:val="auto"/>
          <w:lang w:val="lt-LT"/>
        </w:rPr>
        <w:t>VI SKYRIUS</w:t>
      </w:r>
    </w:p>
    <w:p>
      <w:pPr>
        <w:pStyle w:val="Prastasis1"/>
        <w:spacing w:lineRule="auto" w:line="240" w:before="120" w:after="120"/>
        <w:jc w:val="center"/>
        <w:rPr>
          <w:rFonts w:eastAsia="Times New Roman" w:cs="Times New Roman"/>
          <w:b/>
          <w:bCs/>
          <w:color w:val="auto"/>
          <w:lang w:val="lt-LT"/>
        </w:rPr>
      </w:pPr>
      <w:r>
        <w:rPr>
          <w:rFonts w:eastAsia="Times New Roman" w:cs="Times New Roman"/>
          <w:b/>
          <w:bCs/>
          <w:color w:val="auto"/>
          <w:lang w:val="lt-LT"/>
        </w:rPr>
        <w:t>ASMENS DUOMENŲ TVARKYMAS</w:t>
      </w:r>
    </w:p>
    <w:p>
      <w:pPr>
        <w:pStyle w:val="Prastasis1"/>
        <w:spacing w:lineRule="auto" w:line="240" w:before="120" w:after="120"/>
        <w:jc w:val="center"/>
        <w:rPr>
          <w:rFonts w:eastAsia="Times New Roman" w:cs="Times New Roman"/>
          <w:b/>
          <w:bCs/>
          <w:color w:val="auto"/>
          <w:lang w:val="lt-LT"/>
        </w:rPr>
      </w:pPr>
      <w:r>
        <w:rPr>
          <w:rFonts w:eastAsia="Times New Roman" w:cs="Times New Roman"/>
          <w:b/>
          <w:bCs/>
          <w:color w:val="auto"/>
          <w:lang w:val="lt-LT"/>
        </w:rPr>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Kilus ginčams dėl viešųjų pirkimų organizavimo ar Sutarties vykdymo, Perkančioji organizacija gali tvarkyti 41-44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szCs w:val="24"/>
          <w:lang w:val="lt-LT"/>
        </w:rPr>
      </w:pPr>
      <w:r>
        <w:rPr>
          <w:rFonts w:eastAsia="Times New Roman" w:cs="Times New Roman"/>
          <w:color w:themeColor="text1" w:val="000000"/>
          <w:szCs w:val="24"/>
          <w:lang w:val="lt-LT"/>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Asmens duomenų pateikimas yra privalomas. Nepateikus asmens duomenų Paslaugų teikėjo pasiūlymas negalės būti vertinamas bei nebus galima sudaryti ir vykdyti Sutarties.</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https://vdai.lrv.lt/.</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institutas@hi.lt ar jo duomenų apsaugos pareigūnui el. paštu ada.ekspertai@gmail.com.</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Paslaugų teikėjas, prieš teikdamas pasiūlymą ir prieš sudarydamas Sutartį, nurodytus fizinius asmenis privalo supažindinti su 41-50 punktuose pateikta informacija apie Perkančiosios organizacijos vykdomą asmens duomenų tvarkymą.</w:t>
      </w:r>
    </w:p>
    <w:p>
      <w:pPr>
        <w:pStyle w:val="NoSpacing"/>
        <w:tabs>
          <w:tab w:val="clear" w:pos="720"/>
          <w:tab w:val="left" w:pos="1276" w:leader="none"/>
          <w:tab w:val="left" w:pos="1418" w:leader="none"/>
        </w:tabs>
        <w:ind w:left="785"/>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Spacing"/>
        <w:tabs>
          <w:tab w:val="clear" w:pos="720"/>
          <w:tab w:val="left" w:pos="1276" w:leader="none"/>
          <w:tab w:val="left" w:pos="1418" w:leader="none"/>
        </w:tabs>
        <w:ind w:left="425"/>
        <w:jc w:val="center"/>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Spacing"/>
        <w:tabs>
          <w:tab w:val="clear" w:pos="720"/>
          <w:tab w:val="left" w:pos="1276" w:leader="none"/>
          <w:tab w:val="left" w:pos="1418" w:leader="none"/>
        </w:tabs>
        <w:ind w:left="425"/>
        <w:jc w:val="center"/>
        <w:rPr>
          <w:rFonts w:ascii="Times New Roman" w:hAnsi="Times New Roman" w:cs="Times New Roman"/>
          <w:b/>
          <w:bCs/>
          <w:sz w:val="24"/>
          <w:szCs w:val="24"/>
          <w:lang w:val="lt-LT"/>
        </w:rPr>
      </w:pPr>
      <w:r>
        <w:rPr>
          <w:rFonts w:cs="Times New Roman" w:ascii="Times New Roman" w:hAnsi="Times New Roman"/>
          <w:b/>
          <w:bCs/>
          <w:sz w:val="24"/>
          <w:szCs w:val="24"/>
          <w:lang w:val="lt-LT"/>
        </w:rPr>
        <w:t>VII SKYRIUS</w:t>
      </w:r>
    </w:p>
    <w:p>
      <w:pPr>
        <w:pStyle w:val="NoSpacing"/>
        <w:tabs>
          <w:tab w:val="clear" w:pos="720"/>
          <w:tab w:val="left" w:pos="1276" w:leader="none"/>
          <w:tab w:val="left" w:pos="1418" w:leader="none"/>
        </w:tabs>
        <w:ind w:left="425"/>
        <w:jc w:val="center"/>
        <w:rPr>
          <w:rFonts w:ascii="Times New Roman" w:hAnsi="Times New Roman" w:cs="Times New Roman"/>
          <w:b/>
          <w:bCs/>
          <w:sz w:val="24"/>
          <w:szCs w:val="24"/>
          <w:lang w:val="lt-LT"/>
        </w:rPr>
      </w:pPr>
      <w:r>
        <w:rPr>
          <w:rFonts w:cs="Times New Roman" w:ascii="Times New Roman" w:hAnsi="Times New Roman"/>
          <w:b/>
          <w:bCs/>
          <w:sz w:val="24"/>
          <w:szCs w:val="24"/>
          <w:lang w:val="lt-LT"/>
        </w:rPr>
        <w:t xml:space="preserve"> </w:t>
      </w:r>
      <w:r>
        <w:rPr>
          <w:rFonts w:cs="Times New Roman" w:ascii="Times New Roman" w:hAnsi="Times New Roman"/>
          <w:b/>
          <w:bCs/>
          <w:sz w:val="24"/>
          <w:szCs w:val="24"/>
          <w:lang w:val="lt-LT"/>
        </w:rPr>
        <w:t>MINIMALŪS APLINKOS APSAUGOS KRITERIJAI, KURIE TAIKOMI PASLAUGOMS</w:t>
      </w:r>
    </w:p>
    <w:p>
      <w:pPr>
        <w:pStyle w:val="NoSpacing"/>
        <w:tabs>
          <w:tab w:val="clear" w:pos="720"/>
          <w:tab w:val="left" w:pos="1276" w:leader="none"/>
          <w:tab w:val="left" w:pos="1418" w:leader="none"/>
        </w:tabs>
        <w:ind w:left="425"/>
        <w:jc w:val="center"/>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tabs>
          <w:tab w:val="clear" w:pos="720"/>
          <w:tab w:val="left" w:pos="993" w:leader="none"/>
        </w:tabs>
        <w:spacing w:lineRule="auto" w:line="240" w:before="0" w:after="0"/>
        <w:jc w:val="both"/>
        <w:rPr>
          <w:rFonts w:cs="Times New Roman"/>
          <w:szCs w:val="24"/>
          <w:lang w:val="lt-LT"/>
        </w:rPr>
      </w:pPr>
      <w:r>
        <w:rPr>
          <w:rFonts w:cs="Times New Roman"/>
          <w:szCs w:val="24"/>
          <w:lang w:val="lt-LT"/>
        </w:rPr>
        <w:t> </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 </w:t>
      </w:r>
    </w:p>
    <w:p>
      <w:pPr>
        <w:pStyle w:val="NoSpacing"/>
        <w:numPr>
          <w:ilvl w:val="0"/>
          <w:numId w:val="1"/>
        </w:numPr>
        <w:tabs>
          <w:tab w:val="clear" w:pos="720"/>
          <w:tab w:val="left" w:pos="1276" w:leader="none"/>
          <w:tab w:val="left" w:pos="1418" w:leader="none"/>
          <w:tab w:val="left" w:pos="7920" w:leader="none"/>
        </w:tabs>
        <w:jc w:val="both"/>
        <w:rPr>
          <w:rFonts w:ascii="Times New Roman" w:hAnsi="Times New Roman" w:cs="Times New Roman"/>
          <w:sz w:val="24"/>
          <w:szCs w:val="24"/>
        </w:rPr>
      </w:pPr>
      <w:r>
        <w:rPr>
          <w:rFonts w:eastAsia="Times New Roman" w:cs="Times New Roman" w:ascii="Times New Roman" w:hAnsi="Times New Roman"/>
          <w:sz w:val="24"/>
          <w:szCs w:val="24"/>
          <w:lang w:val="lt-LT"/>
        </w:rPr>
        <w:t>Teikiant paslaugas nebus naudojamas popierius, ataskaitos ir parengta medžiaga pateikiama elektroninėse laikmenose.</w:t>
      </w:r>
    </w:p>
    <w:p>
      <w:pPr>
        <w:pStyle w:val="Normal"/>
        <w:widowControl/>
        <w:bidi w:val="0"/>
        <w:spacing w:lineRule="auto" w:line="276" w:before="0" w:after="200"/>
        <w:jc w:val="left"/>
        <w:rPr/>
      </w:pPr>
      <w:r>
        <w:rPr/>
      </w:r>
    </w:p>
    <w:sectPr>
      <w:headerReference w:type="default" r:id="rId4"/>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85" w:hanging="360"/>
      </w:pPr>
      <w:rPr/>
    </w:lvl>
    <w:lvl w:ilvl="1">
      <w:start w:val="1"/>
      <w:numFmt w:val="decimal"/>
      <w:lvlText w:val="%1.%2."/>
      <w:lvlJc w:val="left"/>
      <w:pPr>
        <w:tabs>
          <w:tab w:val="num" w:pos="0"/>
        </w:tabs>
        <w:ind w:left="810" w:hanging="360"/>
      </w:pPr>
      <w:rPr/>
    </w:lvl>
    <w:lvl w:ilvl="2">
      <w:start w:val="1"/>
      <w:numFmt w:val="decimal"/>
      <w:lvlText w:val="%1.%2.%3."/>
      <w:lvlJc w:val="left"/>
      <w:pPr>
        <w:tabs>
          <w:tab w:val="num" w:pos="0"/>
        </w:tabs>
        <w:ind w:left="1799" w:hanging="720"/>
      </w:pPr>
      <w:rPr/>
    </w:lvl>
    <w:lvl w:ilvl="3">
      <w:start w:val="1"/>
      <w:numFmt w:val="decimal"/>
      <w:lvlText w:val="%1.%2.%3.%4."/>
      <w:lvlJc w:val="left"/>
      <w:pPr>
        <w:tabs>
          <w:tab w:val="num" w:pos="0"/>
        </w:tabs>
        <w:ind w:left="2159" w:hanging="720"/>
      </w:pPr>
      <w:rPr/>
    </w:lvl>
    <w:lvl w:ilvl="4">
      <w:start w:val="1"/>
      <w:numFmt w:val="decimal"/>
      <w:lvlText w:val="%1.%2.%3.%4.%5."/>
      <w:lvlJc w:val="left"/>
      <w:pPr>
        <w:tabs>
          <w:tab w:val="num" w:pos="0"/>
        </w:tabs>
        <w:ind w:left="2879" w:hanging="1080"/>
      </w:pPr>
      <w:rPr/>
    </w:lvl>
    <w:lvl w:ilvl="5">
      <w:start w:val="1"/>
      <w:numFmt w:val="decimal"/>
      <w:lvlText w:val="%1.%2.%3.%4.%5.%6."/>
      <w:lvlJc w:val="left"/>
      <w:pPr>
        <w:tabs>
          <w:tab w:val="num" w:pos="0"/>
        </w:tabs>
        <w:ind w:left="3239" w:hanging="1080"/>
      </w:pPr>
      <w:rPr/>
    </w:lvl>
    <w:lvl w:ilvl="6">
      <w:start w:val="1"/>
      <w:numFmt w:val="decimal"/>
      <w:lvlText w:val="%1.%2.%3.%4.%5.%6.%7."/>
      <w:lvlJc w:val="left"/>
      <w:pPr>
        <w:tabs>
          <w:tab w:val="num" w:pos="0"/>
        </w:tabs>
        <w:ind w:left="3959" w:hanging="1440"/>
      </w:pPr>
      <w:rPr/>
    </w:lvl>
    <w:lvl w:ilvl="7">
      <w:start w:val="1"/>
      <w:numFmt w:val="decimal"/>
      <w:lvlText w:val="%1.%2.%3.%4.%5.%6.%7.%8."/>
      <w:lvlJc w:val="left"/>
      <w:pPr>
        <w:tabs>
          <w:tab w:val="num" w:pos="0"/>
        </w:tabs>
        <w:ind w:left="4319" w:hanging="1440"/>
      </w:pPr>
      <w:rPr/>
    </w:lvl>
    <w:lvl w:ilvl="8">
      <w:start w:val="1"/>
      <w:numFmt w:val="decimal"/>
      <w:lvlText w:val="%1.%2.%3.%4.%5.%6.%7.%8.%9."/>
      <w:lvlJc w:val="left"/>
      <w:pPr>
        <w:tabs>
          <w:tab w:val="num" w:pos="0"/>
        </w:tabs>
        <w:ind w:left="5039" w:hanging="180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3bcd"/>
    <w:pPr>
      <w:widowControl/>
      <w:suppressAutoHyphens w:val="true"/>
      <w:bidi w:val="0"/>
      <w:spacing w:lineRule="auto" w:line="276" w:before="0" w:after="200"/>
      <w:jc w:val="left"/>
    </w:pPr>
    <w:rPr>
      <w:rFonts w:ascii="Times New Roman" w:hAnsi="Times New Roman" w:eastAsia="" w:cs="" w:eastAsiaTheme="minorEastAsia"/>
      <w:color w:val="auto"/>
      <w:kern w:val="0"/>
      <w:sz w:val="24"/>
      <w:szCs w:val="22"/>
      <w:lang w:val="en-US" w:eastAsia="en-US" w:bidi="ar-SA"/>
      <w14:ligatures w14:val="none"/>
    </w:rPr>
  </w:style>
  <w:style w:type="paragraph" w:styleId="Heading1">
    <w:name w:val="Heading 1"/>
    <w:basedOn w:val="Normal"/>
    <w:next w:val="Normal"/>
    <w:link w:val="Antrat1Diagrama"/>
    <w:uiPriority w:val="9"/>
    <w:qFormat/>
    <w:rsid w:val="00f13bcd"/>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f13bcd"/>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f13bcd"/>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Antrat4Diagrama"/>
    <w:uiPriority w:val="9"/>
    <w:semiHidden/>
    <w:unhideWhenUsed/>
    <w:qFormat/>
    <w:rsid w:val="00f13bcd"/>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Antrat5Diagrama"/>
    <w:uiPriority w:val="9"/>
    <w:semiHidden/>
    <w:unhideWhenUsed/>
    <w:qFormat/>
    <w:rsid w:val="00f13bcd"/>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Antrat6Diagrama"/>
    <w:uiPriority w:val="9"/>
    <w:semiHidden/>
    <w:unhideWhenUsed/>
    <w:qFormat/>
    <w:rsid w:val="00f13bc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f13bc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f13bc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f13bc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f13bcd"/>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f13bcd"/>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f13bcd"/>
    <w:rPr>
      <w:rFonts w:eastAsia="" w:cs="" w:cstheme="majorBidi" w:eastAsiaTheme="majorEastAsia"/>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f13bcd"/>
    <w:rPr>
      <w:rFonts w:eastAsia="" w:cs="" w:cstheme="majorBidi" w:eastAsiaTheme="majorEastAsia"/>
      <w:i/>
      <w:iCs/>
      <w:color w:themeColor="accent1" w:themeShade="bf" w:val="2F5496"/>
    </w:rPr>
  </w:style>
  <w:style w:type="character" w:styleId="Antrat5Diagrama" w:customStyle="1">
    <w:name w:val="Antraštė 5 Diagrama"/>
    <w:basedOn w:val="DefaultParagraphFont"/>
    <w:link w:val="Heading5"/>
    <w:uiPriority w:val="9"/>
    <w:semiHidden/>
    <w:qFormat/>
    <w:rsid w:val="00f13bcd"/>
    <w:rPr>
      <w:rFonts w:eastAsia="" w:cs="" w:cstheme="majorBidi" w:eastAsiaTheme="majorEastAsia"/>
      <w:color w:themeColor="accent1" w:themeShade="bf" w:val="2F5496"/>
    </w:rPr>
  </w:style>
  <w:style w:type="character" w:styleId="Antrat6Diagrama" w:customStyle="1">
    <w:name w:val="Antraštė 6 Diagrama"/>
    <w:basedOn w:val="DefaultParagraphFont"/>
    <w:link w:val="Heading6"/>
    <w:uiPriority w:val="9"/>
    <w:semiHidden/>
    <w:qFormat/>
    <w:rsid w:val="00f13bcd"/>
    <w:rPr>
      <w:rFonts w:eastAsia="" w:cs="" w:cstheme="majorBidi" w:eastAsiaTheme="majorEastAsia"/>
      <w:i/>
      <w:iCs/>
      <w:color w:themeColor="text1" w:themeTint="a6" w:val="595959"/>
    </w:rPr>
  </w:style>
  <w:style w:type="character" w:styleId="Antrat7Diagrama" w:customStyle="1">
    <w:name w:val="Antraštė 7 Diagrama"/>
    <w:basedOn w:val="DefaultParagraphFont"/>
    <w:link w:val="Heading7"/>
    <w:uiPriority w:val="9"/>
    <w:semiHidden/>
    <w:qFormat/>
    <w:rsid w:val="00f13bcd"/>
    <w:rPr>
      <w:rFonts w:eastAsia="" w:cs="" w:cstheme="majorBidi" w:eastAsiaTheme="majorEastAsia"/>
      <w:color w:themeColor="text1" w:themeTint="a6" w:val="595959"/>
    </w:rPr>
  </w:style>
  <w:style w:type="character" w:styleId="Antrat8Diagrama" w:customStyle="1">
    <w:name w:val="Antraštė 8 Diagrama"/>
    <w:basedOn w:val="DefaultParagraphFont"/>
    <w:link w:val="Heading8"/>
    <w:uiPriority w:val="9"/>
    <w:semiHidden/>
    <w:qFormat/>
    <w:rsid w:val="00f13bcd"/>
    <w:rPr>
      <w:rFonts w:eastAsia="" w:cs="" w:cstheme="majorBidi" w:eastAsiaTheme="majorEastAsia"/>
      <w:i/>
      <w:iCs/>
      <w:color w:themeColor="text1" w:themeTint="d8" w:val="272727"/>
    </w:rPr>
  </w:style>
  <w:style w:type="character" w:styleId="Antrat9Diagrama" w:customStyle="1">
    <w:name w:val="Antraštė 9 Diagrama"/>
    <w:basedOn w:val="DefaultParagraphFont"/>
    <w:link w:val="Heading9"/>
    <w:uiPriority w:val="9"/>
    <w:semiHidden/>
    <w:qFormat/>
    <w:rsid w:val="00f13bcd"/>
    <w:rPr>
      <w:rFonts w:eastAsia="" w:cs="" w:cstheme="majorBidi" w:eastAsiaTheme="majorEastAsia"/>
      <w:color w:themeColor="text1" w:themeTint="d8" w:val="272727"/>
    </w:rPr>
  </w:style>
  <w:style w:type="character" w:styleId="PavadinimasDiagrama" w:customStyle="1">
    <w:name w:val="Pavadinimas Diagrama"/>
    <w:basedOn w:val="DefaultParagraphFont"/>
    <w:link w:val="Title"/>
    <w:uiPriority w:val="10"/>
    <w:qFormat/>
    <w:rsid w:val="00f13bcd"/>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f13bcd"/>
    <w:rPr>
      <w:rFonts w:eastAsia="" w:cs="" w:cstheme="majorBidi" w:eastAsiaTheme="majorEastAsia"/>
      <w:color w:themeColor="text1" w:themeTint="a6" w:val="595959"/>
      <w:spacing w:val="15"/>
      <w:sz w:val="28"/>
      <w:szCs w:val="28"/>
    </w:rPr>
  </w:style>
  <w:style w:type="character" w:styleId="CitataDiagrama" w:customStyle="1">
    <w:name w:val="Citata Diagrama"/>
    <w:basedOn w:val="DefaultParagraphFont"/>
    <w:link w:val="Quote"/>
    <w:uiPriority w:val="29"/>
    <w:qFormat/>
    <w:rsid w:val="00f13bcd"/>
    <w:rPr>
      <w:i/>
      <w:iCs/>
      <w:color w:themeColor="text1" w:themeTint="bf" w:val="404040"/>
    </w:rPr>
  </w:style>
  <w:style w:type="character" w:styleId="IntenseEmphasis">
    <w:name w:val="Intense Emphasis"/>
    <w:basedOn w:val="DefaultParagraphFont"/>
    <w:uiPriority w:val="21"/>
    <w:qFormat/>
    <w:rsid w:val="00f13bcd"/>
    <w:rPr>
      <w:i/>
      <w:iCs/>
      <w:color w:themeColor="accent1" w:themeShade="bf" w:val="2F5496"/>
    </w:rPr>
  </w:style>
  <w:style w:type="character" w:styleId="IskirtacitataDiagrama" w:customStyle="1">
    <w:name w:val="Išskirta citata Diagrama"/>
    <w:basedOn w:val="DefaultParagraphFont"/>
    <w:link w:val="IntenseQuote"/>
    <w:uiPriority w:val="30"/>
    <w:qFormat/>
    <w:rsid w:val="00f13bcd"/>
    <w:rPr>
      <w:i/>
      <w:iCs/>
      <w:color w:themeColor="accent1" w:themeShade="bf" w:val="2F5496"/>
    </w:rPr>
  </w:style>
  <w:style w:type="character" w:styleId="IntenseReference">
    <w:name w:val="Intense Reference"/>
    <w:basedOn w:val="DefaultParagraphFont"/>
    <w:uiPriority w:val="32"/>
    <w:qFormat/>
    <w:rsid w:val="00f13bcd"/>
    <w:rPr>
      <w:b/>
      <w:bCs/>
      <w:smallCaps/>
      <w:color w:themeColor="accent1" w:themeShade="bf" w:val="2F5496"/>
      <w:spacing w:val="5"/>
    </w:rPr>
  </w:style>
  <w:style w:type="character" w:styleId="AntratsDiagrama" w:customStyle="1">
    <w:name w:val="Antraštės Diagrama"/>
    <w:basedOn w:val="DefaultParagraphFont"/>
    <w:link w:val="Header"/>
    <w:uiPriority w:val="99"/>
    <w:qFormat/>
    <w:rsid w:val="00f13bcd"/>
    <w:rPr>
      <w:rFonts w:ascii="Times New Roman" w:hAnsi="Times New Roman" w:eastAsia="" w:eastAsiaTheme="minorEastAsia"/>
      <w:kern w:val="0"/>
      <w:szCs w:val="22"/>
      <w14:ligatures w14:val="none"/>
    </w:rPr>
  </w:style>
  <w:style w:type="character" w:styleId="SraopastraipaDiagrama" w:customStyle="1">
    <w:name w:val="Sąrašo pastraipa Diagrama"/>
    <w:link w:val="ListParagraph"/>
    <w:uiPriority w:val="34"/>
    <w:qFormat/>
    <w:locked/>
    <w:rsid w:val="00f13bcd"/>
    <w:rPr/>
  </w:style>
  <w:style w:type="character" w:styleId="Hyperlink">
    <w:name w:val="Hyperlink"/>
    <w:basedOn w:val="DefaultParagraphFont"/>
    <w:uiPriority w:val="99"/>
    <w:unhideWhenUsed/>
    <w:rsid w:val="00f13bcd"/>
    <w:rPr>
      <w:color w:themeColor="hyperlink" w:val="0563C1"/>
      <w:u w:val="single"/>
    </w:rPr>
  </w:style>
  <w:style w:type="character" w:styleId="Annotationreference">
    <w:name w:val="annotation reference"/>
    <w:basedOn w:val="DefaultParagraphFont"/>
    <w:uiPriority w:val="99"/>
    <w:semiHidden/>
    <w:unhideWhenUsed/>
    <w:qFormat/>
    <w:rsid w:val="006720dd"/>
    <w:rPr>
      <w:sz w:val="16"/>
      <w:szCs w:val="16"/>
    </w:rPr>
  </w:style>
  <w:style w:type="character" w:styleId="KomentarotekstasDiagrama" w:customStyle="1">
    <w:name w:val="Komentaro tekstas Diagrama"/>
    <w:basedOn w:val="DefaultParagraphFont"/>
    <w:link w:val="Annotationtext"/>
    <w:uiPriority w:val="99"/>
    <w:qFormat/>
    <w:rsid w:val="006720dd"/>
    <w:rPr>
      <w:rFonts w:ascii="Times New Roman" w:hAnsi="Times New Roman" w:eastAsia="" w:eastAsiaTheme="minorEastAsia"/>
      <w:kern w:val="0"/>
      <w:sz w:val="20"/>
      <w:szCs w:val="20"/>
      <w14:ligatures w14:val="none"/>
    </w:rPr>
  </w:style>
  <w:style w:type="character" w:styleId="KomentarotemaDiagrama" w:customStyle="1">
    <w:name w:val="Komentaro tema Diagrama"/>
    <w:basedOn w:val="KomentarotekstasDiagrama"/>
    <w:link w:val="Annotationsubject"/>
    <w:uiPriority w:val="99"/>
    <w:semiHidden/>
    <w:qFormat/>
    <w:rsid w:val="006720dd"/>
    <w:rPr>
      <w:rFonts w:ascii="Times New Roman" w:hAnsi="Times New Roman" w:eastAsia="" w:eastAsiaTheme="minorEastAsia"/>
      <w:b/>
      <w:bCs/>
      <w:kern w:val="0"/>
      <w:sz w:val="20"/>
      <w:szCs w:val="20"/>
      <w14:ligatures w14:val="none"/>
    </w:rPr>
  </w:style>
  <w:style w:type="character" w:styleId="PoratDiagrama" w:customStyle="1">
    <w:name w:val="Poraštė Diagrama"/>
    <w:basedOn w:val="DefaultParagraphFont"/>
    <w:link w:val="Footer"/>
    <w:uiPriority w:val="99"/>
    <w:qFormat/>
    <w:rsid w:val="005d6f28"/>
    <w:rPr>
      <w:rFonts w:ascii="Times New Roman" w:hAnsi="Times New Roman" w:eastAsia="" w:eastAsiaTheme="minorEastAsia"/>
      <w:kern w:val="0"/>
      <w:szCs w:val="22"/>
      <w14:ligatures w14:val="none"/>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f13bcd"/>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f13bcd"/>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f13bcd"/>
    <w:pPr>
      <w:spacing w:before="160" w:after="200"/>
      <w:jc w:val="center"/>
    </w:pPr>
    <w:rPr>
      <w:i/>
      <w:iCs/>
      <w:color w:themeColor="text1" w:themeTint="bf" w:val="404040"/>
    </w:rPr>
  </w:style>
  <w:style w:type="paragraph" w:styleId="ListParagraph">
    <w:name w:val="List Paragraph"/>
    <w:basedOn w:val="Normal"/>
    <w:link w:val="SraopastraipaDiagrama"/>
    <w:uiPriority w:val="34"/>
    <w:qFormat/>
    <w:rsid w:val="00f13bcd"/>
    <w:pPr>
      <w:spacing w:before="0" w:after="200"/>
      <w:ind w:left="720"/>
      <w:contextualSpacing/>
    </w:pPr>
    <w:rPr/>
  </w:style>
  <w:style w:type="paragraph" w:styleId="IntenseQuote">
    <w:name w:val="Intense Quote"/>
    <w:basedOn w:val="Normal"/>
    <w:next w:val="Normal"/>
    <w:link w:val="IskirtacitataDiagrama"/>
    <w:uiPriority w:val="30"/>
    <w:qFormat/>
    <w:rsid w:val="00f13bcd"/>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13bcd"/>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13bcd"/>
    <w:pPr>
      <w:widowControl/>
      <w:suppressAutoHyphens w:val="true"/>
      <w:bidi w:val="0"/>
      <w:spacing w:lineRule="auto" w:line="240" w:before="0" w:after="0"/>
      <w:jc w:val="left"/>
    </w:pPr>
    <w:rPr>
      <w:rFonts w:ascii="Calibri" w:hAnsi="Calibri" w:eastAsia="" w:cs="" w:eastAsiaTheme="minorEastAsia"/>
      <w:color w:val="auto"/>
      <w:kern w:val="0"/>
      <w:sz w:val="22"/>
      <w:szCs w:val="22"/>
      <w:lang w:val="en-US" w:eastAsia="en-US" w:bidi="ar-SA"/>
      <w14:ligatures w14:val="none"/>
    </w:rPr>
  </w:style>
  <w:style w:type="paragraph" w:styleId="Standard" w:customStyle="1">
    <w:name w:val="Standard"/>
    <w:qFormat/>
    <w:rsid w:val="00f13bcd"/>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lt-LT" w:eastAsia="lt-LT" w:bidi="ar-SA"/>
      <w14:ligatures w14:val="none"/>
    </w:rPr>
  </w:style>
  <w:style w:type="paragraph" w:styleId="Prastasis1" w:customStyle="1">
    <w:name w:val="Įprastasis1"/>
    <w:qFormat/>
    <w:rsid w:val="00f13bcd"/>
    <w:pPr>
      <w:widowControl w:val="false"/>
      <w:suppressAutoHyphens w:val="true"/>
      <w:bidi w:val="0"/>
      <w:spacing w:lineRule="auto" w:line="276" w:before="0" w:after="200"/>
      <w:jc w:val="left"/>
    </w:pPr>
    <w:rPr>
      <w:rFonts w:ascii="Times New Roman" w:hAnsi="Times New Roman" w:eastAsia="Calibri" w:cs="Calibri"/>
      <w:color w:val="00000A"/>
      <w:kern w:val="2"/>
      <w:sz w:val="24"/>
      <w:szCs w:val="24"/>
      <w:lang w:val="en-US" w:eastAsia="en-US" w:bidi="ar-SA"/>
      <w14:ligatures w14:val="none"/>
    </w:rPr>
  </w:style>
  <w:style w:type="paragraph" w:styleId="Annotationtext">
    <w:name w:val="annotation text"/>
    <w:basedOn w:val="Normal"/>
    <w:link w:val="KomentarotekstasDiagrama"/>
    <w:uiPriority w:val="99"/>
    <w:unhideWhenUsed/>
    <w:qFormat/>
    <w:rsid w:val="006720dd"/>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720dd"/>
    <w:pPr/>
    <w:rPr>
      <w:b/>
      <w:bCs/>
    </w:rPr>
  </w:style>
  <w:style w:type="paragraph" w:styleId="Footer">
    <w:name w:val="Footer"/>
    <w:basedOn w:val="Normal"/>
    <w:link w:val="PoratDiagrama"/>
    <w:uiPriority w:val="99"/>
    <w:unhideWhenUsed/>
    <w:rsid w:val="005d6f28"/>
    <w:pPr>
      <w:tabs>
        <w:tab w:val="clear" w:pos="720"/>
        <w:tab w:val="center" w:pos="4986" w:leader="none"/>
        <w:tab w:val="right" w:pos="9972" w:leader="none"/>
      </w:tabs>
      <w:spacing w:lineRule="auto" w:line="240" w:before="0" w:after="0"/>
    </w:pPr>
    <w:rPr/>
  </w:style>
  <w:style w:type="paragraph" w:styleId="Revision">
    <w:name w:val="Revision"/>
    <w:uiPriority w:val="99"/>
    <w:semiHidden/>
    <w:qFormat/>
    <w:rsid w:val="00552214"/>
    <w:pPr>
      <w:widowControl/>
      <w:suppressAutoHyphens w:val="true"/>
      <w:bidi w:val="0"/>
      <w:spacing w:lineRule="auto" w:line="240" w:before="0" w:after="0"/>
      <w:jc w:val="left"/>
    </w:pPr>
    <w:rPr>
      <w:rFonts w:ascii="Times New Roman" w:hAnsi="Times New Roman" w:eastAsia="" w:cs="" w:eastAsiaTheme="minorEastAsia"/>
      <w:color w:val="auto"/>
      <w:kern w:val="0"/>
      <w:sz w:val="24"/>
      <w:szCs w:val="22"/>
      <w:lang w:val="en-US" w:eastAsia="en-US" w:bidi="ar-SA"/>
      <w14:ligatures w14:val="none"/>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f13bcd"/>
    <w:pPr>
      <w:spacing w:after="0" w:line="240" w:lineRule="auto"/>
    </w:pPr>
    <w:rPr>
      <w:rFonts w:eastAsiaTheme="minorEastAs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eimas.lrs.lt/portal/legalAct/lt/TAD/d1c7e620917511e8aa33fe8f0fea665f/asr" TargetMode="External"/><Relationship Id="rId3" Type="http://schemas.openxmlformats.org/officeDocument/2006/relationships/hyperlink" Target="https://e-seimas.lrs.lt/portal/legalAct/lt/TAD/25689912b18611ee8172b53a675305ab"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16a60416f17b14625ea6f236b49bfec7">
  <xsd:schema xmlns:xsd="http://www.w3.org/2001/XMLSchema" xmlns:xs="http://www.w3.org/2001/XMLSchema" xmlns:p="http://schemas.microsoft.com/office/2006/metadata/properties" xmlns:ns2="d1b24185-aeae-4433-b70e-7616315af5c2" targetNamespace="http://schemas.microsoft.com/office/2006/metadata/properties" ma:root="true" ma:fieldsID="713e6cc9be1501837a571ed12916bccc"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BD1D8-9F42-41C8-B000-2A768D486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48657-3234-4623-9DFD-DF69D4461F58}">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62AA34AC-C329-47E6-9AFE-267F76878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LibreOffice/7.6.4.1$Windows_X86_64 LibreOffice_project/e19e193f88cd6c0525a17fb7a176ed8e6a3e2aa1</Application>
  <AppVersion>15.0000</AppVersion>
  <Pages>9</Pages>
  <Words>2588</Words>
  <Characters>18681</Characters>
  <CharactersWithSpaces>21148</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2026-03-03T14:31:00Z</dcterms:created>
  <dc:creator>Renata Gintalė</dc:creator>
  <dc:description/>
  <dc:language>en-US</dc:language>
  <cp:lastModifiedBy/>
  <dcterms:modified xsi:type="dcterms:W3CDTF">2026-03-24T21:58:03Z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