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9"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73062B"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603C137E" w:rsidR="00B757D3" w:rsidRPr="00B757D3" w:rsidRDefault="00B757D3" w:rsidP="00B757D3">
      <w:pPr>
        <w:jc w:val="center"/>
        <w:rPr>
          <w:b/>
          <w:bCs/>
          <w:caps/>
          <w:smallCaps/>
          <w:color w:val="000000"/>
          <w:lang w:val="lt-LT" w:eastAsia="en-US"/>
        </w:rPr>
      </w:pPr>
      <w:r w:rsidRPr="00B757D3">
        <w:rPr>
          <w:b/>
          <w:color w:val="000000"/>
          <w:lang w:val="lt-LT" w:eastAsia="en-US"/>
        </w:rPr>
        <w:t>„</w:t>
      </w:r>
      <w:r w:rsidR="004C5961">
        <w:rPr>
          <w:b/>
          <w:caps/>
          <w:color w:val="000000"/>
          <w:lang w:val="lt-LT" w:eastAsia="en-US"/>
        </w:rPr>
        <w:t>traukos spinta</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065DFA9D"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BB4C08">
        <w:rPr>
          <w:bCs/>
          <w:lang w:val="lt-LT"/>
        </w:rPr>
        <w:t>traukos spintai</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B81C36">
        <w:rPr>
          <w:lang w:val="lt-LT" w:eastAsia="lt-LT"/>
        </w:rPr>
        <w:t xml:space="preserve">, </w:t>
      </w:r>
      <w:r w:rsidR="00BB4C08">
        <w:rPr>
          <w:lang w:val="lt-LT" w:eastAsia="lt-LT"/>
        </w:rPr>
        <w:t>39141500-7</w:t>
      </w:r>
      <w:r w:rsidR="00B81C36">
        <w:rPr>
          <w:lang w:val="lt-LT" w:eastAsia="lt-LT"/>
        </w:rPr>
        <w:t xml:space="preserve"> – „</w:t>
      </w:r>
      <w:r w:rsidR="00BB4C08">
        <w:rPr>
          <w:lang w:val="lt-LT" w:eastAsia="lt-LT"/>
        </w:rPr>
        <w:t>Traukos spint</w:t>
      </w:r>
      <w:r w:rsidR="00091CCD">
        <w:rPr>
          <w:lang w:val="lt-LT" w:eastAsia="lt-LT"/>
        </w:rPr>
        <w:t>os</w:t>
      </w:r>
      <w:r w:rsidR="00B81C36">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1C31C974"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B81C36">
        <w:rPr>
          <w:iCs/>
          <w:lang w:val="lt-LT"/>
        </w:rPr>
        <w:t>3</w:t>
      </w:r>
      <w:r w:rsidR="00B75318">
        <w:rPr>
          <w:iCs/>
          <w:lang w:val="lt-LT"/>
        </w:rPr>
        <w:t>0 kalendorinių dienų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C58CF5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B81C36">
        <w:rPr>
          <w:b/>
          <w:bCs/>
          <w:iCs/>
          <w:color w:val="000000"/>
          <w:u w:val="single"/>
          <w:lang w:val="lt-LT" w:eastAsia="en-US"/>
        </w:rPr>
        <w:t xml:space="preserve">kovo </w:t>
      </w:r>
      <w:r w:rsidR="0073062B">
        <w:rPr>
          <w:b/>
          <w:bCs/>
          <w:iCs/>
          <w:color w:val="000000"/>
          <w:u w:val="single"/>
          <w:lang w:val="lt-LT" w:eastAsia="en-US"/>
        </w:rPr>
        <w:t>31</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4316CAB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B81C36">
        <w:rPr>
          <w:b/>
          <w:bCs/>
          <w:color w:val="000000"/>
          <w:lang w:val="lt-LT" w:eastAsia="en-US"/>
        </w:rPr>
        <w:t>03-</w:t>
      </w:r>
      <w:r w:rsidR="0073062B">
        <w:rPr>
          <w:b/>
          <w:bCs/>
          <w:color w:val="000000"/>
          <w:lang w:val="lt-LT" w:eastAsia="en-US"/>
        </w:rPr>
        <w:t>31</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B81C36">
        <w:rPr>
          <w:b/>
          <w:bCs/>
          <w:color w:val="000000"/>
          <w:lang w:val="lt-LT" w:eastAsia="en-US"/>
        </w:rPr>
        <w:t>03-</w:t>
      </w:r>
      <w:r w:rsidR="0073062B">
        <w:rPr>
          <w:b/>
          <w:bCs/>
          <w:color w:val="000000"/>
          <w:lang w:val="lt-LT" w:eastAsia="en-US"/>
        </w:rPr>
        <w:t>31</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B81C36">
        <w:rPr>
          <w:b/>
          <w:iCs/>
          <w:u w:val="single"/>
          <w:lang w:val="lt-LT" w:eastAsia="en-US"/>
        </w:rPr>
        <w:t>kovo</w:t>
      </w:r>
      <w:r w:rsidRPr="00B757D3">
        <w:rPr>
          <w:b/>
          <w:iCs/>
          <w:u w:val="single"/>
          <w:lang w:val="lt-LT" w:eastAsia="en-US"/>
        </w:rPr>
        <w:t xml:space="preserve"> mėn. </w:t>
      </w:r>
      <w:r w:rsidR="0073062B">
        <w:rPr>
          <w:b/>
          <w:iCs/>
          <w:u w:val="single"/>
          <w:lang w:val="lt-LT" w:eastAsia="en-US"/>
        </w:rPr>
        <w:t>31</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22E1DEE0" w14:textId="77777777" w:rsidR="0073062B" w:rsidRPr="00455D9F" w:rsidRDefault="0073062B" w:rsidP="0073062B">
      <w:pPr>
        <w:tabs>
          <w:tab w:val="left" w:pos="993"/>
          <w:tab w:val="left" w:pos="1418"/>
        </w:tabs>
        <w:ind w:firstLine="720"/>
        <w:jc w:val="both"/>
        <w:rPr>
          <w:lang w:val="lt-LT" w:eastAsia="en-US"/>
        </w:rPr>
      </w:pPr>
      <w:r w:rsidRPr="00455D9F">
        <w:rPr>
          <w:lang w:val="lt-LT" w:eastAsia="en-US"/>
        </w:rPr>
        <w:t xml:space="preserve">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73062B" w:rsidRPr="00455D9F" w14:paraId="21F76BAC" w14:textId="77777777" w:rsidTr="00721F7A">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E2FF125" w14:textId="77777777" w:rsidR="0073062B" w:rsidRPr="00455D9F" w:rsidRDefault="0073062B" w:rsidP="00721F7A">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2042F402" w14:textId="77777777" w:rsidR="0073062B" w:rsidRPr="00455D9F" w:rsidRDefault="0073062B" w:rsidP="00721F7A">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4397A2DB" w14:textId="77777777" w:rsidR="0073062B" w:rsidRPr="00455D9F" w:rsidRDefault="0073062B" w:rsidP="00721F7A">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B4F72E4" w14:textId="77777777" w:rsidR="0073062B" w:rsidRPr="00455D9F" w:rsidRDefault="0073062B" w:rsidP="00721F7A">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73062B" w:rsidRPr="00455D9F" w14:paraId="57F2890E" w14:textId="77777777" w:rsidTr="00721F7A">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BEA6CF8" w14:textId="77777777" w:rsidR="0073062B" w:rsidRPr="00455D9F" w:rsidRDefault="0073062B" w:rsidP="00721F7A">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5B632482" w14:textId="72F78BEB" w:rsidR="0073062B" w:rsidRPr="00455D9F" w:rsidRDefault="0073062B" w:rsidP="00721F7A">
            <w:pPr>
              <w:pStyle w:val="Body2"/>
              <w:widowControl w:val="0"/>
              <w:spacing w:after="0"/>
              <w:rPr>
                <w:rFonts w:cs="Times New Roman"/>
                <w:bCs/>
                <w:color w:val="FF0000"/>
                <w:lang w:val="lt-LT"/>
              </w:rPr>
            </w:pPr>
            <w:r>
              <w:rPr>
                <w:bCs/>
                <w:lang w:val="lt-LT"/>
              </w:rPr>
              <w:t>Traukos spinta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57C74D5" w14:textId="62205923" w:rsidR="0073062B" w:rsidRPr="00455D9F" w:rsidRDefault="0073062B" w:rsidP="00721F7A">
            <w:pPr>
              <w:widowControl w:val="0"/>
              <w:jc w:val="center"/>
              <w:rPr>
                <w:lang w:val="lt-LT"/>
              </w:rPr>
            </w:pPr>
            <w:r>
              <w:rPr>
                <w:lang w:val="lt-LT"/>
              </w:rPr>
              <w:t>826,45</w:t>
            </w:r>
          </w:p>
        </w:tc>
        <w:tc>
          <w:tcPr>
            <w:tcW w:w="2126" w:type="dxa"/>
            <w:tcBorders>
              <w:top w:val="single" w:sz="4" w:space="0" w:color="000000"/>
              <w:left w:val="single" w:sz="4" w:space="0" w:color="000000"/>
              <w:bottom w:val="single" w:sz="4" w:space="0" w:color="000000"/>
              <w:right w:val="single" w:sz="4" w:space="0" w:color="000000"/>
            </w:tcBorders>
            <w:vAlign w:val="center"/>
          </w:tcPr>
          <w:p w14:paraId="129ACE8C" w14:textId="061858CD" w:rsidR="0073062B" w:rsidRPr="00455D9F" w:rsidRDefault="0073062B" w:rsidP="00721F7A">
            <w:pPr>
              <w:widowControl w:val="0"/>
              <w:jc w:val="center"/>
              <w:rPr>
                <w:lang w:val="lt-LT"/>
              </w:rPr>
            </w:pPr>
            <w:r>
              <w:rPr>
                <w:lang w:val="lt-LT"/>
              </w:rPr>
              <w:t>1000</w:t>
            </w:r>
            <w:r>
              <w:rPr>
                <w:lang w:val="lt-LT"/>
              </w:rPr>
              <w:t>,00</w:t>
            </w:r>
          </w:p>
        </w:tc>
      </w:tr>
    </w:tbl>
    <w:p w14:paraId="2D77D1AC" w14:textId="77777777" w:rsidR="0073062B" w:rsidRPr="00787D50" w:rsidRDefault="0073062B" w:rsidP="00B81C36">
      <w:pPr>
        <w:tabs>
          <w:tab w:val="left" w:pos="993"/>
          <w:tab w:val="left" w:pos="1418"/>
        </w:tabs>
        <w:ind w:firstLine="720"/>
        <w:jc w:val="both"/>
        <w:rPr>
          <w:lang w:val="lt-LT" w:eastAsia="en-US"/>
        </w:rPr>
      </w:pP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w:t>
      </w:r>
      <w:r w:rsidRPr="00B757D3">
        <w:rPr>
          <w:spacing w:val="-4"/>
          <w:lang w:val="lt-LT" w:eastAsia="en-US"/>
        </w:rPr>
        <w:lastRenderedPageBreak/>
        <w:t>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1AA6191D" w:rsidR="00787D50" w:rsidRPr="009476FC" w:rsidRDefault="00BB4C08" w:rsidP="00787D50">
      <w:pPr>
        <w:jc w:val="center"/>
        <w:rPr>
          <w:b/>
          <w:color w:val="000000"/>
          <w:lang w:val="lt-LT" w:eastAsia="en-US"/>
        </w:rPr>
      </w:pPr>
      <w:r>
        <w:rPr>
          <w:b/>
          <w:caps/>
          <w:color w:val="000000"/>
          <w:lang w:val="lt-LT" w:eastAsia="en-US"/>
        </w:rPr>
        <w:t>traukos spintos</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3062B"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73062B"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73062B"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73062B"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3062B"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024"/>
        <w:gridCol w:w="1134"/>
        <w:gridCol w:w="992"/>
        <w:gridCol w:w="1134"/>
        <w:gridCol w:w="1276"/>
        <w:gridCol w:w="3827"/>
      </w:tblGrid>
      <w:tr w:rsidR="00EE37B7" w:rsidRPr="0073062B" w14:paraId="35027E36" w14:textId="7E2D5F72" w:rsidTr="00EE37B7">
        <w:trPr>
          <w:trHeight w:val="532"/>
        </w:trPr>
        <w:tc>
          <w:tcPr>
            <w:tcW w:w="14778" w:type="dxa"/>
            <w:gridSpan w:val="7"/>
            <w:vAlign w:val="center"/>
          </w:tcPr>
          <w:p w14:paraId="283E8282" w14:textId="77777777" w:rsidR="00EE37B7" w:rsidRPr="006D254C" w:rsidRDefault="00EE37B7" w:rsidP="005D4FA1">
            <w:pPr>
              <w:jc w:val="both"/>
              <w:rPr>
                <w:b/>
                <w:bCs/>
                <w:lang w:val="lt-LT"/>
              </w:rPr>
            </w:pPr>
            <w:r w:rsidRPr="006D254C">
              <w:rPr>
                <w:b/>
                <w:bCs/>
                <w:lang w:val="lt-LT"/>
              </w:rPr>
              <w:t>BALDŲ PIRKIMO TECHNINĖ SPECIFIKACIJA</w:t>
            </w:r>
          </w:p>
          <w:p w14:paraId="01219045" w14:textId="77777777" w:rsidR="00EE37B7" w:rsidRPr="006D254C" w:rsidRDefault="00EE37B7" w:rsidP="005D4FA1">
            <w:pPr>
              <w:jc w:val="both"/>
              <w:rPr>
                <w:b/>
                <w:bCs/>
                <w:lang w:val="lt-LT"/>
              </w:rPr>
            </w:pPr>
            <w:r w:rsidRPr="006D254C">
              <w:rPr>
                <w:b/>
                <w:bCs/>
                <w:lang w:val="lt-LT"/>
              </w:rPr>
              <w:t>Bendrieji reikalavimai:</w:t>
            </w:r>
          </w:p>
          <w:p w14:paraId="05A0374F" w14:textId="77777777" w:rsidR="0075735D" w:rsidRPr="006D254C" w:rsidRDefault="0075735D" w:rsidP="0075735D">
            <w:pPr>
              <w:pStyle w:val="Sraopastraipa"/>
              <w:numPr>
                <w:ilvl w:val="0"/>
                <w:numId w:val="6"/>
              </w:numPr>
              <w:jc w:val="both"/>
              <w:rPr>
                <w:lang w:val="lt-LT"/>
              </w:rPr>
            </w:pPr>
            <w:r w:rsidRPr="006D254C">
              <w:rPr>
                <w:lang w:val="lt-LT"/>
              </w:rPr>
              <w:t>Visi baldai turi būti pristatomi ir surenkami tiekėjo lėšomis, perkančiosios organizacijos atstovo nurodytoje vietoje (Jonavos mieste).</w:t>
            </w:r>
          </w:p>
          <w:p w14:paraId="6E767C68" w14:textId="77777777" w:rsidR="0075735D" w:rsidRPr="006D254C" w:rsidRDefault="0075735D" w:rsidP="0075735D">
            <w:pPr>
              <w:pStyle w:val="Sraopastraipa"/>
              <w:numPr>
                <w:ilvl w:val="0"/>
                <w:numId w:val="6"/>
              </w:numPr>
              <w:jc w:val="both"/>
              <w:rPr>
                <w:lang w:val="lt-LT"/>
              </w:rPr>
            </w:pPr>
            <w:r w:rsidRPr="006D254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6D254C" w:rsidRDefault="0075735D" w:rsidP="0075735D">
            <w:pPr>
              <w:pStyle w:val="Sraopastraipa"/>
              <w:numPr>
                <w:ilvl w:val="0"/>
                <w:numId w:val="6"/>
              </w:numPr>
              <w:jc w:val="both"/>
              <w:rPr>
                <w:lang w:val="lt-LT"/>
              </w:rPr>
            </w:pPr>
            <w:r w:rsidRPr="006D254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6D254C" w:rsidRDefault="0075735D" w:rsidP="0075735D">
            <w:pPr>
              <w:pStyle w:val="Sraopastraipa"/>
              <w:numPr>
                <w:ilvl w:val="0"/>
                <w:numId w:val="6"/>
              </w:numPr>
              <w:jc w:val="both"/>
              <w:rPr>
                <w:lang w:val="lt-LT"/>
              </w:rPr>
            </w:pPr>
            <w:r w:rsidRPr="006D254C">
              <w:rPr>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6D254C" w:rsidRDefault="0075735D" w:rsidP="0075735D">
            <w:pPr>
              <w:pStyle w:val="Sraopastraipa"/>
              <w:numPr>
                <w:ilvl w:val="0"/>
                <w:numId w:val="6"/>
              </w:numPr>
              <w:jc w:val="both"/>
              <w:rPr>
                <w:lang w:val="lt-LT"/>
              </w:rPr>
            </w:pPr>
            <w:r w:rsidRPr="006D254C">
              <w:rPr>
                <w:lang w:val="lt-LT"/>
              </w:rPr>
              <w:t>Technologinės skylės, kurių skersmuo didesnis kaip 7 mm, turi būti uždengtos.</w:t>
            </w:r>
          </w:p>
          <w:p w14:paraId="59901F27" w14:textId="77777777" w:rsidR="0075735D" w:rsidRPr="006D254C" w:rsidRDefault="0075735D" w:rsidP="0075735D">
            <w:pPr>
              <w:pStyle w:val="Sraopastraipa"/>
              <w:numPr>
                <w:ilvl w:val="0"/>
                <w:numId w:val="6"/>
              </w:numPr>
              <w:jc w:val="both"/>
              <w:rPr>
                <w:lang w:val="lt-LT"/>
              </w:rPr>
            </w:pPr>
            <w:r w:rsidRPr="006D254C">
              <w:rPr>
                <w:lang w:val="lt-LT"/>
              </w:rPr>
              <w:t>Baldų kojos (atramos) turi nebraižyti ir netepti grindų, karkasų metalinės dalys neturi liestis su grindimis ir turi turėti apsaugą nuo braižymosi.</w:t>
            </w:r>
          </w:p>
          <w:p w14:paraId="090807E5" w14:textId="77777777" w:rsidR="0075735D" w:rsidRPr="006D254C" w:rsidRDefault="0075735D" w:rsidP="0075735D">
            <w:pPr>
              <w:pStyle w:val="Sraopastraipa"/>
              <w:numPr>
                <w:ilvl w:val="0"/>
                <w:numId w:val="6"/>
              </w:numPr>
              <w:jc w:val="both"/>
              <w:rPr>
                <w:lang w:val="lt-LT"/>
              </w:rPr>
            </w:pPr>
            <w:r w:rsidRPr="006D254C">
              <w:rPr>
                <w:lang w:val="lt-LT"/>
              </w:rPr>
              <w:t>Baldai turi būti estetiški, tvirti, stabilūs, ergonomiški ir jų kokybė turi atitikti tai prekių grupei keliamas technines sąlygas ir standartus.</w:t>
            </w:r>
          </w:p>
          <w:p w14:paraId="2FEDD9D5" w14:textId="0B2327A2" w:rsidR="00DE0A54" w:rsidRPr="00BB4C08" w:rsidRDefault="0075735D" w:rsidP="00DE0A54">
            <w:pPr>
              <w:pStyle w:val="Sraopastraipa"/>
              <w:numPr>
                <w:ilvl w:val="0"/>
                <w:numId w:val="6"/>
              </w:numPr>
              <w:jc w:val="both"/>
              <w:rPr>
                <w:b/>
                <w:bCs/>
                <w:lang w:val="lt-LT"/>
              </w:rPr>
            </w:pPr>
            <w:r w:rsidRPr="006D254C">
              <w:rPr>
                <w:b/>
                <w:bCs/>
                <w:u w:val="single"/>
                <w:lang w:val="lt-LT"/>
              </w:rPr>
              <w:t>Visi baldų matmenys turės būti tikslinami ir suderinti su Užsakovu.</w:t>
            </w:r>
          </w:p>
          <w:p w14:paraId="1DBBDB6C" w14:textId="0853E1FB" w:rsidR="000D6796" w:rsidRPr="006D254C" w:rsidRDefault="000D6796" w:rsidP="000D6796">
            <w:pPr>
              <w:jc w:val="both"/>
              <w:rPr>
                <w:lang w:val="lt-LT"/>
              </w:rPr>
            </w:pPr>
            <w:r w:rsidRPr="006D254C">
              <w:rPr>
                <w:lang w:val="lt-LT"/>
              </w:rPr>
              <w:t xml:space="preserve">      </w:t>
            </w:r>
            <w:r w:rsidR="00BB4C08">
              <w:rPr>
                <w:lang w:val="lt-LT"/>
              </w:rPr>
              <w:t>9</w:t>
            </w:r>
            <w:r w:rsidRPr="006D254C">
              <w:rPr>
                <w:lang w:val="lt-LT"/>
              </w:rPr>
              <w:t>. 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4C42A72D" w:rsidR="000D6796" w:rsidRPr="006D254C" w:rsidRDefault="00BB4C08" w:rsidP="000D6796">
            <w:pPr>
              <w:ind w:firstLine="567"/>
              <w:jc w:val="both"/>
              <w:rPr>
                <w:lang w:val="lt-LT"/>
              </w:rPr>
            </w:pPr>
            <w:r>
              <w:rPr>
                <w:lang w:val="lt-LT"/>
              </w:rPr>
              <w:t>9</w:t>
            </w:r>
            <w:r w:rsidR="000D6796" w:rsidRPr="006D254C">
              <w:rPr>
                <w:lang w:val="lt-LT"/>
              </w:rPr>
              <w:t>.1. ne mažiau kaip 80 proc. balduose naudojamos medienos, medienos medžiagų ir gaminių turi būti iš miškų, sertifikuotų naudojant FSC ar PEFC miškų sertifikavimo sistemas arba lygiavertes sertifikavimo sistemas;</w:t>
            </w:r>
          </w:p>
          <w:p w14:paraId="2BCAAB84" w14:textId="083CFBCB" w:rsidR="000D6796" w:rsidRPr="006D254C" w:rsidRDefault="00BB4C08" w:rsidP="000D6796">
            <w:pPr>
              <w:ind w:firstLine="567"/>
              <w:jc w:val="both"/>
              <w:rPr>
                <w:lang w:val="lt-LT"/>
              </w:rPr>
            </w:pPr>
            <w:r>
              <w:rPr>
                <w:lang w:val="lt-LT"/>
              </w:rPr>
              <w:t>9</w:t>
            </w:r>
            <w:r w:rsidR="000D6796" w:rsidRPr="006D254C">
              <w:rPr>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24BFF8E7" w:rsidR="000D6796" w:rsidRPr="006D254C" w:rsidRDefault="00BB4C08" w:rsidP="000D6796">
            <w:pPr>
              <w:ind w:firstLine="567"/>
              <w:jc w:val="both"/>
              <w:rPr>
                <w:lang w:val="lt-LT"/>
              </w:rPr>
            </w:pPr>
            <w:r>
              <w:rPr>
                <w:lang w:val="lt-LT"/>
              </w:rPr>
              <w:t>9</w:t>
            </w:r>
            <w:r w:rsidR="000D6796" w:rsidRPr="006D254C">
              <w:rPr>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22E402A9" w:rsidR="000D6796" w:rsidRPr="006D254C" w:rsidRDefault="000D6796" w:rsidP="000D6796">
            <w:pPr>
              <w:tabs>
                <w:tab w:val="left" w:pos="851"/>
              </w:tabs>
              <w:ind w:firstLine="567"/>
              <w:jc w:val="both"/>
              <w:rPr>
                <w:b/>
                <w:lang w:val="lt-LT"/>
              </w:rPr>
            </w:pPr>
            <w:r w:rsidRPr="006D254C">
              <w:rPr>
                <w:lang w:val="lt-LT"/>
              </w:rPr>
              <w:t>1</w:t>
            </w:r>
            <w:r w:rsidR="00BB4C08">
              <w:rPr>
                <w:lang w:val="lt-LT"/>
              </w:rPr>
              <w:t>0</w:t>
            </w:r>
            <w:r w:rsidRPr="006D254C">
              <w:rPr>
                <w:lang w:val="lt-LT"/>
              </w:rPr>
              <w:t>.</w:t>
            </w:r>
            <w:r w:rsidRPr="006D254C">
              <w:rPr>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BB4C08" w:rsidRPr="0073062B" w14:paraId="734051A7" w14:textId="77777777" w:rsidTr="00BB4C08">
        <w:tblPrEx>
          <w:tblCellMar>
            <w:top w:w="31" w:type="dxa"/>
            <w:left w:w="26" w:type="dxa"/>
          </w:tblCellMar>
        </w:tblPrEx>
        <w:trPr>
          <w:trHeight w:val="532"/>
        </w:trPr>
        <w:tc>
          <w:tcPr>
            <w:tcW w:w="391" w:type="dxa"/>
            <w:vAlign w:val="center"/>
          </w:tcPr>
          <w:p w14:paraId="556B54B6" w14:textId="6195EE5A" w:rsidR="00BB4C08" w:rsidRDefault="00BB4C08" w:rsidP="002A26C0">
            <w:pPr>
              <w:ind w:right="7"/>
              <w:jc w:val="center"/>
              <w:rPr>
                <w:lang w:val="lt-LT"/>
              </w:rPr>
            </w:pPr>
            <w:r>
              <w:rPr>
                <w:lang w:val="lt-LT"/>
              </w:rPr>
              <w:t>Nr.</w:t>
            </w:r>
          </w:p>
        </w:tc>
        <w:tc>
          <w:tcPr>
            <w:tcW w:w="6024" w:type="dxa"/>
            <w:vAlign w:val="center"/>
          </w:tcPr>
          <w:p w14:paraId="119DA1DD" w14:textId="60CD38E8" w:rsidR="00BB4C08" w:rsidRDefault="00BB4C08" w:rsidP="002A26C0">
            <w:pPr>
              <w:rPr>
                <w:b/>
                <w:bCs/>
                <w:lang w:val="lt-LT"/>
              </w:rPr>
            </w:pPr>
            <w:r>
              <w:rPr>
                <w:sz w:val="24"/>
                <w:szCs w:val="24"/>
                <w:lang w:val="lt-LT"/>
              </w:rPr>
              <w:t>Pavadinimas, s</w:t>
            </w:r>
            <w:r w:rsidRPr="00EE37B7">
              <w:rPr>
                <w:sz w:val="24"/>
                <w:szCs w:val="24"/>
                <w:lang w:val="lt-LT"/>
              </w:rPr>
              <w:t>pecifikacija</w:t>
            </w:r>
          </w:p>
        </w:tc>
        <w:tc>
          <w:tcPr>
            <w:tcW w:w="1134" w:type="dxa"/>
            <w:vAlign w:val="center"/>
          </w:tcPr>
          <w:p w14:paraId="6BBCDA0C" w14:textId="77777777" w:rsidR="00BB4C08" w:rsidRPr="00EE37B7" w:rsidRDefault="00BB4C08" w:rsidP="002A26C0">
            <w:pPr>
              <w:ind w:right="9"/>
              <w:jc w:val="center"/>
              <w:rPr>
                <w:sz w:val="24"/>
                <w:szCs w:val="24"/>
                <w:lang w:val="lt-LT"/>
              </w:rPr>
            </w:pPr>
            <w:r w:rsidRPr="00EE37B7">
              <w:rPr>
                <w:sz w:val="24"/>
                <w:szCs w:val="24"/>
                <w:lang w:val="lt-LT"/>
              </w:rPr>
              <w:t>Kiekis</w:t>
            </w:r>
          </w:p>
          <w:p w14:paraId="6757434B" w14:textId="4705DE91" w:rsidR="00BB4C08" w:rsidRDefault="00BB4C08" w:rsidP="002A26C0">
            <w:pPr>
              <w:ind w:right="9"/>
              <w:jc w:val="center"/>
            </w:pPr>
            <w:r w:rsidRPr="00EE37B7">
              <w:rPr>
                <w:sz w:val="24"/>
                <w:szCs w:val="24"/>
                <w:lang w:val="lt-LT"/>
              </w:rPr>
              <w:t>vnt.</w:t>
            </w:r>
          </w:p>
        </w:tc>
        <w:tc>
          <w:tcPr>
            <w:tcW w:w="992" w:type="dxa"/>
          </w:tcPr>
          <w:p w14:paraId="19BD944D" w14:textId="47384335" w:rsidR="00BB4C08" w:rsidRPr="002A26C0" w:rsidRDefault="00BB4C08" w:rsidP="002A26C0">
            <w:pPr>
              <w:ind w:right="9"/>
              <w:jc w:val="center"/>
              <w:rPr>
                <w:lang w:val="en-GB"/>
              </w:rPr>
            </w:pPr>
            <w:r w:rsidRPr="00EE37B7">
              <w:rPr>
                <w:lang w:val="lt-LT"/>
              </w:rPr>
              <w:t>Mato vnt. kaina Eur be PVM</w:t>
            </w:r>
          </w:p>
        </w:tc>
        <w:tc>
          <w:tcPr>
            <w:tcW w:w="1134" w:type="dxa"/>
          </w:tcPr>
          <w:p w14:paraId="18EF11B6" w14:textId="54771C9F" w:rsidR="00BB4C08" w:rsidRPr="002A26C0" w:rsidRDefault="00BB4C08" w:rsidP="002A26C0">
            <w:pPr>
              <w:ind w:right="9"/>
              <w:jc w:val="center"/>
              <w:rPr>
                <w:lang w:val="en-GB"/>
              </w:rPr>
            </w:pPr>
            <w:r w:rsidRPr="00EE37B7">
              <w:rPr>
                <w:lang w:val="lt-LT"/>
              </w:rPr>
              <w:t>Mato vnt. kaina Eur su PVM</w:t>
            </w:r>
          </w:p>
        </w:tc>
        <w:tc>
          <w:tcPr>
            <w:tcW w:w="1276" w:type="dxa"/>
          </w:tcPr>
          <w:p w14:paraId="5828C744" w14:textId="2706D417" w:rsidR="00BB4C08" w:rsidRDefault="00BB4C08" w:rsidP="002A26C0">
            <w:pPr>
              <w:ind w:right="9"/>
              <w:jc w:val="center"/>
              <w:rPr>
                <w:lang w:val="lt-LT"/>
              </w:rPr>
            </w:pPr>
            <w:r>
              <w:rPr>
                <w:lang w:val="lt-LT"/>
              </w:rPr>
              <w:t>Pasiūlymo</w:t>
            </w:r>
            <w:r w:rsidRPr="0075735D">
              <w:rPr>
                <w:lang w:val="lt-LT"/>
              </w:rPr>
              <w:t xml:space="preserve"> kaina Eur su PVM</w:t>
            </w:r>
          </w:p>
          <w:p w14:paraId="2B0B5971" w14:textId="2F71625B" w:rsidR="00BB4C08" w:rsidRPr="00091CCD" w:rsidRDefault="00BB4C08" w:rsidP="002A26C0">
            <w:pPr>
              <w:ind w:right="9"/>
              <w:jc w:val="center"/>
              <w:rPr>
                <w:lang w:val="en-GB"/>
              </w:rPr>
            </w:pPr>
            <w:r>
              <w:rPr>
                <w:lang w:val="lt-LT"/>
              </w:rPr>
              <w:t>žodžiais</w:t>
            </w:r>
          </w:p>
        </w:tc>
        <w:tc>
          <w:tcPr>
            <w:tcW w:w="3827" w:type="dxa"/>
          </w:tcPr>
          <w:p w14:paraId="6D7316D8" w14:textId="57794D43" w:rsidR="00BB4C08" w:rsidRPr="002A26C0" w:rsidRDefault="00BB4C08" w:rsidP="002A26C0">
            <w:pPr>
              <w:ind w:right="9"/>
              <w:jc w:val="center"/>
              <w:rPr>
                <w:lang w:val="en-GB"/>
              </w:rPr>
            </w:pPr>
            <w:r w:rsidRPr="00EE37B7">
              <w:rPr>
                <w:lang w:val="lt-LT"/>
              </w:rPr>
              <w:t>Tiekėjo nurodomos konkrečiai siūlomos prekės, parametrai, reikšmės</w:t>
            </w:r>
            <w:r>
              <w:rPr>
                <w:lang w:val="lt-LT"/>
              </w:rPr>
              <w:t>, modelis, gamintojas</w:t>
            </w:r>
          </w:p>
        </w:tc>
      </w:tr>
      <w:tr w:rsidR="00BB4C08" w:rsidRPr="009D37A4" w14:paraId="63F7D470" w14:textId="77777777" w:rsidTr="00BB4C08">
        <w:tblPrEx>
          <w:tblCellMar>
            <w:top w:w="31" w:type="dxa"/>
            <w:left w:w="26" w:type="dxa"/>
          </w:tblCellMar>
        </w:tblPrEx>
        <w:trPr>
          <w:trHeight w:val="532"/>
        </w:trPr>
        <w:tc>
          <w:tcPr>
            <w:tcW w:w="391" w:type="dxa"/>
            <w:vAlign w:val="center"/>
          </w:tcPr>
          <w:p w14:paraId="18D1A1D0" w14:textId="5D666FB1" w:rsidR="00BB4C08" w:rsidRPr="00EE37B7" w:rsidRDefault="00BB4C08" w:rsidP="002A26C0">
            <w:pPr>
              <w:ind w:right="7"/>
              <w:jc w:val="center"/>
              <w:rPr>
                <w:lang w:val="lt-LT"/>
              </w:rPr>
            </w:pPr>
            <w:r>
              <w:rPr>
                <w:lang w:val="lt-LT"/>
              </w:rPr>
              <w:t>1.</w:t>
            </w:r>
          </w:p>
        </w:tc>
        <w:tc>
          <w:tcPr>
            <w:tcW w:w="6024" w:type="dxa"/>
            <w:vAlign w:val="center"/>
          </w:tcPr>
          <w:p w14:paraId="3DDD1118" w14:textId="4E5A3FBA" w:rsidR="00BB4C08" w:rsidRPr="004B1B16" w:rsidRDefault="00BB4C08" w:rsidP="00BB4C08">
            <w:pPr>
              <w:suppressAutoHyphens/>
              <w:jc w:val="both"/>
              <w:rPr>
                <w:b/>
                <w:color w:val="000000"/>
                <w:u w:val="single"/>
                <w:lang w:val="lt-LT" w:eastAsia="lt-LT"/>
              </w:rPr>
            </w:pPr>
            <w:r w:rsidRPr="004B1B16">
              <w:rPr>
                <w:b/>
                <w:color w:val="000000"/>
                <w:u w:val="single"/>
                <w:lang w:val="lt-LT" w:eastAsia="lt-LT"/>
              </w:rPr>
              <w:t>Traukos spinta</w:t>
            </w:r>
            <w:r>
              <w:rPr>
                <w:b/>
                <w:color w:val="000000"/>
                <w:u w:val="single"/>
                <w:lang w:val="lt-LT" w:eastAsia="lt-LT"/>
              </w:rPr>
              <w:t>:</w:t>
            </w:r>
          </w:p>
          <w:p w14:paraId="64E588C7" w14:textId="77777777" w:rsidR="00BB4C08" w:rsidRPr="004B1B16" w:rsidRDefault="00BB4C08" w:rsidP="00BB4C08">
            <w:pPr>
              <w:suppressAutoHyphens/>
              <w:jc w:val="both"/>
              <w:rPr>
                <w:bCs/>
                <w:color w:val="000000"/>
                <w:lang w:val="lt-LT" w:eastAsia="lt-LT"/>
              </w:rPr>
            </w:pPr>
            <w:r w:rsidRPr="004B1B16">
              <w:rPr>
                <w:bCs/>
                <w:color w:val="000000"/>
                <w:lang w:val="lt-LT" w:eastAsia="lt-LT"/>
              </w:rPr>
              <w:t>Bendri traukos spintos matmenys (AxPxG)</w:t>
            </w:r>
            <w:r>
              <w:rPr>
                <w:bCs/>
                <w:color w:val="000000"/>
                <w:lang w:val="lt-LT" w:eastAsia="lt-LT"/>
              </w:rPr>
              <w:t>:</w:t>
            </w:r>
          </w:p>
          <w:p w14:paraId="54BD29EF" w14:textId="77777777" w:rsidR="00BB4C08" w:rsidRPr="004B1B16" w:rsidRDefault="00BB4C08" w:rsidP="00BB4C08">
            <w:pPr>
              <w:suppressAutoHyphens/>
              <w:jc w:val="both"/>
              <w:rPr>
                <w:bCs/>
                <w:color w:val="000000"/>
                <w:lang w:val="lt-LT" w:eastAsia="lt-LT"/>
              </w:rPr>
            </w:pPr>
            <w:r w:rsidRPr="004B1B16">
              <w:rPr>
                <w:bCs/>
                <w:color w:val="000000"/>
                <w:lang w:val="lt-LT" w:eastAsia="lt-LT"/>
              </w:rPr>
              <w:lastRenderedPageBreak/>
              <w:t xml:space="preserve">2150x1000x700 mm. Galima </w:t>
            </w:r>
            <w:r>
              <w:rPr>
                <w:bCs/>
                <w:color w:val="000000"/>
                <w:lang w:val="lt-LT" w:eastAsia="lt-LT"/>
              </w:rPr>
              <w:t xml:space="preserve">± </w:t>
            </w:r>
            <w:r w:rsidRPr="004B1B16">
              <w:rPr>
                <w:bCs/>
                <w:color w:val="000000"/>
                <w:lang w:val="lt-LT" w:eastAsia="lt-LT"/>
              </w:rPr>
              <w:t>20mm paklaida</w:t>
            </w:r>
          </w:p>
          <w:p w14:paraId="77FEA863"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Spintos stalviršis pagamintas iš ne mažiau kaip 19mm storio termoreaktyvinio aukšto slėgio laminato. Spintos korpusas pagamintas iš nemažiau kaip 18mm laminuotos medžių drožlių plokštės (LMDP).</w:t>
            </w:r>
          </w:p>
          <w:p w14:paraId="7F8ED3C0"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Spinta susideda iš dviejų dalių.</w:t>
            </w:r>
          </w:p>
          <w:p w14:paraId="255E5B45" w14:textId="77777777" w:rsidR="00BB4C08" w:rsidRPr="004B1B16" w:rsidRDefault="00BB4C08" w:rsidP="00BB4C08">
            <w:pPr>
              <w:suppressAutoHyphens/>
              <w:jc w:val="both"/>
              <w:rPr>
                <w:bCs/>
                <w:color w:val="000000"/>
                <w:lang w:val="lt-LT" w:eastAsia="lt-LT"/>
              </w:rPr>
            </w:pPr>
            <w:r w:rsidRPr="004B1B16">
              <w:rPr>
                <w:bCs/>
                <w:color w:val="000000"/>
                <w:lang w:val="lt-LT" w:eastAsia="lt-LT"/>
              </w:rPr>
              <w:t>Apatinė dalis ne mažesnė kaip 875x1000x650 mm. Konstruojama be lentynų ir pertvarų, su dviem fasadais.</w:t>
            </w:r>
          </w:p>
          <w:p w14:paraId="2FE03CE9" w14:textId="77777777" w:rsidR="00BB4C08" w:rsidRDefault="00BB4C08" w:rsidP="00BB4C08">
            <w:pPr>
              <w:suppressAutoHyphens/>
              <w:jc w:val="both"/>
              <w:rPr>
                <w:bCs/>
                <w:color w:val="000000"/>
                <w:lang w:val="lt-LT" w:eastAsia="lt-LT"/>
              </w:rPr>
            </w:pPr>
            <w:r w:rsidRPr="004B1B16">
              <w:rPr>
                <w:bCs/>
                <w:color w:val="000000"/>
                <w:lang w:val="lt-LT" w:eastAsia="lt-LT"/>
              </w:rPr>
              <w:t>Viršu</w:t>
            </w:r>
            <w:r>
              <w:rPr>
                <w:bCs/>
                <w:color w:val="000000"/>
                <w:lang w:val="lt-LT" w:eastAsia="lt-LT"/>
              </w:rPr>
              <w:t>t</w:t>
            </w:r>
            <w:r w:rsidRPr="004B1B16">
              <w:rPr>
                <w:bCs/>
                <w:color w:val="000000"/>
                <w:lang w:val="lt-LT" w:eastAsia="lt-LT"/>
              </w:rPr>
              <w:t xml:space="preserve">inė dalis ne mažesnė kaip 1230x1000x650 mm. Fasadas su 4mm grūdintu skaidriu stiklu, pasistumia į viršų. </w:t>
            </w:r>
          </w:p>
          <w:p w14:paraId="488D7E20" w14:textId="77777777" w:rsidR="00BB4C08" w:rsidRPr="004B1B16" w:rsidRDefault="00BB4C08" w:rsidP="00BB4C08">
            <w:pPr>
              <w:suppressAutoHyphens/>
              <w:jc w:val="both"/>
              <w:rPr>
                <w:bCs/>
                <w:color w:val="000000"/>
                <w:lang w:val="lt-LT" w:eastAsia="lt-LT"/>
              </w:rPr>
            </w:pPr>
            <w:r w:rsidRPr="004B1B16">
              <w:rPr>
                <w:bCs/>
                <w:color w:val="000000"/>
                <w:lang w:val="lt-LT" w:eastAsia="lt-LT"/>
              </w:rPr>
              <w:t>Viršuje montuojamas ventiliatorius (AxP) 200x200mm skersmuo 147 mm,</w:t>
            </w:r>
            <w:r>
              <w:rPr>
                <w:bCs/>
                <w:color w:val="000000"/>
                <w:lang w:val="lt-LT" w:eastAsia="lt-LT"/>
              </w:rPr>
              <w:t xml:space="preserve"> </w:t>
            </w:r>
            <w:r w:rsidRPr="004B1B16">
              <w:rPr>
                <w:bCs/>
                <w:color w:val="000000"/>
                <w:lang w:val="lt-LT" w:eastAsia="lt-LT"/>
              </w:rPr>
              <w:t>15-25 W galingumo, 220-230 V įtampa, 260-300 m</w:t>
            </w:r>
            <w:r w:rsidRPr="004B1B16">
              <w:rPr>
                <w:bCs/>
                <w:color w:val="000000"/>
                <w:vertAlign w:val="superscript"/>
                <w:lang w:val="lt-LT" w:eastAsia="lt-LT"/>
              </w:rPr>
              <w:t>3</w:t>
            </w:r>
            <w:r w:rsidRPr="004B1B16">
              <w:rPr>
                <w:bCs/>
                <w:color w:val="000000"/>
                <w:lang w:val="lt-LT" w:eastAsia="lt-LT"/>
              </w:rPr>
              <w:t>/h našumas.</w:t>
            </w:r>
          </w:p>
          <w:p w14:paraId="772C7667"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Spintos korpuso briaunos laminuotos ne plonesne kaip 0,4mm storio ABS/PVC briauna, stalviršio ir fasadų briaunos laminuotos ne plonesne kaip 2mm storio ABS/PVC briauna, kurios spalva turi sutapti su spintos spalva.</w:t>
            </w:r>
          </w:p>
          <w:p w14:paraId="7FC73304" w14:textId="77777777" w:rsidR="00BB4C08" w:rsidRPr="004B1B16" w:rsidRDefault="00BB4C08" w:rsidP="00BB4C08">
            <w:pPr>
              <w:suppressAutoHyphens/>
              <w:jc w:val="both"/>
              <w:rPr>
                <w:bCs/>
                <w:color w:val="000000"/>
                <w:lang w:val="lt-LT" w:eastAsia="lt-LT"/>
              </w:rPr>
            </w:pPr>
            <w:r w:rsidRPr="004B1B16">
              <w:rPr>
                <w:bCs/>
                <w:color w:val="000000"/>
                <w:lang w:val="lt-LT" w:eastAsia="lt-LT"/>
              </w:rPr>
              <w:t>Ant spintos išorės montuojama rozetė ir jungtukas ventiliatoriui.</w:t>
            </w:r>
          </w:p>
          <w:p w14:paraId="17FD2C59"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Spintos lankstai GTV, rankenėlės metalinės, forma lankelis arba lygiaverčiai.</w:t>
            </w:r>
          </w:p>
          <w:p w14:paraId="669B0A9A" w14:textId="77777777" w:rsidR="00BB4C08" w:rsidRDefault="00BB4C08" w:rsidP="00BB4C08">
            <w:pPr>
              <w:suppressAutoHyphens/>
              <w:jc w:val="both"/>
              <w:rPr>
                <w:bCs/>
                <w:color w:val="000000"/>
                <w:lang w:val="lt-LT" w:eastAsia="lt-LT"/>
              </w:rPr>
            </w:pPr>
            <w:r w:rsidRPr="004B1B16">
              <w:rPr>
                <w:bCs/>
                <w:color w:val="000000"/>
                <w:lang w:val="lt-LT" w:eastAsia="lt-LT"/>
              </w:rPr>
              <w:t xml:space="preserve">Visas spalvas LMDP ir metalinės dalies tikslinti su užsakovu. </w:t>
            </w:r>
          </w:p>
          <w:p w14:paraId="64F29F98" w14:textId="77777777" w:rsidR="00BB4C08" w:rsidRDefault="00BB4C08" w:rsidP="00BB4C08">
            <w:pPr>
              <w:suppressAutoHyphens/>
              <w:jc w:val="both"/>
              <w:rPr>
                <w:bCs/>
                <w:color w:val="000000"/>
                <w:lang w:val="lt-LT" w:eastAsia="lt-LT"/>
              </w:rPr>
            </w:pPr>
            <w:r w:rsidRPr="004B1B16">
              <w:rPr>
                <w:bCs/>
                <w:color w:val="000000"/>
                <w:lang w:val="lt-LT" w:eastAsia="lt-LT"/>
              </w:rPr>
              <w:t>Pageidaujamos spalvos - balta, šviesiai pilka, pilka.</w:t>
            </w:r>
          </w:p>
          <w:p w14:paraId="5C675EFC" w14:textId="774BA8FF" w:rsidR="00BB4C08" w:rsidRPr="00BB4C08" w:rsidRDefault="00BB4C08" w:rsidP="00BB4C08">
            <w:pPr>
              <w:suppressAutoHyphens/>
              <w:jc w:val="both"/>
              <w:rPr>
                <w:bCs/>
                <w:color w:val="000000"/>
                <w:lang w:val="lt-LT" w:eastAsia="lt-LT"/>
              </w:rPr>
            </w:pPr>
            <w:r w:rsidRPr="00C1193A">
              <w:rPr>
                <w:bCs/>
                <w:color w:val="000000"/>
                <w:lang w:val="lt-LT" w:eastAsia="lt-LT"/>
              </w:rPr>
              <w:t>Garantija ne mažiau kaip 24 mėn.</w:t>
            </w:r>
          </w:p>
        </w:tc>
        <w:tc>
          <w:tcPr>
            <w:tcW w:w="1134" w:type="dxa"/>
            <w:vAlign w:val="center"/>
          </w:tcPr>
          <w:p w14:paraId="04B3D227" w14:textId="6CFE88D2" w:rsidR="00BB4C08" w:rsidRPr="00565F55" w:rsidRDefault="00BB4C08" w:rsidP="002A26C0">
            <w:pPr>
              <w:ind w:right="9"/>
              <w:jc w:val="center"/>
              <w:rPr>
                <w:lang w:val="lt-LT"/>
              </w:rPr>
            </w:pPr>
            <w:r>
              <w:rPr>
                <w:lang w:val="lt-LT"/>
              </w:rPr>
              <w:lastRenderedPageBreak/>
              <w:t>1 vnt.</w:t>
            </w:r>
          </w:p>
        </w:tc>
        <w:tc>
          <w:tcPr>
            <w:tcW w:w="992" w:type="dxa"/>
          </w:tcPr>
          <w:p w14:paraId="0191C52A" w14:textId="77777777" w:rsidR="00BB4C08" w:rsidRPr="009D37A4" w:rsidRDefault="00BB4C08" w:rsidP="002A26C0">
            <w:pPr>
              <w:ind w:right="9"/>
              <w:jc w:val="center"/>
            </w:pPr>
          </w:p>
        </w:tc>
        <w:tc>
          <w:tcPr>
            <w:tcW w:w="1134" w:type="dxa"/>
          </w:tcPr>
          <w:p w14:paraId="50458910" w14:textId="77777777" w:rsidR="00BB4C08" w:rsidRPr="009D37A4" w:rsidRDefault="00BB4C08" w:rsidP="002A26C0">
            <w:pPr>
              <w:ind w:right="9"/>
              <w:jc w:val="center"/>
            </w:pPr>
          </w:p>
        </w:tc>
        <w:tc>
          <w:tcPr>
            <w:tcW w:w="1276" w:type="dxa"/>
          </w:tcPr>
          <w:p w14:paraId="44B58D92" w14:textId="77777777" w:rsidR="00BB4C08" w:rsidRPr="009D37A4" w:rsidRDefault="00BB4C08" w:rsidP="002A26C0">
            <w:pPr>
              <w:ind w:right="9"/>
              <w:jc w:val="center"/>
            </w:pPr>
          </w:p>
        </w:tc>
        <w:tc>
          <w:tcPr>
            <w:tcW w:w="3827" w:type="dxa"/>
          </w:tcPr>
          <w:p w14:paraId="4A596EAE" w14:textId="42A4BB63" w:rsidR="00BB4C08" w:rsidRPr="009D37A4" w:rsidRDefault="00BB4C08" w:rsidP="002A26C0">
            <w:pPr>
              <w:ind w:right="9"/>
              <w:jc w:val="center"/>
            </w:pPr>
          </w:p>
        </w:tc>
      </w:tr>
    </w:tbl>
    <w:p w14:paraId="342C33A3" w14:textId="77777777" w:rsidR="00782B64" w:rsidRPr="00BB4C08" w:rsidRDefault="00782B64" w:rsidP="009D5188">
      <w:pPr>
        <w:ind w:firstLine="720"/>
        <w:jc w:val="both"/>
        <w:rPr>
          <w:b/>
          <w:sz w:val="16"/>
          <w:szCs w:val="16"/>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BB4C08" w:rsidRDefault="00E142B6" w:rsidP="00640ABE">
      <w:pPr>
        <w:tabs>
          <w:tab w:val="center" w:pos="5812"/>
          <w:tab w:val="left" w:pos="7655"/>
        </w:tabs>
        <w:rPr>
          <w:b/>
          <w:color w:val="000000"/>
          <w:sz w:val="16"/>
          <w:szCs w:val="16"/>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73062B"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73062B"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73062B"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73062B"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73062B"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73062B"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73062B"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2FDD9413"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BB4C08">
              <w:rPr>
                <w:b/>
                <w:lang w:val="lt-LT"/>
              </w:rPr>
              <w:t>TRAUKOS SPINTA</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73062B"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73062B"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2"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73062B"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73062B"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00EFD68F"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BB4C08">
              <w:rPr>
                <w:b/>
                <w:bCs/>
                <w:lang w:val="lt-LT"/>
              </w:rPr>
              <w:t>TRAUKOS SPINTA</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73062B"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5D4FA1">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73062B"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73062B"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28354BCF"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C63D7E">
              <w:rPr>
                <w:kern w:val="2"/>
                <w:lang w:val="lt-LT"/>
              </w:rPr>
              <w:t>3</w:t>
            </w:r>
            <w:r w:rsidR="004E1092">
              <w:rPr>
                <w:kern w:val="2"/>
                <w:lang w:val="lt-LT"/>
              </w:rPr>
              <w:t>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73062B"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73062B"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73062B"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73062B"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73062B"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73062B"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73062B"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73062B"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73062B"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73062B"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73062B"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73062B"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73062B"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73062B"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73062B"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73062B"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73062B"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73062B"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73062B"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C431236"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63D7E">
              <w:rPr>
                <w:kern w:val="2"/>
                <w:lang w:val="lt-LT"/>
              </w:rPr>
              <w:t>2</w:t>
            </w:r>
            <w:r w:rsidRPr="00455D9F">
              <w:rPr>
                <w:kern w:val="2"/>
                <w:lang w:val="lt-LT"/>
              </w:rPr>
              <w:t xml:space="preserve"> (</w:t>
            </w:r>
            <w:r w:rsidR="00C63D7E">
              <w:rPr>
                <w:kern w:val="2"/>
                <w:lang w:val="lt-LT"/>
              </w:rPr>
              <w:t>du</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73062B"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73062B"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 xml:space="preserve">12.2.3. jeigu Tiekėjas pažeidžia Prekių pristatymo, sumontavimo, </w:t>
            </w:r>
            <w:r w:rsidRPr="00455D9F">
              <w:rPr>
                <w:rFonts w:eastAsia="Arial"/>
                <w:kern w:val="2"/>
                <w:lang w:val="lt-LT"/>
              </w:rPr>
              <w:lastRenderedPageBreak/>
              <w:t>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73062B"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73062B"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73062B"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B1AF" w14:textId="77777777" w:rsidR="00980E37" w:rsidRDefault="00980E37" w:rsidP="000A171B">
      <w:r>
        <w:separator/>
      </w:r>
    </w:p>
  </w:endnote>
  <w:endnote w:type="continuationSeparator" w:id="0">
    <w:p w14:paraId="5CF6C51B" w14:textId="77777777" w:rsidR="00980E37" w:rsidRDefault="00980E3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581F" w14:textId="77777777" w:rsidR="00980E37" w:rsidRDefault="00980E37" w:rsidP="000A171B">
      <w:r>
        <w:separator/>
      </w:r>
    </w:p>
  </w:footnote>
  <w:footnote w:type="continuationSeparator" w:id="0">
    <w:p w14:paraId="0AA60F17" w14:textId="77777777" w:rsidR="00980E37" w:rsidRDefault="00980E37"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837EA"/>
    <w:rsid w:val="00091CCD"/>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6728E"/>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5961"/>
    <w:rsid w:val="004C7131"/>
    <w:rsid w:val="004D6DDD"/>
    <w:rsid w:val="004E1092"/>
    <w:rsid w:val="004F2A75"/>
    <w:rsid w:val="00501690"/>
    <w:rsid w:val="0050408A"/>
    <w:rsid w:val="00505885"/>
    <w:rsid w:val="00556C9B"/>
    <w:rsid w:val="0055754C"/>
    <w:rsid w:val="00562268"/>
    <w:rsid w:val="00565F55"/>
    <w:rsid w:val="00572BDE"/>
    <w:rsid w:val="00575541"/>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062B"/>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0E37"/>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23DD8"/>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B4C08"/>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A1F10"/>
    <w:rsid w:val="00CA5FCF"/>
    <w:rsid w:val="00CB0F27"/>
    <w:rsid w:val="00CB4980"/>
    <w:rsid w:val="00CC1B2E"/>
    <w:rsid w:val="00CE0C88"/>
    <w:rsid w:val="00CF08D7"/>
    <w:rsid w:val="00CF46CE"/>
    <w:rsid w:val="00CF7E13"/>
    <w:rsid w:val="00D02649"/>
    <w:rsid w:val="00D05D45"/>
    <w:rsid w:val="00D117BD"/>
    <w:rsid w:val="00D153E4"/>
    <w:rsid w:val="00D27AC6"/>
    <w:rsid w:val="00D33419"/>
    <w:rsid w:val="00D34FD5"/>
    <w:rsid w:val="00D4328D"/>
    <w:rsid w:val="00D43377"/>
    <w:rsid w:val="00D45A66"/>
    <w:rsid w:val="00D54A50"/>
    <w:rsid w:val="00D56527"/>
    <w:rsid w:val="00D63AEB"/>
    <w:rsid w:val="00D74C17"/>
    <w:rsid w:val="00D80D29"/>
    <w:rsid w:val="00D83F0D"/>
    <w:rsid w:val="00DA774E"/>
    <w:rsid w:val="00DB34E7"/>
    <w:rsid w:val="00DB4F2C"/>
    <w:rsid w:val="00DB5EA9"/>
    <w:rsid w:val="00DC2D9F"/>
    <w:rsid w:val="00DE0A54"/>
    <w:rsid w:val="00DE2DE5"/>
    <w:rsid w:val="00DE4F25"/>
    <w:rsid w:val="00DE6D23"/>
    <w:rsid w:val="00DF29C8"/>
    <w:rsid w:val="00E0019E"/>
    <w:rsid w:val="00E142B6"/>
    <w:rsid w:val="00E14E7B"/>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onavospsp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mailto:info@jonavos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2399</TotalTime>
  <Pages>44</Pages>
  <Words>88681</Words>
  <Characters>50549</Characters>
  <Application>Microsoft Office Word</Application>
  <DocSecurity>0</DocSecurity>
  <Lines>421</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182</cp:revision>
  <cp:lastPrinted>2026-03-18T10:32:00Z</cp:lastPrinted>
  <dcterms:created xsi:type="dcterms:W3CDTF">2012-01-17T09:47:00Z</dcterms:created>
  <dcterms:modified xsi:type="dcterms:W3CDTF">2026-03-25T06:16:00Z</dcterms:modified>
</cp:coreProperties>
</file>