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88F4" w14:textId="77777777" w:rsidR="000F17D6" w:rsidRPr="00AA1AF0" w:rsidRDefault="000F17D6" w:rsidP="008A06EA">
      <w:pPr>
        <w:rPr>
          <w:rFonts w:ascii="Joost" w:hAnsi="Joost" w:hint="eastAsia"/>
        </w:rPr>
      </w:pPr>
    </w:p>
    <w:p w14:paraId="276507DE" w14:textId="0020BFBA" w:rsidR="009C4B4D" w:rsidRPr="00AA1AF0" w:rsidRDefault="000F17D6" w:rsidP="008A06EA">
      <w:pPr>
        <w:rPr>
          <w:rFonts w:ascii="Joost" w:hAnsi="Joost" w:hint="eastAsia"/>
          <w:i/>
          <w:iCs/>
        </w:rPr>
      </w:pPr>
      <w:r w:rsidRPr="00AA1AF0">
        <w:rPr>
          <w:rFonts w:ascii="Joost" w:hAnsi="Joost"/>
          <w:i/>
          <w:iCs/>
        </w:rPr>
        <w:t>Tiekėjams</w:t>
      </w:r>
    </w:p>
    <w:p w14:paraId="69B240AC" w14:textId="77777777" w:rsidR="000F17D6" w:rsidRPr="00AA1AF0" w:rsidRDefault="000F17D6" w:rsidP="008A06EA">
      <w:pPr>
        <w:rPr>
          <w:rFonts w:ascii="Joost" w:hAnsi="Joost" w:hint="eastAsia"/>
          <w:i/>
          <w:iCs/>
        </w:rPr>
      </w:pPr>
      <w:r w:rsidRPr="00AA1AF0">
        <w:rPr>
          <w:rFonts w:ascii="Joost" w:hAnsi="Joost"/>
          <w:i/>
          <w:iCs/>
        </w:rPr>
        <w:t>Siunčiama CVP IS priemonėmis</w:t>
      </w:r>
    </w:p>
    <w:p w14:paraId="0AB0DAD8" w14:textId="77777777" w:rsidR="000F17D6" w:rsidRPr="00AA1AF0" w:rsidRDefault="000F17D6" w:rsidP="008A06EA">
      <w:pPr>
        <w:rPr>
          <w:rFonts w:ascii="Joost" w:hAnsi="Joost" w:hint="eastAsia"/>
        </w:rPr>
      </w:pPr>
    </w:p>
    <w:p w14:paraId="3DC84B23" w14:textId="7BA5804A" w:rsidR="000F17D6" w:rsidRPr="00AA1AF0" w:rsidRDefault="000F17D6" w:rsidP="008A06EA">
      <w:pPr>
        <w:rPr>
          <w:rFonts w:ascii="Joost" w:hAnsi="Joost" w:hint="eastAsia"/>
          <w:b/>
          <w:bCs/>
        </w:rPr>
      </w:pPr>
      <w:r w:rsidRPr="00AA1AF0">
        <w:rPr>
          <w:rFonts w:ascii="Joost" w:hAnsi="Joost"/>
          <w:b/>
          <w:bCs/>
        </w:rPr>
        <w:t>DĖL PATEIKT</w:t>
      </w:r>
      <w:r w:rsidR="00376FF7" w:rsidRPr="00AA1AF0">
        <w:rPr>
          <w:rFonts w:ascii="Joost" w:hAnsi="Joost"/>
          <w:b/>
          <w:bCs/>
        </w:rPr>
        <w:t>O</w:t>
      </w:r>
      <w:r w:rsidRPr="00AA1AF0">
        <w:rPr>
          <w:rFonts w:ascii="Joost" w:hAnsi="Joost"/>
          <w:b/>
          <w:bCs/>
        </w:rPr>
        <w:t xml:space="preserve"> PAKLAUSIM</w:t>
      </w:r>
      <w:r w:rsidR="00376FF7" w:rsidRPr="00AA1AF0">
        <w:rPr>
          <w:rFonts w:ascii="Joost" w:hAnsi="Joost"/>
          <w:b/>
          <w:bCs/>
        </w:rPr>
        <w:t>O</w:t>
      </w:r>
    </w:p>
    <w:p w14:paraId="47F7602C" w14:textId="77777777" w:rsidR="000F17D6" w:rsidRPr="00AA1AF0" w:rsidRDefault="000F17D6" w:rsidP="008A06EA">
      <w:pPr>
        <w:rPr>
          <w:rFonts w:ascii="Joost" w:hAnsi="Joost" w:hint="eastAsia"/>
        </w:rPr>
      </w:pPr>
    </w:p>
    <w:p w14:paraId="398D9FD3" w14:textId="15B04D6C" w:rsidR="004724B7" w:rsidRPr="00AA1AF0" w:rsidRDefault="004724B7" w:rsidP="008A06EA">
      <w:pPr>
        <w:ind w:firstLine="720"/>
        <w:jc w:val="both"/>
        <w:rPr>
          <w:rFonts w:ascii="Joost" w:hAnsi="Joost" w:hint="eastAsia"/>
        </w:rPr>
      </w:pPr>
      <w:r w:rsidRPr="00AA1AF0">
        <w:rPr>
          <w:rFonts w:ascii="Joost" w:hAnsi="Joost"/>
        </w:rPr>
        <w:t xml:space="preserve">Viešoji įstaiga CPO LT (toliau – CPO LT), </w:t>
      </w:r>
      <w:bookmarkStart w:id="0" w:name="_Hlk120190959"/>
      <w:r w:rsidRPr="00AA1AF0">
        <w:rPr>
          <w:rFonts w:ascii="Joost" w:hAnsi="Joost"/>
        </w:rPr>
        <w:t xml:space="preserve">vykdydama viešąjį pirkimą </w:t>
      </w:r>
      <w:r w:rsidR="00F17C0D" w:rsidRPr="00AA1AF0">
        <w:rPr>
          <w:rFonts w:ascii="Joost" w:hAnsi="Joost"/>
          <w:b/>
          <w:bCs/>
          <w:i/>
          <w:iCs/>
        </w:rPr>
        <w:t>„KAM finansinių išteklių valdymo informacinės sistemos modernizavimo paslaugos“</w:t>
      </w:r>
      <w:r w:rsidR="00994302" w:rsidRPr="00AA1AF0">
        <w:rPr>
          <w:rFonts w:ascii="Joost" w:hAnsi="Joost"/>
        </w:rPr>
        <w:t xml:space="preserve">, vykdomą </w:t>
      </w:r>
      <w:r w:rsidR="001D5FC5" w:rsidRPr="00AA1AF0">
        <w:rPr>
          <w:rFonts w:ascii="Joost" w:hAnsi="Joost"/>
        </w:rPr>
        <w:t>skelbiamų derybų</w:t>
      </w:r>
      <w:r w:rsidR="00994302" w:rsidRPr="00AA1AF0">
        <w:rPr>
          <w:rFonts w:ascii="Joost" w:hAnsi="Joost"/>
        </w:rPr>
        <w:t xml:space="preserve"> (tarptautinis) būdu (pirkimo</w:t>
      </w:r>
      <w:r w:rsidR="00484B1B" w:rsidRPr="00AA1AF0">
        <w:rPr>
          <w:rFonts w:ascii="Joost" w:hAnsi="Joost"/>
        </w:rPr>
        <w:t xml:space="preserve"> ID</w:t>
      </w:r>
      <w:r w:rsidR="00994302" w:rsidRPr="00AA1AF0">
        <w:rPr>
          <w:rFonts w:ascii="Joost" w:hAnsi="Joost"/>
        </w:rPr>
        <w:t xml:space="preserve"> </w:t>
      </w:r>
      <w:r w:rsidR="006C5A02" w:rsidRPr="00AA1AF0">
        <w:rPr>
          <w:rFonts w:ascii="Joost" w:hAnsi="Joost"/>
        </w:rPr>
        <w:t>6902106</w:t>
      </w:r>
      <w:r w:rsidR="00F71DC1" w:rsidRPr="00AA1AF0">
        <w:rPr>
          <w:rFonts w:ascii="Joost" w:hAnsi="Joost"/>
        </w:rPr>
        <w:t>, toliau – Pirkimas)</w:t>
      </w:r>
      <w:r w:rsidRPr="00AA1AF0">
        <w:rPr>
          <w:rFonts w:ascii="Joost" w:hAnsi="Joost"/>
        </w:rPr>
        <w:t xml:space="preserve">, </w:t>
      </w:r>
      <w:bookmarkEnd w:id="0"/>
      <w:r w:rsidR="00322AFC" w:rsidRPr="00AA1AF0">
        <w:rPr>
          <w:rFonts w:ascii="Joost" w:hAnsi="Joost"/>
        </w:rPr>
        <w:t>202</w:t>
      </w:r>
      <w:r w:rsidR="006C5A02" w:rsidRPr="00AA1AF0">
        <w:rPr>
          <w:rFonts w:ascii="Joost" w:hAnsi="Joost"/>
        </w:rPr>
        <w:t>6</w:t>
      </w:r>
      <w:r w:rsidR="00322AFC" w:rsidRPr="00AA1AF0">
        <w:rPr>
          <w:rFonts w:ascii="Joost" w:hAnsi="Joost"/>
        </w:rPr>
        <w:t>-</w:t>
      </w:r>
      <w:r w:rsidR="006C5A02" w:rsidRPr="00AA1AF0">
        <w:rPr>
          <w:rFonts w:ascii="Joost" w:hAnsi="Joost"/>
        </w:rPr>
        <w:t>03</w:t>
      </w:r>
      <w:r w:rsidR="001D5FC5" w:rsidRPr="00AA1AF0">
        <w:rPr>
          <w:rFonts w:ascii="Joost" w:hAnsi="Joost"/>
        </w:rPr>
        <w:t>-</w:t>
      </w:r>
      <w:r w:rsidR="006C5A02" w:rsidRPr="00AA1AF0">
        <w:rPr>
          <w:rFonts w:ascii="Joost" w:hAnsi="Joost"/>
        </w:rPr>
        <w:t>24</w:t>
      </w:r>
      <w:r w:rsidRPr="00AA1AF0">
        <w:rPr>
          <w:rFonts w:ascii="Joost" w:hAnsi="Joost"/>
        </w:rPr>
        <w:t xml:space="preserve"> CVP IS priemonėmis gavo potencial</w:t>
      </w:r>
      <w:r w:rsidR="001E350E" w:rsidRPr="00AA1AF0">
        <w:rPr>
          <w:rFonts w:ascii="Joost" w:hAnsi="Joost"/>
        </w:rPr>
        <w:t>aus</w:t>
      </w:r>
      <w:r w:rsidRPr="00AA1AF0">
        <w:rPr>
          <w:rFonts w:ascii="Joost" w:hAnsi="Joost"/>
        </w:rPr>
        <w:t xml:space="preserve"> tiekėj</w:t>
      </w:r>
      <w:r w:rsidR="001E350E" w:rsidRPr="00AA1AF0">
        <w:rPr>
          <w:rFonts w:ascii="Joost" w:hAnsi="Joost"/>
        </w:rPr>
        <w:t>o</w:t>
      </w:r>
      <w:r w:rsidRPr="00AA1AF0">
        <w:rPr>
          <w:rFonts w:ascii="Joost" w:hAnsi="Joost"/>
        </w:rPr>
        <w:t xml:space="preserve"> paklausim</w:t>
      </w:r>
      <w:r w:rsidR="001E350E" w:rsidRPr="00AA1AF0">
        <w:rPr>
          <w:rFonts w:ascii="Joost" w:hAnsi="Joost"/>
        </w:rPr>
        <w:t>ą</w:t>
      </w:r>
      <w:r w:rsidRPr="00AA1AF0">
        <w:rPr>
          <w:rFonts w:ascii="Joost" w:hAnsi="Joost"/>
        </w:rPr>
        <w:t>.</w:t>
      </w:r>
    </w:p>
    <w:p w14:paraId="0939295D" w14:textId="5072B057" w:rsidR="004724B7" w:rsidRPr="00AA1AF0" w:rsidRDefault="004724B7" w:rsidP="0023471D">
      <w:pPr>
        <w:pStyle w:val="FreeForm"/>
        <w:ind w:firstLine="709"/>
        <w:jc w:val="both"/>
        <w:rPr>
          <w:rFonts w:ascii="Joost" w:hAnsi="Joost" w:cs="Times New Roman" w:hint="eastAsia"/>
          <w:color w:val="auto"/>
          <w:sz w:val="24"/>
          <w:szCs w:val="24"/>
          <w:lang w:val="lt-LT"/>
        </w:rPr>
      </w:pPr>
      <w:r w:rsidRPr="00AA1AF0">
        <w:rPr>
          <w:rFonts w:ascii="Joost" w:hAnsi="Joost" w:cs="Times New Roman"/>
          <w:color w:val="auto"/>
          <w:sz w:val="24"/>
          <w:szCs w:val="24"/>
          <w:lang w:val="lt-LT"/>
        </w:rPr>
        <w:t>Paklausim</w:t>
      </w:r>
      <w:r w:rsidR="00AB7038" w:rsidRPr="00AA1AF0">
        <w:rPr>
          <w:rFonts w:ascii="Joost" w:hAnsi="Joost" w:cs="Times New Roman"/>
          <w:color w:val="auto"/>
          <w:sz w:val="24"/>
          <w:szCs w:val="24"/>
          <w:lang w:val="lt-LT"/>
        </w:rPr>
        <w:t>a</w:t>
      </w:r>
      <w:r w:rsidR="001E350E" w:rsidRPr="00AA1AF0">
        <w:rPr>
          <w:rFonts w:ascii="Joost" w:hAnsi="Joost" w:cs="Times New Roman"/>
          <w:color w:val="auto"/>
          <w:sz w:val="24"/>
          <w:szCs w:val="24"/>
          <w:lang w:val="lt-LT"/>
        </w:rPr>
        <w:t>s</w:t>
      </w:r>
      <w:r w:rsidRPr="00AA1AF0">
        <w:rPr>
          <w:rFonts w:ascii="Joost" w:hAnsi="Joost" w:cs="Times New Roman"/>
          <w:color w:val="auto"/>
          <w:sz w:val="24"/>
          <w:szCs w:val="24"/>
          <w:lang w:val="lt-LT"/>
        </w:rPr>
        <w:t xml:space="preserve"> </w:t>
      </w:r>
      <w:r w:rsidR="00A3126E" w:rsidRPr="00AA1AF0">
        <w:rPr>
          <w:rFonts w:ascii="Joost" w:hAnsi="Joost" w:cs="Times New Roman"/>
          <w:color w:val="auto"/>
          <w:sz w:val="24"/>
          <w:szCs w:val="24"/>
          <w:lang w:val="lt-LT"/>
        </w:rPr>
        <w:t xml:space="preserve">pateiktas laikantis Skelbiamų derybų sąlygų 1 priedo „Terminai“ lentelės 4 eil. nustatyto termino </w:t>
      </w:r>
      <w:r w:rsidR="00A3126E" w:rsidRPr="00AA1AF0">
        <w:rPr>
          <w:rFonts w:ascii="Joost" w:hAnsi="Joost" w:cs="Times New Roman"/>
          <w:i/>
          <w:iCs/>
          <w:color w:val="auto"/>
          <w:sz w:val="24"/>
          <w:szCs w:val="24"/>
          <w:lang w:val="lt-LT"/>
        </w:rPr>
        <w:t>„Prašymą paaiškinti, patikslinti pirkimo dokumentus tiekėjas turi pateikti ne vėliau kaip: 10 (dešimt) dienų iki paraiškų pateikimo termino dienos“</w:t>
      </w:r>
      <w:r w:rsidR="00A3126E" w:rsidRPr="00AA1AF0">
        <w:rPr>
          <w:rFonts w:ascii="Joost" w:hAnsi="Joost" w:cs="Times New Roman"/>
          <w:color w:val="auto"/>
          <w:sz w:val="24"/>
          <w:szCs w:val="24"/>
          <w:lang w:val="lt-LT"/>
        </w:rPr>
        <w:t xml:space="preserve">, t. y. pateiktas laiku, todėl nagrinėtinas (paraiškų pateikimo terminas </w:t>
      </w:r>
      <w:r w:rsidR="00FE72C4" w:rsidRPr="00AA1AF0">
        <w:rPr>
          <w:rFonts w:ascii="Joost" w:hAnsi="Joost" w:cs="Times New Roman"/>
          <w:color w:val="auto"/>
          <w:sz w:val="24"/>
          <w:szCs w:val="24"/>
          <w:lang w:val="lt-LT"/>
        </w:rPr>
        <w:t>–</w:t>
      </w:r>
      <w:r w:rsidR="00A3126E" w:rsidRPr="00AA1AF0">
        <w:rPr>
          <w:rFonts w:ascii="Joost" w:hAnsi="Joost" w:cs="Times New Roman"/>
          <w:color w:val="auto"/>
          <w:sz w:val="24"/>
          <w:szCs w:val="24"/>
          <w:lang w:val="lt-LT"/>
        </w:rPr>
        <w:t xml:space="preserve"> 202</w:t>
      </w:r>
      <w:r w:rsidR="00021DDE" w:rsidRPr="00AA1AF0">
        <w:rPr>
          <w:rFonts w:ascii="Joost" w:hAnsi="Joost" w:cs="Times New Roman"/>
          <w:color w:val="auto"/>
          <w:sz w:val="24"/>
          <w:szCs w:val="24"/>
          <w:lang w:val="lt-LT"/>
        </w:rPr>
        <w:t>6</w:t>
      </w:r>
      <w:r w:rsidR="00A3126E" w:rsidRPr="00AA1AF0">
        <w:rPr>
          <w:rFonts w:ascii="Joost" w:hAnsi="Joost" w:cs="Times New Roman"/>
          <w:color w:val="auto"/>
          <w:sz w:val="24"/>
          <w:szCs w:val="24"/>
          <w:lang w:val="lt-LT"/>
        </w:rPr>
        <w:t>-</w:t>
      </w:r>
      <w:r w:rsidR="00021DDE" w:rsidRPr="00AA1AF0">
        <w:rPr>
          <w:rFonts w:ascii="Joost" w:hAnsi="Joost" w:cs="Times New Roman"/>
          <w:color w:val="auto"/>
          <w:sz w:val="24"/>
          <w:szCs w:val="24"/>
          <w:lang w:val="lt-LT"/>
        </w:rPr>
        <w:t>04</w:t>
      </w:r>
      <w:r w:rsidR="00A3126E" w:rsidRPr="00AA1AF0">
        <w:rPr>
          <w:rFonts w:ascii="Joost" w:hAnsi="Joost" w:cs="Times New Roman"/>
          <w:color w:val="auto"/>
          <w:sz w:val="24"/>
          <w:szCs w:val="24"/>
          <w:lang w:val="lt-LT"/>
        </w:rPr>
        <w:t>-</w:t>
      </w:r>
      <w:r w:rsidR="00021DDE" w:rsidRPr="00AA1AF0">
        <w:rPr>
          <w:rFonts w:ascii="Joost" w:hAnsi="Joost" w:cs="Times New Roman"/>
          <w:color w:val="auto"/>
          <w:sz w:val="24"/>
          <w:szCs w:val="24"/>
          <w:lang w:val="lt-LT"/>
        </w:rPr>
        <w:t>20</w:t>
      </w:r>
      <w:r w:rsidR="00A3126E" w:rsidRPr="00AA1AF0">
        <w:rPr>
          <w:rFonts w:ascii="Joost" w:hAnsi="Joost" w:cs="Times New Roman"/>
          <w:color w:val="auto"/>
          <w:sz w:val="24"/>
          <w:szCs w:val="24"/>
          <w:lang w:val="lt-LT"/>
        </w:rPr>
        <w:t xml:space="preserve"> </w:t>
      </w:r>
      <w:r w:rsidR="00021DDE" w:rsidRPr="00AA1AF0">
        <w:rPr>
          <w:rFonts w:ascii="Joost" w:hAnsi="Joost" w:cs="Times New Roman"/>
          <w:color w:val="auto"/>
          <w:sz w:val="24"/>
          <w:szCs w:val="24"/>
          <w:lang w:val="lt-LT"/>
        </w:rPr>
        <w:t>10</w:t>
      </w:r>
      <w:r w:rsidR="00A3126E" w:rsidRPr="00AA1AF0">
        <w:rPr>
          <w:rFonts w:ascii="Joost" w:hAnsi="Joost" w:cs="Times New Roman"/>
          <w:color w:val="auto"/>
          <w:sz w:val="24"/>
          <w:szCs w:val="24"/>
          <w:lang w:val="lt-LT"/>
        </w:rPr>
        <w:t>:00 val.)</w:t>
      </w:r>
      <w:r w:rsidRPr="00AA1AF0">
        <w:rPr>
          <w:rFonts w:ascii="Joost" w:hAnsi="Joost" w:cs="Times New Roman"/>
          <w:color w:val="auto"/>
          <w:sz w:val="24"/>
          <w:szCs w:val="24"/>
          <w:lang w:val="lt-LT"/>
        </w:rPr>
        <w:t>.</w:t>
      </w:r>
    </w:p>
    <w:p w14:paraId="70F481BD" w14:textId="2351A04C" w:rsidR="004724B7" w:rsidRPr="00AA1AF0" w:rsidRDefault="004724B7" w:rsidP="008A06EA">
      <w:pPr>
        <w:ind w:firstLine="720"/>
        <w:jc w:val="both"/>
        <w:rPr>
          <w:rFonts w:ascii="Joost" w:hAnsi="Joost" w:hint="eastAsia"/>
        </w:rPr>
      </w:pPr>
      <w:r w:rsidRPr="00AA1AF0">
        <w:rPr>
          <w:rFonts w:ascii="Joost" w:hAnsi="Joost"/>
        </w:rPr>
        <w:t>CPO LT viešojo pirkimo komisija (toliau – Komisija), vadovau</w:t>
      </w:r>
      <w:r w:rsidR="00C918C4" w:rsidRPr="00AA1AF0">
        <w:rPr>
          <w:rFonts w:ascii="Joost" w:hAnsi="Joost"/>
        </w:rPr>
        <w:t>damasi</w:t>
      </w:r>
      <w:r w:rsidRPr="00AA1AF0">
        <w:rPr>
          <w:rFonts w:ascii="Joost" w:hAnsi="Joost"/>
        </w:rPr>
        <w:t xml:space="preserve"> </w:t>
      </w:r>
      <w:r w:rsidR="00882300" w:rsidRPr="00AA1AF0">
        <w:rPr>
          <w:rFonts w:ascii="Joost" w:hAnsi="Joost"/>
        </w:rPr>
        <w:t>Lietuvos Respublikos viešųjų pirkimų, atliekamų gynybos ir saugumo srityje, įstatymo (toliau – GĮ)</w:t>
      </w:r>
      <w:r w:rsidRPr="00AA1AF0">
        <w:rPr>
          <w:rFonts w:ascii="Joost" w:hAnsi="Joost"/>
        </w:rPr>
        <w:t xml:space="preserve"> </w:t>
      </w:r>
      <w:r w:rsidR="00BF195A" w:rsidRPr="00AA1AF0">
        <w:rPr>
          <w:rFonts w:ascii="Joost" w:hAnsi="Joost"/>
        </w:rPr>
        <w:t>25</w:t>
      </w:r>
      <w:r w:rsidRPr="00AA1AF0">
        <w:rPr>
          <w:rFonts w:ascii="Joost" w:hAnsi="Joost"/>
        </w:rPr>
        <w:t xml:space="preserve"> str. 5 d. ir </w:t>
      </w:r>
      <w:r w:rsidR="00974304" w:rsidRPr="00AA1AF0">
        <w:rPr>
          <w:rFonts w:ascii="Joost" w:hAnsi="Joost"/>
        </w:rPr>
        <w:t>Skelbiamų derybų</w:t>
      </w:r>
      <w:r w:rsidRPr="00AA1AF0">
        <w:rPr>
          <w:rFonts w:ascii="Joost" w:hAnsi="Joost"/>
        </w:rPr>
        <w:t xml:space="preserve"> sąlygų </w:t>
      </w:r>
      <w:r w:rsidR="0023471D" w:rsidRPr="00AA1AF0">
        <w:rPr>
          <w:rFonts w:ascii="Joost" w:hAnsi="Joost"/>
        </w:rPr>
        <w:t>6.2</w:t>
      </w:r>
      <w:r w:rsidRPr="00AA1AF0">
        <w:rPr>
          <w:rFonts w:ascii="Joost" w:hAnsi="Joost"/>
        </w:rPr>
        <w:t xml:space="preserve"> p., teikia atsakym</w:t>
      </w:r>
      <w:r w:rsidR="009C2027">
        <w:rPr>
          <w:rFonts w:ascii="Joost" w:hAnsi="Joost"/>
        </w:rPr>
        <w:t>us</w:t>
      </w:r>
      <w:r w:rsidRPr="00AA1AF0">
        <w:rPr>
          <w:rFonts w:ascii="Joost" w:hAnsi="Joost"/>
        </w:rPr>
        <w:t xml:space="preserve"> į </w:t>
      </w:r>
      <w:r w:rsidR="00C918C4" w:rsidRPr="00AA1AF0">
        <w:rPr>
          <w:rFonts w:ascii="Joost" w:hAnsi="Joost"/>
        </w:rPr>
        <w:t xml:space="preserve">paklausime </w:t>
      </w:r>
      <w:r w:rsidRPr="00AA1AF0">
        <w:rPr>
          <w:rFonts w:ascii="Joost" w:hAnsi="Joost"/>
        </w:rPr>
        <w:t>pateikt</w:t>
      </w:r>
      <w:r w:rsidR="00C918C4" w:rsidRPr="00AA1AF0">
        <w:rPr>
          <w:rFonts w:ascii="Joost" w:hAnsi="Joost"/>
        </w:rPr>
        <w:t>us</w:t>
      </w:r>
      <w:r w:rsidRPr="00AA1AF0">
        <w:rPr>
          <w:rFonts w:ascii="Joost" w:hAnsi="Joost"/>
        </w:rPr>
        <w:t xml:space="preserve"> </w:t>
      </w:r>
      <w:r w:rsidR="00C918C4" w:rsidRPr="00AA1AF0">
        <w:rPr>
          <w:rFonts w:ascii="Joost" w:hAnsi="Joost"/>
        </w:rPr>
        <w:t>klausimus</w:t>
      </w:r>
      <w:r w:rsidRPr="00AA1AF0">
        <w:rPr>
          <w:rFonts w:ascii="Joost" w:hAnsi="Joost"/>
        </w:rPr>
        <w:t>:</w:t>
      </w:r>
    </w:p>
    <w:tbl>
      <w:tblPr>
        <w:tblStyle w:val="TableGrid"/>
        <w:tblW w:w="9923" w:type="dxa"/>
        <w:tblInd w:w="-5" w:type="dxa"/>
        <w:shd w:val="clear" w:color="auto" w:fill="FFFFFF" w:themeFill="background1"/>
        <w:tblLook w:val="04A0" w:firstRow="1" w:lastRow="0" w:firstColumn="1" w:lastColumn="0" w:noHBand="0" w:noVBand="1"/>
      </w:tblPr>
      <w:tblGrid>
        <w:gridCol w:w="9923"/>
      </w:tblGrid>
      <w:tr w:rsidR="004724B7" w:rsidRPr="00AA1AF0" w14:paraId="0D7C0412" w14:textId="77777777" w:rsidTr="00D360FA">
        <w:trPr>
          <w:trHeight w:val="224"/>
        </w:trPr>
        <w:tc>
          <w:tcPr>
            <w:tcW w:w="9923" w:type="dxa"/>
            <w:shd w:val="clear" w:color="auto" w:fill="FFFFFF" w:themeFill="background1"/>
            <w:vAlign w:val="center"/>
          </w:tcPr>
          <w:p w14:paraId="6F222F43" w14:textId="79210CB5" w:rsidR="004724B7" w:rsidRPr="00AA1AF0" w:rsidRDefault="004724B7" w:rsidP="00B66A8F">
            <w:pPr>
              <w:shd w:val="clear" w:color="auto" w:fill="FFFFFF" w:themeFill="background1"/>
              <w:rPr>
                <w:rFonts w:ascii="Joost" w:hAnsi="Joost" w:hint="eastAsia"/>
                <w:b/>
                <w:bCs/>
                <w:lang w:val="lt-LT"/>
              </w:rPr>
            </w:pPr>
            <w:r w:rsidRPr="00AA1AF0">
              <w:rPr>
                <w:rFonts w:ascii="Joost" w:hAnsi="Joost"/>
                <w:b/>
                <w:bCs/>
                <w:lang w:val="lt-LT"/>
              </w:rPr>
              <w:t>Klausimas</w:t>
            </w:r>
            <w:r w:rsidR="001558F6" w:rsidRPr="00AA1AF0">
              <w:rPr>
                <w:rFonts w:ascii="Joost" w:hAnsi="Joost"/>
                <w:b/>
                <w:bCs/>
                <w:lang w:val="lt-LT"/>
              </w:rPr>
              <w:t xml:space="preserve"> 1</w:t>
            </w:r>
            <w:r w:rsidRPr="00AA1AF0">
              <w:rPr>
                <w:rFonts w:ascii="Joost" w:hAnsi="Joost"/>
                <w:b/>
                <w:bCs/>
                <w:lang w:val="lt-LT"/>
              </w:rPr>
              <w:t xml:space="preserve"> </w:t>
            </w:r>
            <w:r w:rsidRPr="00AA1AF0">
              <w:rPr>
                <w:rFonts w:ascii="Joost" w:hAnsi="Joost"/>
                <w:lang w:val="lt-LT"/>
              </w:rPr>
              <w:t>(klausimo tekstas netaisytas)</w:t>
            </w:r>
          </w:p>
        </w:tc>
      </w:tr>
      <w:tr w:rsidR="004724B7" w:rsidRPr="00AA1AF0" w14:paraId="7B2B4C43" w14:textId="77777777" w:rsidTr="00B66A8F">
        <w:trPr>
          <w:trHeight w:val="682"/>
        </w:trPr>
        <w:tc>
          <w:tcPr>
            <w:tcW w:w="9923" w:type="dxa"/>
            <w:shd w:val="clear" w:color="auto" w:fill="FFFFFF" w:themeFill="background1"/>
          </w:tcPr>
          <w:p w14:paraId="5A4A9B0E" w14:textId="6B04D9E9" w:rsidR="004724B7" w:rsidRPr="00AA1AF0" w:rsidRDefault="001B444B" w:rsidP="001B444B">
            <w:pPr>
              <w:tabs>
                <w:tab w:val="num" w:pos="462"/>
              </w:tabs>
              <w:jc w:val="both"/>
              <w:rPr>
                <w:rFonts w:ascii="Joost" w:hAnsi="Joost" w:hint="eastAsia"/>
                <w:i/>
                <w:iCs/>
                <w:lang w:val="lt-LT"/>
              </w:rPr>
            </w:pPr>
            <w:r w:rsidRPr="00AA1AF0">
              <w:rPr>
                <w:rFonts w:ascii="Joost" w:hAnsi="Joost"/>
                <w:i/>
                <w:iCs/>
                <w:lang w:val="lt-LT"/>
              </w:rPr>
              <w:t>Prašome patikslinti, koks yra numatomas bendras vardinių BVIS naudotojų skaičius, kiek iš jų naudotųsi sistema tik ataskaitų peržiūrai ir analizei, o kiek – ataskaitų rengimui ar tvarkymui, ar per 3 metų laikotarpį numatomas šių naudotojų skaičiaus pokytis ir koks Perkančiosios organizacijos vertinimu būtų galutinis vartotojų skaičius pasibaigus 3 metų laikotarpiui.</w:t>
            </w:r>
          </w:p>
        </w:tc>
      </w:tr>
      <w:tr w:rsidR="004724B7" w:rsidRPr="00AA1AF0" w14:paraId="3D3F5DDE" w14:textId="77777777" w:rsidTr="006D3284">
        <w:trPr>
          <w:trHeight w:val="251"/>
        </w:trPr>
        <w:tc>
          <w:tcPr>
            <w:tcW w:w="9923" w:type="dxa"/>
            <w:shd w:val="clear" w:color="auto" w:fill="FFFFFF" w:themeFill="background1"/>
          </w:tcPr>
          <w:p w14:paraId="4719A0EC" w14:textId="77777777" w:rsidR="004724B7" w:rsidRPr="00AA1AF0" w:rsidRDefault="004724B7" w:rsidP="00B66A8F">
            <w:pPr>
              <w:shd w:val="clear" w:color="auto" w:fill="FFFFFF" w:themeFill="background1"/>
              <w:jc w:val="both"/>
              <w:rPr>
                <w:rFonts w:ascii="Joost" w:hAnsi="Joost" w:hint="eastAsia"/>
                <w:lang w:val="lt-LT"/>
              </w:rPr>
            </w:pPr>
            <w:r w:rsidRPr="00AA1AF0">
              <w:rPr>
                <w:rFonts w:ascii="Joost" w:hAnsi="Joost"/>
                <w:b/>
                <w:bCs/>
                <w:lang w:val="lt-LT"/>
              </w:rPr>
              <w:t>Atsakymas</w:t>
            </w:r>
          </w:p>
        </w:tc>
      </w:tr>
      <w:tr w:rsidR="004724B7" w:rsidRPr="00AA1AF0" w14:paraId="14FF951C" w14:textId="77777777" w:rsidTr="00B66A8F">
        <w:trPr>
          <w:trHeight w:val="400"/>
        </w:trPr>
        <w:tc>
          <w:tcPr>
            <w:tcW w:w="9923" w:type="dxa"/>
            <w:shd w:val="clear" w:color="auto" w:fill="FFFFFF" w:themeFill="background1"/>
          </w:tcPr>
          <w:p w14:paraId="2C015EF5" w14:textId="5234B797" w:rsidR="006D2064" w:rsidRPr="00AA1AF0" w:rsidRDefault="00811008" w:rsidP="008A06EA">
            <w:pPr>
              <w:shd w:val="clear" w:color="auto" w:fill="FFFFFF"/>
              <w:jc w:val="both"/>
              <w:rPr>
                <w:rFonts w:ascii="Joost" w:hAnsi="Joost" w:hint="eastAsia"/>
                <w:lang w:val="lt-LT"/>
              </w:rPr>
            </w:pPr>
            <w:r w:rsidRPr="00AA1AF0">
              <w:rPr>
                <w:rFonts w:ascii="Joost" w:hAnsi="Joost"/>
                <w:lang w:val="lt-LT"/>
              </w:rPr>
              <w:t>Dėkojame už Jūsų klausim</w:t>
            </w:r>
            <w:r w:rsidR="002F6678" w:rsidRPr="00AA1AF0">
              <w:rPr>
                <w:rFonts w:ascii="Joost" w:hAnsi="Joost"/>
                <w:lang w:val="lt-LT"/>
              </w:rPr>
              <w:t>ą</w:t>
            </w:r>
            <w:r w:rsidRPr="00AA1AF0">
              <w:rPr>
                <w:rFonts w:ascii="Joost" w:hAnsi="Joost"/>
                <w:lang w:val="lt-LT"/>
              </w:rPr>
              <w:t>.</w:t>
            </w:r>
          </w:p>
          <w:p w14:paraId="2D0A8E64" w14:textId="77777777" w:rsidR="0071161B" w:rsidRPr="00AA1AF0" w:rsidRDefault="0071161B" w:rsidP="0071161B">
            <w:pPr>
              <w:pStyle w:val="FootnoteText"/>
              <w:jc w:val="both"/>
              <w:rPr>
                <w:rFonts w:ascii="Joost" w:hAnsi="Joost"/>
                <w:sz w:val="24"/>
                <w:szCs w:val="24"/>
                <w:lang w:val="lt-LT"/>
              </w:rPr>
            </w:pPr>
            <w:r w:rsidRPr="00AA1AF0">
              <w:rPr>
                <w:rFonts w:ascii="Joost" w:hAnsi="Joost"/>
                <w:sz w:val="24"/>
                <w:szCs w:val="24"/>
                <w:lang w:val="lt-LT"/>
              </w:rPr>
              <w:t>Pirkimo dokumentų priede „T</w:t>
            </w:r>
            <w:r w:rsidRPr="0071161B">
              <w:rPr>
                <w:rFonts w:ascii="Joost" w:hAnsi="Joost"/>
                <w:sz w:val="24"/>
                <w:szCs w:val="24"/>
                <w:lang w:val="lt-LT"/>
              </w:rPr>
              <w:t>echninėje specifikacij</w:t>
            </w:r>
            <w:r w:rsidRPr="00AA1AF0">
              <w:rPr>
                <w:rFonts w:ascii="Joost" w:hAnsi="Joost"/>
                <w:sz w:val="24"/>
                <w:szCs w:val="24"/>
                <w:lang w:val="lt-LT"/>
              </w:rPr>
              <w:t>a“</w:t>
            </w:r>
            <w:r w:rsidRPr="0071161B">
              <w:rPr>
                <w:rFonts w:ascii="Joost" w:hAnsi="Joost"/>
                <w:sz w:val="24"/>
                <w:szCs w:val="24"/>
                <w:lang w:val="lt-LT"/>
              </w:rPr>
              <w:t xml:space="preserve"> punkte PT-73</w:t>
            </w:r>
            <w:r w:rsidRPr="00AA1AF0">
              <w:rPr>
                <w:rFonts w:ascii="Joost" w:hAnsi="Joost"/>
                <w:sz w:val="24"/>
                <w:szCs w:val="24"/>
                <w:lang w:val="lt-LT"/>
              </w:rPr>
              <w:t xml:space="preserve"> yra</w:t>
            </w:r>
            <w:r w:rsidRPr="0071161B">
              <w:rPr>
                <w:rFonts w:ascii="Joost" w:hAnsi="Joost"/>
                <w:sz w:val="24"/>
                <w:szCs w:val="24"/>
                <w:lang w:val="lt-LT"/>
              </w:rPr>
              <w:t xml:space="preserve"> nurod</w:t>
            </w:r>
            <w:r w:rsidRPr="00AA1AF0">
              <w:rPr>
                <w:rFonts w:ascii="Joost" w:hAnsi="Joost"/>
                <w:sz w:val="24"/>
                <w:szCs w:val="24"/>
                <w:lang w:val="lt-LT"/>
              </w:rPr>
              <w:t>ytas</w:t>
            </w:r>
            <w:r w:rsidRPr="0071161B">
              <w:rPr>
                <w:rFonts w:ascii="Joost" w:hAnsi="Joost"/>
                <w:sz w:val="24"/>
                <w:szCs w:val="24"/>
                <w:lang w:val="lt-LT"/>
              </w:rPr>
              <w:t xml:space="preserve"> konkretus naudotojų skaičius: “Preliminarus naudotojų, kuriuos reikės apmokyti, kiekis – 120 (tarp jų iki 5 administratorių).”</w:t>
            </w:r>
            <w:r w:rsidRPr="00AA1AF0">
              <w:rPr>
                <w:rFonts w:ascii="Joost" w:hAnsi="Joost"/>
                <w:sz w:val="24"/>
                <w:szCs w:val="24"/>
                <w:lang w:val="lt-LT"/>
              </w:rPr>
              <w:t>.</w:t>
            </w:r>
          </w:p>
          <w:p w14:paraId="4300E936" w14:textId="157F251F" w:rsidR="00E92485" w:rsidRPr="00AA1AF0" w:rsidRDefault="0071161B" w:rsidP="0071161B">
            <w:pPr>
              <w:pStyle w:val="FootnoteText"/>
              <w:jc w:val="both"/>
              <w:rPr>
                <w:rFonts w:ascii="Joost" w:hAnsi="Joost"/>
                <w:sz w:val="24"/>
                <w:szCs w:val="24"/>
                <w:lang w:val="lt-LT"/>
              </w:rPr>
            </w:pPr>
            <w:r w:rsidRPr="0071161B">
              <w:rPr>
                <w:rFonts w:ascii="Joost" w:hAnsi="Joost"/>
                <w:sz w:val="24"/>
                <w:szCs w:val="24"/>
                <w:lang w:val="lt-LT"/>
              </w:rPr>
              <w:t>Nenumatoma, kad jis keisis 3 metų eigoje. Visi šie naudotojai naudosis BVIS ir ataskaitų peržiūrai ir analizei, ir ataskaitų rengimui ar tvarkymui. Visi naudotojai aktyviai dalyvauja biudžeto rengimo procese (suveda atitinkamo padalinio duomenis ir naudoja sistemą savo padalinio biudžeto rengimui).</w:t>
            </w:r>
          </w:p>
        </w:tc>
      </w:tr>
      <w:tr w:rsidR="00B66A8F" w:rsidRPr="00AA1AF0" w14:paraId="0E891C47" w14:textId="77777777" w:rsidTr="00D360FA">
        <w:trPr>
          <w:trHeight w:val="251"/>
        </w:trPr>
        <w:tc>
          <w:tcPr>
            <w:tcW w:w="9923" w:type="dxa"/>
            <w:shd w:val="clear" w:color="auto" w:fill="FFFFFF" w:themeFill="background1"/>
          </w:tcPr>
          <w:p w14:paraId="52C945D7" w14:textId="16F93BB5" w:rsidR="00B66A8F" w:rsidRPr="00AA1AF0" w:rsidRDefault="00B66A8F" w:rsidP="008A06EA">
            <w:pPr>
              <w:shd w:val="clear" w:color="auto" w:fill="FFFFFF"/>
              <w:jc w:val="both"/>
              <w:rPr>
                <w:rFonts w:ascii="Joost" w:hAnsi="Joost" w:hint="eastAsia"/>
                <w:lang w:val="lt-LT"/>
              </w:rPr>
            </w:pPr>
            <w:r w:rsidRPr="00AA1AF0">
              <w:rPr>
                <w:rFonts w:ascii="Joost" w:hAnsi="Joost"/>
                <w:b/>
                <w:bCs/>
                <w:lang w:val="lt-LT"/>
              </w:rPr>
              <w:t xml:space="preserve">Klausimas 2 </w:t>
            </w:r>
            <w:r w:rsidRPr="00AA1AF0">
              <w:rPr>
                <w:rFonts w:ascii="Joost" w:hAnsi="Joost"/>
                <w:lang w:val="lt-LT"/>
              </w:rPr>
              <w:t>(klausimo tekstas netaisytas)</w:t>
            </w:r>
          </w:p>
        </w:tc>
      </w:tr>
      <w:tr w:rsidR="00B66A8F" w:rsidRPr="00AA1AF0" w14:paraId="42161848" w14:textId="77777777" w:rsidTr="00B66A8F">
        <w:trPr>
          <w:trHeight w:val="400"/>
        </w:trPr>
        <w:tc>
          <w:tcPr>
            <w:tcW w:w="9923" w:type="dxa"/>
            <w:shd w:val="clear" w:color="auto" w:fill="FFFFFF" w:themeFill="background1"/>
          </w:tcPr>
          <w:p w14:paraId="7460D69C" w14:textId="1E3688B6" w:rsidR="00B66A8F" w:rsidRPr="00AA1AF0" w:rsidRDefault="001B444B" w:rsidP="001B444B">
            <w:pPr>
              <w:shd w:val="clear" w:color="auto" w:fill="FFFFFF"/>
              <w:jc w:val="both"/>
              <w:rPr>
                <w:rFonts w:ascii="Joost" w:hAnsi="Joost" w:hint="eastAsia"/>
                <w:lang w:val="lt-LT"/>
              </w:rPr>
            </w:pPr>
            <w:r w:rsidRPr="00AA1AF0">
              <w:rPr>
                <w:rFonts w:ascii="Joost" w:hAnsi="Joost"/>
                <w:i/>
                <w:iCs/>
                <w:lang w:val="lt-LT"/>
              </w:rPr>
              <w:t>Tuo pačiu prašome patikslinti Kvalifikacijos reikalavimų 1 p. pateiktą informaciją, ar visiems specialistams, kurie būtini praeinant kvalifikaciją, turi turėti leidimą dirbti ir susipažinti su įslaptinta informacija?</w:t>
            </w:r>
          </w:p>
        </w:tc>
      </w:tr>
      <w:tr w:rsidR="00D360FA" w:rsidRPr="00AA1AF0" w14:paraId="5D84D977" w14:textId="77777777" w:rsidTr="00D360FA">
        <w:trPr>
          <w:trHeight w:val="260"/>
        </w:trPr>
        <w:tc>
          <w:tcPr>
            <w:tcW w:w="9923" w:type="dxa"/>
            <w:shd w:val="clear" w:color="auto" w:fill="FFFFFF" w:themeFill="background1"/>
          </w:tcPr>
          <w:p w14:paraId="6CFA686C" w14:textId="036EA993" w:rsidR="00D360FA" w:rsidRPr="00AA1AF0" w:rsidRDefault="00D360FA" w:rsidP="008A06EA">
            <w:pPr>
              <w:shd w:val="clear" w:color="auto" w:fill="FFFFFF"/>
              <w:jc w:val="both"/>
              <w:rPr>
                <w:rFonts w:ascii="Joost" w:hAnsi="Joost" w:hint="eastAsia"/>
                <w:i/>
                <w:iCs/>
                <w:lang w:val="lt-LT"/>
              </w:rPr>
            </w:pPr>
            <w:r w:rsidRPr="00AA1AF0">
              <w:rPr>
                <w:rFonts w:ascii="Joost" w:hAnsi="Joost"/>
                <w:b/>
                <w:bCs/>
                <w:lang w:val="lt-LT"/>
              </w:rPr>
              <w:t>Atsakymas</w:t>
            </w:r>
          </w:p>
        </w:tc>
      </w:tr>
      <w:tr w:rsidR="00D360FA" w:rsidRPr="00AA1AF0" w14:paraId="67565F7C" w14:textId="77777777" w:rsidTr="00B66A8F">
        <w:trPr>
          <w:trHeight w:val="400"/>
        </w:trPr>
        <w:tc>
          <w:tcPr>
            <w:tcW w:w="9923" w:type="dxa"/>
            <w:shd w:val="clear" w:color="auto" w:fill="FFFFFF" w:themeFill="background1"/>
          </w:tcPr>
          <w:p w14:paraId="5C268165" w14:textId="77777777" w:rsidR="00D360FA" w:rsidRPr="005B41A9" w:rsidRDefault="001A00E2" w:rsidP="008A06EA">
            <w:pPr>
              <w:shd w:val="clear" w:color="auto" w:fill="FFFFFF"/>
              <w:jc w:val="both"/>
              <w:rPr>
                <w:rFonts w:ascii="Joost" w:hAnsi="Joost" w:hint="eastAsia"/>
                <w:lang w:val="lt-LT"/>
              </w:rPr>
            </w:pPr>
            <w:r w:rsidRPr="005B41A9">
              <w:rPr>
                <w:rFonts w:ascii="Joost" w:hAnsi="Joost"/>
                <w:lang w:val="lt-LT"/>
              </w:rPr>
              <w:t>Dėkojame už Jūsų klausimą.</w:t>
            </w:r>
          </w:p>
          <w:p w14:paraId="26FBF7F3" w14:textId="672E791B" w:rsidR="00F17595" w:rsidRPr="005B41A9" w:rsidRDefault="00AA1AF0" w:rsidP="00AA1AF0">
            <w:pPr>
              <w:shd w:val="clear" w:color="auto" w:fill="FFFFFF"/>
              <w:jc w:val="both"/>
              <w:rPr>
                <w:rFonts w:ascii="Joost" w:hAnsi="Joost" w:hint="eastAsia"/>
                <w:lang w:val="lt-LT"/>
              </w:rPr>
            </w:pPr>
            <w:r w:rsidRPr="005B41A9">
              <w:rPr>
                <w:rFonts w:ascii="Joost" w:hAnsi="Joost"/>
                <w:lang w:val="lt-LT"/>
              </w:rPr>
              <w:t>T</w:t>
            </w:r>
            <w:r w:rsidRPr="00AA1AF0">
              <w:rPr>
                <w:rFonts w:ascii="Joost" w:hAnsi="Joost"/>
                <w:lang w:val="lt-LT"/>
              </w:rPr>
              <w:t>aip, visi specialistai</w:t>
            </w:r>
            <w:r w:rsidR="00B320DA" w:rsidRPr="005B41A9">
              <w:rPr>
                <w:rFonts w:ascii="Joost" w:hAnsi="Joost"/>
                <w:lang w:val="lt-LT"/>
              </w:rPr>
              <w:t>, kurie</w:t>
            </w:r>
            <w:r w:rsidR="00DE78EC" w:rsidRPr="005B41A9">
              <w:rPr>
                <w:rFonts w:ascii="Joost" w:hAnsi="Joost"/>
                <w:lang w:val="lt-LT"/>
              </w:rPr>
              <w:t xml:space="preserve"> pateikus Paraišką</w:t>
            </w:r>
            <w:r w:rsidR="00B320DA" w:rsidRPr="005B41A9">
              <w:rPr>
                <w:rFonts w:ascii="Joost" w:hAnsi="Joost"/>
                <w:lang w:val="lt-LT"/>
              </w:rPr>
              <w:t xml:space="preserve"> bus </w:t>
            </w:r>
            <w:r w:rsidR="00EF3621" w:rsidRPr="005B41A9">
              <w:rPr>
                <w:rFonts w:ascii="Joost" w:hAnsi="Joost"/>
                <w:lang w:val="lt-LT"/>
              </w:rPr>
              <w:t>Tiekėjo</w:t>
            </w:r>
            <w:r w:rsidR="00DE78EC" w:rsidRPr="005B41A9">
              <w:rPr>
                <w:rFonts w:ascii="Joost" w:hAnsi="Joost"/>
                <w:lang w:val="lt-LT"/>
              </w:rPr>
              <w:t xml:space="preserve"> nurodyti</w:t>
            </w:r>
            <w:r w:rsidR="00EF3621" w:rsidRPr="005B41A9">
              <w:rPr>
                <w:rFonts w:ascii="Joost" w:hAnsi="Joost"/>
                <w:lang w:val="lt-LT"/>
              </w:rPr>
              <w:t xml:space="preserve"> siekiant atitikti kvalifikacijos reikalavimus </w:t>
            </w:r>
            <w:r w:rsidRPr="00AA1AF0">
              <w:rPr>
                <w:rFonts w:ascii="Joost" w:hAnsi="Joost"/>
                <w:lang w:val="lt-LT"/>
              </w:rPr>
              <w:t>turi turėti leidimą dirbti su riboto naudojimo informacija.</w:t>
            </w:r>
          </w:p>
          <w:p w14:paraId="44FE357A" w14:textId="0426C3A0" w:rsidR="00B32426" w:rsidRPr="004E74AC" w:rsidRDefault="00B32426" w:rsidP="00AA1AF0">
            <w:pPr>
              <w:shd w:val="clear" w:color="auto" w:fill="FFFFFF"/>
              <w:jc w:val="both"/>
              <w:rPr>
                <w:rFonts w:ascii="Joost" w:hAnsi="Joost" w:hint="eastAsia"/>
                <w:lang w:val="lt-LT"/>
              </w:rPr>
            </w:pPr>
            <w:r w:rsidRPr="005B41A9">
              <w:rPr>
                <w:rFonts w:ascii="Joost" w:hAnsi="Joost"/>
                <w:lang w:val="lt-LT"/>
              </w:rPr>
              <w:t xml:space="preserve">Pažymėtina, kad </w:t>
            </w:r>
            <w:r w:rsidR="00F67983" w:rsidRPr="005B41A9">
              <w:rPr>
                <w:rFonts w:ascii="Joost" w:hAnsi="Joost"/>
                <w:lang w:val="lt-LT"/>
              </w:rPr>
              <w:t>baigtin</w:t>
            </w:r>
            <w:r w:rsidR="00647C4F" w:rsidRPr="005B41A9">
              <w:rPr>
                <w:rFonts w:ascii="Joost" w:hAnsi="Joost"/>
                <w:lang w:val="lt-LT"/>
              </w:rPr>
              <w:t>į</w:t>
            </w:r>
            <w:r w:rsidR="00F67983" w:rsidRPr="005B41A9">
              <w:rPr>
                <w:rFonts w:ascii="Joost" w:hAnsi="Joost"/>
                <w:lang w:val="lt-LT"/>
              </w:rPr>
              <w:t xml:space="preserve"> asmenų, kuriems taikomas šis reikalavimas</w:t>
            </w:r>
            <w:r w:rsidR="00647C4F" w:rsidRPr="005B41A9">
              <w:rPr>
                <w:rFonts w:ascii="Joost" w:hAnsi="Joost"/>
                <w:lang w:val="lt-LT"/>
              </w:rPr>
              <w:t>, sąrašą nustato Tiekėjas, teikdamas Paraišką, o su ja ir Pirkimo dokumentų priedą „</w:t>
            </w:r>
            <w:r w:rsidR="004E74AC" w:rsidRPr="005B41A9">
              <w:rPr>
                <w:rFonts w:ascii="Joost" w:eastAsia="Times New Roman" w:hAnsi="Joost"/>
                <w:bCs/>
                <w:lang w:val="lt-LT" w:eastAsia="lt-LT"/>
              </w:rPr>
              <w:t>Duomenys apie tiekėjo (subtiekėjo) patikimumą“.</w:t>
            </w:r>
          </w:p>
        </w:tc>
      </w:tr>
    </w:tbl>
    <w:p w14:paraId="0E001EEA" w14:textId="77777777" w:rsidR="00C90B7F" w:rsidRPr="00AA1AF0" w:rsidRDefault="00C90B7F" w:rsidP="008A06EA">
      <w:pPr>
        <w:pStyle w:val="NormalWeb"/>
        <w:shd w:val="clear" w:color="auto" w:fill="FFFFFF" w:themeFill="background1"/>
        <w:spacing w:before="0" w:beforeAutospacing="0" w:after="0" w:afterAutospacing="0"/>
        <w:contextualSpacing/>
        <w:jc w:val="both"/>
        <w:rPr>
          <w:rFonts w:ascii="Joost" w:hAnsi="Joost"/>
          <w:lang w:val="lt-LT"/>
        </w:rPr>
      </w:pPr>
    </w:p>
    <w:p w14:paraId="35AEC276" w14:textId="4756A8FE" w:rsidR="00C90B7F" w:rsidRPr="00AA1AF0" w:rsidRDefault="00533D1C" w:rsidP="00533D1C">
      <w:pPr>
        <w:pStyle w:val="FreeForm"/>
        <w:jc w:val="both"/>
        <w:rPr>
          <w:rFonts w:ascii="Joost" w:hAnsi="Joost" w:cs="Times New Roman" w:hint="eastAsia"/>
          <w:color w:val="auto"/>
          <w:sz w:val="24"/>
          <w:szCs w:val="24"/>
          <w:lang w:val="lt-LT"/>
        </w:rPr>
      </w:pPr>
      <w:r w:rsidRPr="00AA1AF0">
        <w:rPr>
          <w:rFonts w:ascii="Joost" w:hAnsi="Joost" w:cs="Times New Roman"/>
          <w:color w:val="auto"/>
          <w:sz w:val="24"/>
          <w:szCs w:val="24"/>
          <w:lang w:val="lt-LT"/>
        </w:rPr>
        <w:t>Paraiškų pateikimo terminas nėra nukeliamas.</w:t>
      </w:r>
    </w:p>
    <w:p w14:paraId="6194863D" w14:textId="77777777" w:rsidR="00533D1C" w:rsidRPr="00AA1AF0" w:rsidRDefault="00533D1C" w:rsidP="00533D1C">
      <w:pPr>
        <w:pStyle w:val="FreeForm"/>
        <w:jc w:val="both"/>
        <w:rPr>
          <w:rFonts w:ascii="Joost" w:hAnsi="Joost" w:cs="Times New Roman" w:hint="eastAsia"/>
          <w:color w:val="auto"/>
          <w:sz w:val="24"/>
          <w:szCs w:val="24"/>
          <w:lang w:val="lt-LT"/>
        </w:rPr>
      </w:pPr>
    </w:p>
    <w:p w14:paraId="2FC7F03D" w14:textId="20D198AA" w:rsidR="004724B7" w:rsidRPr="00AA1AF0" w:rsidRDefault="004724B7" w:rsidP="008A06EA">
      <w:pPr>
        <w:tabs>
          <w:tab w:val="left" w:pos="1605"/>
        </w:tabs>
        <w:jc w:val="both"/>
        <w:rPr>
          <w:rFonts w:ascii="Joost" w:eastAsia="Times New Roman" w:hAnsi="Joost"/>
          <w:color w:val="000000"/>
        </w:rPr>
      </w:pPr>
      <w:r w:rsidRPr="00AA1AF0">
        <w:rPr>
          <w:rFonts w:ascii="Joost" w:eastAsia="Times New Roman" w:hAnsi="Joost"/>
          <w:color w:val="000000"/>
        </w:rPr>
        <w:t>Pagarbiai</w:t>
      </w:r>
    </w:p>
    <w:p w14:paraId="24581294" w14:textId="77777777" w:rsidR="004724B7" w:rsidRPr="00AA1AF0" w:rsidRDefault="004724B7" w:rsidP="008A06EA">
      <w:pPr>
        <w:tabs>
          <w:tab w:val="left" w:pos="1605"/>
        </w:tabs>
        <w:jc w:val="both"/>
        <w:rPr>
          <w:rFonts w:ascii="Joost" w:eastAsia="Times New Roman" w:hAnsi="Joost"/>
          <w:color w:val="000000"/>
        </w:rPr>
      </w:pPr>
    </w:p>
    <w:p w14:paraId="7478A476" w14:textId="1A6FF10F" w:rsidR="00E4040A" w:rsidRPr="00AA1AF0" w:rsidRDefault="004724B7" w:rsidP="00533D1C">
      <w:pPr>
        <w:tabs>
          <w:tab w:val="left" w:pos="1605"/>
        </w:tabs>
        <w:jc w:val="both"/>
        <w:rPr>
          <w:rFonts w:ascii="Joost" w:hAnsi="Joost" w:hint="eastAsia"/>
        </w:rPr>
      </w:pPr>
      <w:r w:rsidRPr="00AA1AF0">
        <w:rPr>
          <w:rFonts w:ascii="Joost" w:eastAsia="Times New Roman" w:hAnsi="Joost"/>
          <w:color w:val="000000"/>
        </w:rPr>
        <w:t>Komisija</w:t>
      </w:r>
    </w:p>
    <w:sectPr w:rsidR="00E4040A" w:rsidRPr="00AA1AF0" w:rsidSect="00533D1C">
      <w:headerReference w:type="default" r:id="rId8"/>
      <w:footerReference w:type="default" r:id="rId9"/>
      <w:headerReference w:type="first" r:id="rId10"/>
      <w:pgSz w:w="11900" w:h="16840"/>
      <w:pgMar w:top="1152" w:right="576" w:bottom="1152"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6FCD" w14:textId="77777777" w:rsidR="00EE43AC" w:rsidRDefault="00EE43AC" w:rsidP="000F17D6">
      <w:r>
        <w:separator/>
      </w:r>
    </w:p>
  </w:endnote>
  <w:endnote w:type="continuationSeparator" w:id="0">
    <w:p w14:paraId="776EC073" w14:textId="77777777" w:rsidR="00EE43AC" w:rsidRDefault="00EE43AC"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FE4F" w14:textId="77777777" w:rsidR="00EE43AC" w:rsidRDefault="00EE43AC" w:rsidP="000F17D6">
      <w:r>
        <w:separator/>
      </w:r>
    </w:p>
  </w:footnote>
  <w:footnote w:type="continuationSeparator" w:id="0">
    <w:p w14:paraId="6CAFA5D2" w14:textId="77777777" w:rsidR="00EE43AC" w:rsidRDefault="00EE43AC"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52E9C"/>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9850B9"/>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134964">
    <w:abstractNumId w:val="1"/>
  </w:num>
  <w:num w:numId="2" w16cid:durableId="1367369366">
    <w:abstractNumId w:val="0"/>
  </w:num>
  <w:num w:numId="3" w16cid:durableId="1522276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53AA"/>
    <w:rsid w:val="00021618"/>
    <w:rsid w:val="00021AAF"/>
    <w:rsid w:val="00021DDE"/>
    <w:rsid w:val="000251FB"/>
    <w:rsid w:val="00031696"/>
    <w:rsid w:val="00041920"/>
    <w:rsid w:val="0005038E"/>
    <w:rsid w:val="00051BE0"/>
    <w:rsid w:val="000673B7"/>
    <w:rsid w:val="00073A6D"/>
    <w:rsid w:val="00076A84"/>
    <w:rsid w:val="000841CC"/>
    <w:rsid w:val="00094EC1"/>
    <w:rsid w:val="00095D5F"/>
    <w:rsid w:val="000A26A0"/>
    <w:rsid w:val="000B7B60"/>
    <w:rsid w:val="000E48D3"/>
    <w:rsid w:val="000F0723"/>
    <w:rsid w:val="000F17D6"/>
    <w:rsid w:val="000F3B8C"/>
    <w:rsid w:val="000F76FA"/>
    <w:rsid w:val="00106C33"/>
    <w:rsid w:val="00112A07"/>
    <w:rsid w:val="00117F86"/>
    <w:rsid w:val="001276CB"/>
    <w:rsid w:val="001330B6"/>
    <w:rsid w:val="001330CA"/>
    <w:rsid w:val="00150BF6"/>
    <w:rsid w:val="001558F6"/>
    <w:rsid w:val="00156D01"/>
    <w:rsid w:val="00172D09"/>
    <w:rsid w:val="00177251"/>
    <w:rsid w:val="00180221"/>
    <w:rsid w:val="00180313"/>
    <w:rsid w:val="001829EE"/>
    <w:rsid w:val="00182BE1"/>
    <w:rsid w:val="00192DEF"/>
    <w:rsid w:val="001954C2"/>
    <w:rsid w:val="001960A7"/>
    <w:rsid w:val="00196563"/>
    <w:rsid w:val="001A00E2"/>
    <w:rsid w:val="001B444B"/>
    <w:rsid w:val="001B598D"/>
    <w:rsid w:val="001C1E30"/>
    <w:rsid w:val="001C4C9F"/>
    <w:rsid w:val="001D5FC5"/>
    <w:rsid w:val="001D62C1"/>
    <w:rsid w:val="001E350E"/>
    <w:rsid w:val="001F2EAE"/>
    <w:rsid w:val="002157C3"/>
    <w:rsid w:val="00217499"/>
    <w:rsid w:val="00226B90"/>
    <w:rsid w:val="0023471D"/>
    <w:rsid w:val="00240BAB"/>
    <w:rsid w:val="00265045"/>
    <w:rsid w:val="002676AF"/>
    <w:rsid w:val="00270136"/>
    <w:rsid w:val="0027706E"/>
    <w:rsid w:val="00277ACF"/>
    <w:rsid w:val="00283410"/>
    <w:rsid w:val="002F6678"/>
    <w:rsid w:val="00300312"/>
    <w:rsid w:val="00301479"/>
    <w:rsid w:val="00301F06"/>
    <w:rsid w:val="00311ACE"/>
    <w:rsid w:val="00322AFC"/>
    <w:rsid w:val="00333563"/>
    <w:rsid w:val="00336605"/>
    <w:rsid w:val="0034072A"/>
    <w:rsid w:val="0035069B"/>
    <w:rsid w:val="00354F56"/>
    <w:rsid w:val="003619F9"/>
    <w:rsid w:val="00362939"/>
    <w:rsid w:val="0036750A"/>
    <w:rsid w:val="00370952"/>
    <w:rsid w:val="00376B34"/>
    <w:rsid w:val="00376FF7"/>
    <w:rsid w:val="00383929"/>
    <w:rsid w:val="00384E35"/>
    <w:rsid w:val="0038591A"/>
    <w:rsid w:val="003A797C"/>
    <w:rsid w:val="003B217B"/>
    <w:rsid w:val="003B610D"/>
    <w:rsid w:val="003B6880"/>
    <w:rsid w:val="003C3DE4"/>
    <w:rsid w:val="003C4C60"/>
    <w:rsid w:val="003D08CE"/>
    <w:rsid w:val="003D2882"/>
    <w:rsid w:val="003D5179"/>
    <w:rsid w:val="003D74F0"/>
    <w:rsid w:val="003E5200"/>
    <w:rsid w:val="003E6BB5"/>
    <w:rsid w:val="003F22A7"/>
    <w:rsid w:val="004115A8"/>
    <w:rsid w:val="00415F0A"/>
    <w:rsid w:val="00420E69"/>
    <w:rsid w:val="00424366"/>
    <w:rsid w:val="00436585"/>
    <w:rsid w:val="00445645"/>
    <w:rsid w:val="004476C6"/>
    <w:rsid w:val="00453909"/>
    <w:rsid w:val="004657AE"/>
    <w:rsid w:val="004724B7"/>
    <w:rsid w:val="00475AC1"/>
    <w:rsid w:val="0048126B"/>
    <w:rsid w:val="00481C91"/>
    <w:rsid w:val="004841E0"/>
    <w:rsid w:val="00484B1B"/>
    <w:rsid w:val="00490A3C"/>
    <w:rsid w:val="00494CBC"/>
    <w:rsid w:val="004A5103"/>
    <w:rsid w:val="004B08CD"/>
    <w:rsid w:val="004B4774"/>
    <w:rsid w:val="004B73A5"/>
    <w:rsid w:val="004C4F2C"/>
    <w:rsid w:val="004E74AC"/>
    <w:rsid w:val="004E7DB5"/>
    <w:rsid w:val="004F14AA"/>
    <w:rsid w:val="004F6AD6"/>
    <w:rsid w:val="00510257"/>
    <w:rsid w:val="0051460F"/>
    <w:rsid w:val="00514D60"/>
    <w:rsid w:val="00516562"/>
    <w:rsid w:val="00524B8D"/>
    <w:rsid w:val="00533D1C"/>
    <w:rsid w:val="00540173"/>
    <w:rsid w:val="005441E0"/>
    <w:rsid w:val="005642C6"/>
    <w:rsid w:val="00584DEA"/>
    <w:rsid w:val="005969C6"/>
    <w:rsid w:val="005B23E8"/>
    <w:rsid w:val="005B3585"/>
    <w:rsid w:val="005B41A9"/>
    <w:rsid w:val="005C3135"/>
    <w:rsid w:val="005C66CE"/>
    <w:rsid w:val="005E43FB"/>
    <w:rsid w:val="005F4B41"/>
    <w:rsid w:val="005F54CD"/>
    <w:rsid w:val="00647C4F"/>
    <w:rsid w:val="006510CA"/>
    <w:rsid w:val="0065209C"/>
    <w:rsid w:val="006732D2"/>
    <w:rsid w:val="006810B3"/>
    <w:rsid w:val="006826AC"/>
    <w:rsid w:val="006862E0"/>
    <w:rsid w:val="00686497"/>
    <w:rsid w:val="006908B5"/>
    <w:rsid w:val="00695994"/>
    <w:rsid w:val="006A3975"/>
    <w:rsid w:val="006A39EA"/>
    <w:rsid w:val="006B4CBC"/>
    <w:rsid w:val="006C5A02"/>
    <w:rsid w:val="006C7E5A"/>
    <w:rsid w:val="006D2064"/>
    <w:rsid w:val="006D3284"/>
    <w:rsid w:val="0071161B"/>
    <w:rsid w:val="00711BD9"/>
    <w:rsid w:val="00717D5C"/>
    <w:rsid w:val="007254B9"/>
    <w:rsid w:val="007271E9"/>
    <w:rsid w:val="007642B2"/>
    <w:rsid w:val="0076492E"/>
    <w:rsid w:val="007706F7"/>
    <w:rsid w:val="00770D1B"/>
    <w:rsid w:val="00774325"/>
    <w:rsid w:val="00775023"/>
    <w:rsid w:val="007772DB"/>
    <w:rsid w:val="00781BE1"/>
    <w:rsid w:val="00791E5F"/>
    <w:rsid w:val="007A00C5"/>
    <w:rsid w:val="007B726B"/>
    <w:rsid w:val="007C7652"/>
    <w:rsid w:val="007E322B"/>
    <w:rsid w:val="007F0445"/>
    <w:rsid w:val="007F072F"/>
    <w:rsid w:val="007F0AFD"/>
    <w:rsid w:val="007F17A9"/>
    <w:rsid w:val="008013DD"/>
    <w:rsid w:val="00804584"/>
    <w:rsid w:val="0080655C"/>
    <w:rsid w:val="00811008"/>
    <w:rsid w:val="0081367D"/>
    <w:rsid w:val="0084122F"/>
    <w:rsid w:val="0084175F"/>
    <w:rsid w:val="00860FEB"/>
    <w:rsid w:val="00862486"/>
    <w:rsid w:val="00876EDD"/>
    <w:rsid w:val="008814A7"/>
    <w:rsid w:val="00882300"/>
    <w:rsid w:val="0088508D"/>
    <w:rsid w:val="00896ACE"/>
    <w:rsid w:val="008A06EA"/>
    <w:rsid w:val="008A1E0B"/>
    <w:rsid w:val="008B1271"/>
    <w:rsid w:val="008B7D17"/>
    <w:rsid w:val="008F2239"/>
    <w:rsid w:val="00900363"/>
    <w:rsid w:val="00901F52"/>
    <w:rsid w:val="00910B02"/>
    <w:rsid w:val="00911B9C"/>
    <w:rsid w:val="00913764"/>
    <w:rsid w:val="00915E5F"/>
    <w:rsid w:val="00916B6D"/>
    <w:rsid w:val="0092252D"/>
    <w:rsid w:val="009236A3"/>
    <w:rsid w:val="00933D80"/>
    <w:rsid w:val="009359D0"/>
    <w:rsid w:val="00936196"/>
    <w:rsid w:val="00940C42"/>
    <w:rsid w:val="00940E74"/>
    <w:rsid w:val="00943813"/>
    <w:rsid w:val="00946706"/>
    <w:rsid w:val="009610D0"/>
    <w:rsid w:val="00973EFC"/>
    <w:rsid w:val="00974304"/>
    <w:rsid w:val="00975EC5"/>
    <w:rsid w:val="00976F43"/>
    <w:rsid w:val="00985282"/>
    <w:rsid w:val="0099017B"/>
    <w:rsid w:val="00992541"/>
    <w:rsid w:val="00994302"/>
    <w:rsid w:val="00995C60"/>
    <w:rsid w:val="009A6E37"/>
    <w:rsid w:val="009A6FF3"/>
    <w:rsid w:val="009A7E52"/>
    <w:rsid w:val="009C2027"/>
    <w:rsid w:val="009C4B4D"/>
    <w:rsid w:val="009D17A9"/>
    <w:rsid w:val="009D328C"/>
    <w:rsid w:val="009E5672"/>
    <w:rsid w:val="009E7AF2"/>
    <w:rsid w:val="009F1ABD"/>
    <w:rsid w:val="009F3B08"/>
    <w:rsid w:val="00A1363C"/>
    <w:rsid w:val="00A146E5"/>
    <w:rsid w:val="00A25314"/>
    <w:rsid w:val="00A3126E"/>
    <w:rsid w:val="00A3278C"/>
    <w:rsid w:val="00A62405"/>
    <w:rsid w:val="00A6322C"/>
    <w:rsid w:val="00A67D15"/>
    <w:rsid w:val="00A71CBF"/>
    <w:rsid w:val="00A7668B"/>
    <w:rsid w:val="00A831FB"/>
    <w:rsid w:val="00A84892"/>
    <w:rsid w:val="00A9105A"/>
    <w:rsid w:val="00AA1AF0"/>
    <w:rsid w:val="00AA778D"/>
    <w:rsid w:val="00AB476D"/>
    <w:rsid w:val="00AB5DE0"/>
    <w:rsid w:val="00AB6536"/>
    <w:rsid w:val="00AB7038"/>
    <w:rsid w:val="00AC0DC4"/>
    <w:rsid w:val="00AC1477"/>
    <w:rsid w:val="00AC790F"/>
    <w:rsid w:val="00AE3320"/>
    <w:rsid w:val="00AE3A88"/>
    <w:rsid w:val="00AE6543"/>
    <w:rsid w:val="00B14379"/>
    <w:rsid w:val="00B206CC"/>
    <w:rsid w:val="00B320DA"/>
    <w:rsid w:val="00B32426"/>
    <w:rsid w:val="00B36D2A"/>
    <w:rsid w:val="00B546B9"/>
    <w:rsid w:val="00B5500E"/>
    <w:rsid w:val="00B577D1"/>
    <w:rsid w:val="00B62F87"/>
    <w:rsid w:val="00B635A5"/>
    <w:rsid w:val="00B66A8F"/>
    <w:rsid w:val="00B71033"/>
    <w:rsid w:val="00B77E46"/>
    <w:rsid w:val="00B92644"/>
    <w:rsid w:val="00BB2691"/>
    <w:rsid w:val="00BC39CD"/>
    <w:rsid w:val="00BC4BBB"/>
    <w:rsid w:val="00BD61F3"/>
    <w:rsid w:val="00BE3C5E"/>
    <w:rsid w:val="00BE5F96"/>
    <w:rsid w:val="00BE7716"/>
    <w:rsid w:val="00BF195A"/>
    <w:rsid w:val="00BF6ABD"/>
    <w:rsid w:val="00C0001C"/>
    <w:rsid w:val="00C04902"/>
    <w:rsid w:val="00C071D2"/>
    <w:rsid w:val="00C35E6C"/>
    <w:rsid w:val="00C36859"/>
    <w:rsid w:val="00C4333B"/>
    <w:rsid w:val="00C442A3"/>
    <w:rsid w:val="00C50DE8"/>
    <w:rsid w:val="00C57417"/>
    <w:rsid w:val="00C7050B"/>
    <w:rsid w:val="00C70B0D"/>
    <w:rsid w:val="00C76864"/>
    <w:rsid w:val="00C83F81"/>
    <w:rsid w:val="00C868FA"/>
    <w:rsid w:val="00C90B7F"/>
    <w:rsid w:val="00C918C4"/>
    <w:rsid w:val="00C92F1F"/>
    <w:rsid w:val="00C955B4"/>
    <w:rsid w:val="00CA0318"/>
    <w:rsid w:val="00CA077F"/>
    <w:rsid w:val="00CB270C"/>
    <w:rsid w:val="00CB6EAD"/>
    <w:rsid w:val="00CC13E6"/>
    <w:rsid w:val="00CD1404"/>
    <w:rsid w:val="00CD6675"/>
    <w:rsid w:val="00CE0EA3"/>
    <w:rsid w:val="00CE0F7C"/>
    <w:rsid w:val="00CF00E2"/>
    <w:rsid w:val="00CF235A"/>
    <w:rsid w:val="00D0127C"/>
    <w:rsid w:val="00D05F13"/>
    <w:rsid w:val="00D149CB"/>
    <w:rsid w:val="00D163F3"/>
    <w:rsid w:val="00D360FA"/>
    <w:rsid w:val="00D466CA"/>
    <w:rsid w:val="00D65ADF"/>
    <w:rsid w:val="00D76D72"/>
    <w:rsid w:val="00D82353"/>
    <w:rsid w:val="00DA0901"/>
    <w:rsid w:val="00DB382A"/>
    <w:rsid w:val="00DB5547"/>
    <w:rsid w:val="00DC4224"/>
    <w:rsid w:val="00DD4DA4"/>
    <w:rsid w:val="00DE0558"/>
    <w:rsid w:val="00DE0A01"/>
    <w:rsid w:val="00DE357B"/>
    <w:rsid w:val="00DE78EC"/>
    <w:rsid w:val="00DF0222"/>
    <w:rsid w:val="00DF0B28"/>
    <w:rsid w:val="00DF3CE3"/>
    <w:rsid w:val="00E018EC"/>
    <w:rsid w:val="00E02ADA"/>
    <w:rsid w:val="00E04159"/>
    <w:rsid w:val="00E27A21"/>
    <w:rsid w:val="00E36288"/>
    <w:rsid w:val="00E37796"/>
    <w:rsid w:val="00E4040A"/>
    <w:rsid w:val="00E62888"/>
    <w:rsid w:val="00E65F29"/>
    <w:rsid w:val="00E72964"/>
    <w:rsid w:val="00E806E2"/>
    <w:rsid w:val="00E80C6C"/>
    <w:rsid w:val="00E90EA0"/>
    <w:rsid w:val="00E92485"/>
    <w:rsid w:val="00E9653F"/>
    <w:rsid w:val="00EA0873"/>
    <w:rsid w:val="00EC6CCD"/>
    <w:rsid w:val="00ED2AD5"/>
    <w:rsid w:val="00ED5612"/>
    <w:rsid w:val="00EE40BD"/>
    <w:rsid w:val="00EE43AC"/>
    <w:rsid w:val="00EE444B"/>
    <w:rsid w:val="00EE523B"/>
    <w:rsid w:val="00EE5266"/>
    <w:rsid w:val="00EE7D4C"/>
    <w:rsid w:val="00EF2A62"/>
    <w:rsid w:val="00EF3621"/>
    <w:rsid w:val="00F15657"/>
    <w:rsid w:val="00F17595"/>
    <w:rsid w:val="00F17C0D"/>
    <w:rsid w:val="00F213B1"/>
    <w:rsid w:val="00F35F71"/>
    <w:rsid w:val="00F36B90"/>
    <w:rsid w:val="00F37442"/>
    <w:rsid w:val="00F52091"/>
    <w:rsid w:val="00F52AEA"/>
    <w:rsid w:val="00F5763D"/>
    <w:rsid w:val="00F67983"/>
    <w:rsid w:val="00F67EB9"/>
    <w:rsid w:val="00F71DC1"/>
    <w:rsid w:val="00F84782"/>
    <w:rsid w:val="00F85241"/>
    <w:rsid w:val="00F91071"/>
    <w:rsid w:val="00F9235A"/>
    <w:rsid w:val="00FA5A56"/>
    <w:rsid w:val="00FB3754"/>
    <w:rsid w:val="00FC6BEF"/>
    <w:rsid w:val="00FE21AF"/>
    <w:rsid w:val="00FE51E3"/>
    <w:rsid w:val="00FE72C4"/>
    <w:rsid w:val="00FF16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NormalWeb">
    <w:name w:val="Normal (Web)"/>
    <w:basedOn w:val="Normal"/>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CommentReference">
    <w:name w:val="annotation reference"/>
    <w:basedOn w:val="DefaultParagraphFont"/>
    <w:uiPriority w:val="99"/>
    <w:semiHidden/>
    <w:unhideWhenUsed/>
    <w:rsid w:val="00156D01"/>
    <w:rPr>
      <w:sz w:val="16"/>
      <w:szCs w:val="16"/>
    </w:rPr>
  </w:style>
  <w:style w:type="paragraph" w:styleId="CommentText">
    <w:name w:val="annotation text"/>
    <w:basedOn w:val="Normal"/>
    <w:link w:val="CommentTextChar"/>
    <w:uiPriority w:val="99"/>
    <w:unhideWhenUsed/>
    <w:rsid w:val="00156D01"/>
    <w:rPr>
      <w:sz w:val="20"/>
      <w:szCs w:val="20"/>
    </w:rPr>
  </w:style>
  <w:style w:type="character" w:customStyle="1" w:styleId="CommentTextChar">
    <w:name w:val="Comment Text Char"/>
    <w:basedOn w:val="DefaultParagraphFont"/>
    <w:link w:val="CommentText"/>
    <w:uiPriority w:val="99"/>
    <w:rsid w:val="00156D01"/>
    <w:rPr>
      <w:rFonts w:ascii="Times New Roman" w:eastAsia="Arial Unicode MS" w:hAnsi="Times New Roman" w:cs="Times New Roman"/>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156D01"/>
    <w:rPr>
      <w:b/>
      <w:bCs/>
    </w:rPr>
  </w:style>
  <w:style w:type="character" w:customStyle="1" w:styleId="CommentSubjectChar">
    <w:name w:val="Comment Subject Char"/>
    <w:basedOn w:val="CommentTextChar"/>
    <w:link w:val="CommentSubject"/>
    <w:uiPriority w:val="99"/>
    <w:semiHidden/>
    <w:rsid w:val="00156D01"/>
    <w:rPr>
      <w:rFonts w:ascii="Times New Roman" w:eastAsia="Arial Unicode MS" w:hAnsi="Times New Roman" w:cs="Times New Roman"/>
      <w:b/>
      <w:bCs/>
      <w:sz w:val="20"/>
      <w:szCs w:val="20"/>
      <w:bdr w:val="nil"/>
      <w14:ligatures w14:val="none"/>
    </w:rPr>
  </w:style>
  <w:style w:type="character" w:styleId="Hyperlink">
    <w:name w:val="Hyperlink"/>
    <w:basedOn w:val="DefaultParagraphFont"/>
    <w:uiPriority w:val="99"/>
    <w:unhideWhenUsed/>
    <w:rsid w:val="00E90EA0"/>
    <w:rPr>
      <w:color w:val="467886" w:themeColor="hyperlink"/>
      <w:u w:val="single"/>
    </w:rPr>
  </w:style>
  <w:style w:type="character" w:styleId="UnresolvedMention">
    <w:name w:val="Unresolved Mention"/>
    <w:basedOn w:val="DefaultParagraphFont"/>
    <w:uiPriority w:val="99"/>
    <w:semiHidden/>
    <w:unhideWhenUsed/>
    <w:rsid w:val="00E9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240872401">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84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B525-8D12-4412-8001-4943D08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401</Words>
  <Characters>2289</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112</cp:revision>
  <dcterms:created xsi:type="dcterms:W3CDTF">2025-06-27T11:26:00Z</dcterms:created>
  <dcterms:modified xsi:type="dcterms:W3CDTF">2026-03-25T07:01:00Z</dcterms:modified>
</cp:coreProperties>
</file>