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37F7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OPERACINIS ŠVIESTUVAS SU MONITORIAUS LAIKIKLIO RANKENA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37F76">
        <w:rPr>
          <w:rFonts w:asciiTheme="majorHAnsi" w:hAnsiTheme="majorHAnsi"/>
          <w:b/>
          <w:color w:val="1F497D" w:themeColor="text2"/>
          <w:sz w:val="22"/>
          <w:szCs w:val="22"/>
        </w:rPr>
        <w:t>operacin</w:t>
      </w:r>
      <w:r w:rsidR="004E54C6">
        <w:rPr>
          <w:rFonts w:asciiTheme="majorHAnsi" w:hAnsiTheme="majorHAnsi"/>
          <w:b/>
          <w:color w:val="1F497D" w:themeColor="text2"/>
          <w:sz w:val="22"/>
          <w:szCs w:val="22"/>
        </w:rPr>
        <w:t>į</w:t>
      </w:r>
      <w:r w:rsidR="00537F76">
        <w:rPr>
          <w:rFonts w:asciiTheme="majorHAnsi" w:hAnsiTheme="majorHAnsi"/>
          <w:b/>
          <w:color w:val="1F497D" w:themeColor="text2"/>
          <w:sz w:val="22"/>
          <w:szCs w:val="22"/>
        </w:rPr>
        <w:t xml:space="preserve"> šviestuvą su monitoriaus laikiklio rankena</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DE3EBE"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Theme="majorHAnsi" w:hAnsiTheme="majorHAnsi"/>
        </w:rPr>
        <w:t>Pirkimo objektas</w:t>
      </w:r>
      <w:r w:rsidRPr="00DE3EBE">
        <w:rPr>
          <w:rFonts w:asciiTheme="majorHAnsi" w:hAnsiTheme="majorHAnsi"/>
          <w:b/>
        </w:rPr>
        <w:t xml:space="preserve"> </w:t>
      </w:r>
      <w:r w:rsidR="00537F76">
        <w:rPr>
          <w:rFonts w:asciiTheme="majorHAnsi" w:hAnsiTheme="majorHAnsi"/>
          <w:b/>
          <w:color w:val="1F497D" w:themeColor="text2"/>
        </w:rPr>
        <w:t>operacin</w:t>
      </w:r>
      <w:r w:rsidR="004E54C6">
        <w:rPr>
          <w:rFonts w:asciiTheme="majorHAnsi" w:hAnsiTheme="majorHAnsi"/>
          <w:b/>
          <w:color w:val="1F497D" w:themeColor="text2"/>
        </w:rPr>
        <w:t>is</w:t>
      </w:r>
      <w:r w:rsidR="00537F76">
        <w:rPr>
          <w:rFonts w:asciiTheme="majorHAnsi" w:hAnsiTheme="majorHAnsi"/>
          <w:b/>
          <w:color w:val="1F497D" w:themeColor="text2"/>
        </w:rPr>
        <w:t xml:space="preserve"> šviestuvas su monitoriaus laikiklio rankena</w:t>
      </w:r>
      <w:r w:rsidR="002E6EC5" w:rsidRPr="00DE3EBE">
        <w:rPr>
          <w:rFonts w:asciiTheme="majorHAnsi" w:hAnsiTheme="majorHAnsi"/>
          <w:b/>
          <w:color w:val="1F497D" w:themeColor="text2"/>
        </w:rPr>
        <w:t>.</w:t>
      </w:r>
    </w:p>
    <w:p w:rsidR="00B96E33" w:rsidRPr="00537F76" w:rsidRDefault="00B96E33" w:rsidP="00537F76">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Cambria" w:hAnsi="Cambria"/>
        </w:rPr>
        <w:t>Didžiausia priimtina pasiūlymo kaina</w:t>
      </w:r>
      <w:r w:rsidR="00537F76">
        <w:rPr>
          <w:rFonts w:ascii="Cambria" w:hAnsi="Cambria"/>
        </w:rPr>
        <w:t xml:space="preserve"> </w:t>
      </w:r>
      <w:r w:rsidR="00537F76">
        <w:rPr>
          <w:rFonts w:ascii="Cambria" w:hAnsi="Cambria"/>
          <w:b/>
        </w:rPr>
        <w:t>28.612,00</w:t>
      </w:r>
      <w:r w:rsidRPr="00537F76">
        <w:rPr>
          <w:rFonts w:ascii="Cambria" w:hAnsi="Cambria"/>
          <w:b/>
        </w:rPr>
        <w:t xml:space="preserve"> Eur (su PVM)</w:t>
      </w:r>
      <w:r w:rsidRPr="00537F76">
        <w:rPr>
          <w:rFonts w:ascii="Cambria" w:hAnsi="Cambria"/>
        </w:rPr>
        <w:t>, šią kainą viršijantys pasiūlymai bus atmesti.</w:t>
      </w:r>
    </w:p>
    <w:p w:rsidR="006B7EFC" w:rsidRPr="00F022A4"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F022A4">
        <w:rPr>
          <w:rFonts w:ascii="Cambria" w:hAnsi="Cambria"/>
        </w:rPr>
        <w:t xml:space="preserve">Numatomų įsigyti </w:t>
      </w:r>
      <w:r w:rsidR="00015AC7" w:rsidRPr="00F022A4">
        <w:rPr>
          <w:rFonts w:ascii="Cambria" w:hAnsi="Cambria"/>
        </w:rPr>
        <w:t xml:space="preserve">techninių charakteristikų </w:t>
      </w:r>
      <w:r w:rsidRPr="00F022A4">
        <w:rPr>
          <w:rFonts w:ascii="Cambria" w:hAnsi="Cambria"/>
        </w:rPr>
        <w:t>prekių CPO kataloge nėra.</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F022A4">
        <w:rPr>
          <w:rFonts w:ascii="Cambria" w:hAnsi="Cambria"/>
          <w:shd w:val="clear" w:color="auto" w:fill="FFFFFF"/>
        </w:rPr>
        <w:t>Vadovaujantis LR Viešųjų pirkimų įstatymo 27 straipsnio nuostatomis, Centrinėje</w:t>
      </w:r>
      <w:r w:rsidRPr="007750CB">
        <w:rPr>
          <w:rFonts w:asciiTheme="majorHAnsi" w:hAnsiTheme="majorHAnsi"/>
          <w:shd w:val="clear" w:color="auto" w:fill="FFFFFF"/>
        </w:rPr>
        <w:t xml:space="preserv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37F76">
        <w:rPr>
          <w:rFonts w:asciiTheme="majorHAnsi" w:hAnsiTheme="majorHAnsi"/>
          <w:i/>
          <w:color w:val="1F497D" w:themeColor="text2"/>
        </w:rPr>
        <w:t>operacinio šviestuvo su monitoriaus laikiklio rankena</w:t>
      </w:r>
      <w:r w:rsidR="00D9158D">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537F76">
        <w:rPr>
          <w:rFonts w:asciiTheme="majorHAnsi" w:hAnsiTheme="majorHAnsi" w:cs="Calibri"/>
          <w:i/>
          <w:color w:val="1F497D" w:themeColor="text2"/>
          <w:shd w:val="clear" w:color="auto" w:fill="FFFFFF"/>
        </w:rPr>
        <w:t>6593785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537F76" w:rsidRPr="007750CB" w:rsidRDefault="00537F76" w:rsidP="00537F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537F76" w:rsidRPr="007750CB" w:rsidRDefault="00537F76" w:rsidP="00537F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843"/>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5D03F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D03F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D03F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5D03F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5D03F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537F76" w:rsidRPr="007750CB" w:rsidRDefault="00537F76" w:rsidP="00537F76">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2139D1"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w:t>
      </w:r>
      <w:r w:rsidRPr="002139D1">
        <w:rPr>
          <w:rFonts w:asciiTheme="majorHAnsi" w:hAnsiTheme="majorHAnsi" w:cs="Times New Roman"/>
        </w:rPr>
        <w:t xml:space="preserve">skaitmeninės dokumentų </w:t>
      </w:r>
      <w:r w:rsidRPr="002139D1">
        <w:rPr>
          <w:rFonts w:asciiTheme="majorHAnsi" w:hAnsiTheme="majorHAnsi" w:cs="Times New Roman"/>
          <w:lang w:val="es-ES_tradnl"/>
        </w:rPr>
        <w:t>kopijos turi b</w:t>
      </w:r>
      <w:r w:rsidRPr="002139D1">
        <w:rPr>
          <w:rFonts w:asciiTheme="majorHAnsi" w:hAnsiTheme="majorHAnsi" w:cs="Times New Roman"/>
        </w:rPr>
        <w:t xml:space="preserve">ūti prieinami naudojant nediskriminuojančius, visuotinai prieinamus duomenų </w:t>
      </w:r>
      <w:r w:rsidRPr="002139D1">
        <w:rPr>
          <w:rFonts w:asciiTheme="majorHAnsi" w:hAnsiTheme="majorHAnsi" w:cs="Times New Roman"/>
          <w:lang w:val="fr-FR"/>
        </w:rPr>
        <w:t>fail</w:t>
      </w:r>
      <w:r w:rsidRPr="002139D1">
        <w:rPr>
          <w:rFonts w:asciiTheme="majorHAnsi" w:hAnsiTheme="majorHAnsi" w:cs="Times New Roman"/>
        </w:rPr>
        <w:t xml:space="preserve">ų </w:t>
      </w:r>
      <w:r w:rsidRPr="002139D1">
        <w:rPr>
          <w:rFonts w:asciiTheme="majorHAnsi" w:hAnsiTheme="majorHAnsi" w:cs="Times New Roman"/>
          <w:lang w:val="nl-NL"/>
        </w:rPr>
        <w:t>formatus (pvz., pdf, jpg, doc</w:t>
      </w:r>
      <w:r w:rsidRPr="002139D1">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2139D1">
        <w:rPr>
          <w:rFonts w:asciiTheme="majorHAnsi" w:hAnsiTheme="majorHAnsi" w:cs="Times New Roman"/>
          <w:color w:val="auto"/>
        </w:rPr>
        <w:tab/>
      </w:r>
      <w:r w:rsidRPr="00F31089">
        <w:rPr>
          <w:rFonts w:asciiTheme="majorHAnsi" w:hAnsiTheme="majorHAnsi" w:cs="Times New Roman"/>
          <w:color w:val="auto"/>
        </w:rPr>
        <w:t xml:space="preserve">5.4. </w:t>
      </w:r>
      <w:r w:rsidRPr="00F31089">
        <w:rPr>
          <w:rFonts w:asciiTheme="majorHAnsi" w:hAnsiTheme="majorHAnsi" w:cs="Times New Roman"/>
          <w:iCs/>
          <w:color w:val="auto"/>
        </w:rPr>
        <w:t xml:space="preserve">Pasiūlymas turi būti pateiktas iki </w:t>
      </w:r>
      <w:r w:rsidR="00ED05BF" w:rsidRPr="00F31089">
        <w:rPr>
          <w:rFonts w:asciiTheme="majorHAnsi" w:hAnsiTheme="majorHAnsi" w:cs="Times New Roman"/>
          <w:b/>
          <w:iCs/>
          <w:color w:val="548DD4" w:themeColor="text2" w:themeTint="99"/>
        </w:rPr>
        <w:t>202</w:t>
      </w:r>
      <w:r w:rsidR="00F022A4" w:rsidRPr="00F31089">
        <w:rPr>
          <w:rFonts w:asciiTheme="majorHAnsi" w:hAnsiTheme="majorHAnsi" w:cs="Times New Roman"/>
          <w:b/>
          <w:iCs/>
          <w:color w:val="548DD4" w:themeColor="text2" w:themeTint="99"/>
        </w:rPr>
        <w:t>6</w:t>
      </w:r>
      <w:r w:rsidR="00ED05BF" w:rsidRPr="00F31089">
        <w:rPr>
          <w:rFonts w:asciiTheme="majorHAnsi" w:hAnsiTheme="majorHAnsi" w:cs="Times New Roman"/>
          <w:b/>
          <w:iCs/>
          <w:color w:val="548DD4" w:themeColor="text2" w:themeTint="99"/>
        </w:rPr>
        <w:t xml:space="preserve"> m. </w:t>
      </w:r>
      <w:r w:rsidR="00537F76" w:rsidRPr="00F31089">
        <w:rPr>
          <w:rFonts w:asciiTheme="majorHAnsi" w:hAnsiTheme="majorHAnsi" w:cs="Times New Roman"/>
          <w:b/>
          <w:iCs/>
          <w:color w:val="548DD4" w:themeColor="text2" w:themeTint="99"/>
        </w:rPr>
        <w:t xml:space="preserve">balandžio </w:t>
      </w:r>
      <w:r w:rsidR="00F31089" w:rsidRPr="00F31089">
        <w:rPr>
          <w:rFonts w:asciiTheme="majorHAnsi" w:hAnsiTheme="majorHAnsi" w:cs="Times New Roman"/>
          <w:b/>
          <w:iCs/>
          <w:color w:val="548DD4" w:themeColor="text2" w:themeTint="99"/>
        </w:rPr>
        <w:t>10</w:t>
      </w:r>
      <w:r w:rsidR="002139D1" w:rsidRPr="00F31089">
        <w:rPr>
          <w:rFonts w:asciiTheme="majorHAnsi" w:hAnsiTheme="majorHAnsi" w:cs="Times New Roman"/>
          <w:b/>
          <w:iCs/>
          <w:color w:val="548DD4" w:themeColor="text2" w:themeTint="99"/>
        </w:rPr>
        <w:t xml:space="preserve"> </w:t>
      </w:r>
      <w:r w:rsidR="00366696" w:rsidRPr="00F31089">
        <w:rPr>
          <w:rFonts w:asciiTheme="majorHAnsi" w:hAnsiTheme="majorHAnsi" w:cs="Times New Roman"/>
          <w:b/>
          <w:iCs/>
          <w:color w:val="548DD4" w:themeColor="text2" w:themeTint="99"/>
        </w:rPr>
        <w:t>d. 0</w:t>
      </w:r>
      <w:r w:rsidR="0086485E" w:rsidRPr="00F31089">
        <w:rPr>
          <w:rFonts w:asciiTheme="majorHAnsi" w:hAnsiTheme="majorHAnsi" w:cs="Times New Roman"/>
          <w:b/>
          <w:iCs/>
          <w:color w:val="548DD4" w:themeColor="text2" w:themeTint="99"/>
        </w:rPr>
        <w:t>8</w:t>
      </w:r>
      <w:r w:rsidRPr="00F31089">
        <w:rPr>
          <w:rFonts w:asciiTheme="majorHAnsi" w:hAnsiTheme="majorHAnsi" w:cs="Times New Roman"/>
          <w:b/>
          <w:iCs/>
          <w:color w:val="548DD4" w:themeColor="text2" w:themeTint="99"/>
        </w:rPr>
        <w:t xml:space="preserve"> val. </w:t>
      </w:r>
      <w:r w:rsidR="00DE3EBE" w:rsidRPr="00F31089">
        <w:rPr>
          <w:rFonts w:asciiTheme="majorHAnsi" w:hAnsiTheme="majorHAnsi" w:cs="Times New Roman"/>
          <w:b/>
          <w:iCs/>
          <w:color w:val="548DD4" w:themeColor="text2" w:themeTint="99"/>
        </w:rPr>
        <w:t>00</w:t>
      </w:r>
      <w:r w:rsidRPr="00F31089">
        <w:rPr>
          <w:rFonts w:asciiTheme="majorHAnsi" w:hAnsiTheme="majorHAnsi" w:cs="Times New Roman"/>
          <w:b/>
          <w:iCs/>
          <w:color w:val="548DD4" w:themeColor="text2" w:themeTint="99"/>
        </w:rPr>
        <w:t xml:space="preserve"> min.</w:t>
      </w:r>
      <w:r w:rsidRPr="00F31089">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F31089">
        <w:rPr>
          <w:rFonts w:asciiTheme="majorHAnsi" w:hAnsiTheme="majorHAnsi" w:cs="Times New Roman"/>
          <w:lang w:val="it-IT"/>
        </w:rPr>
        <w:t xml:space="preserve">trumpiau </w:t>
      </w:r>
      <w:r w:rsidRPr="00F31089">
        <w:rPr>
          <w:rFonts w:asciiTheme="majorHAnsi" w:hAnsiTheme="majorHAnsi" w:cs="Times New Roman"/>
          <w:lang w:val="lt-LT"/>
        </w:rPr>
        <w:t xml:space="preserve">kaip iki </w:t>
      </w:r>
      <w:r w:rsidR="007B7CB6" w:rsidRPr="00F31089">
        <w:rPr>
          <w:rFonts w:asciiTheme="majorHAnsi" w:hAnsiTheme="majorHAnsi" w:cs="Times New Roman"/>
          <w:b/>
          <w:color w:val="548DD4" w:themeColor="text2" w:themeTint="99"/>
          <w:lang w:val="lt-LT"/>
        </w:rPr>
        <w:t>202</w:t>
      </w:r>
      <w:r w:rsidR="00F022A4" w:rsidRPr="00F31089">
        <w:rPr>
          <w:rFonts w:asciiTheme="majorHAnsi" w:hAnsiTheme="majorHAnsi" w:cs="Times New Roman"/>
          <w:b/>
          <w:color w:val="548DD4" w:themeColor="text2" w:themeTint="99"/>
          <w:lang w:val="lt-LT"/>
        </w:rPr>
        <w:t>6</w:t>
      </w:r>
      <w:r w:rsidR="007B7CB6" w:rsidRPr="00F31089">
        <w:rPr>
          <w:rFonts w:asciiTheme="majorHAnsi" w:hAnsiTheme="majorHAnsi" w:cs="Times New Roman"/>
          <w:b/>
          <w:color w:val="548DD4" w:themeColor="text2" w:themeTint="99"/>
          <w:lang w:val="lt-LT"/>
        </w:rPr>
        <w:t>-</w:t>
      </w:r>
      <w:r w:rsidR="00D9158D" w:rsidRPr="00F31089">
        <w:rPr>
          <w:rFonts w:asciiTheme="majorHAnsi" w:hAnsiTheme="majorHAnsi" w:cs="Times New Roman"/>
          <w:b/>
          <w:color w:val="548DD4" w:themeColor="text2" w:themeTint="99"/>
          <w:lang w:val="lt-LT"/>
        </w:rPr>
        <w:t>0</w:t>
      </w:r>
      <w:r w:rsidR="00537F76" w:rsidRPr="00F31089">
        <w:rPr>
          <w:rFonts w:asciiTheme="majorHAnsi" w:hAnsiTheme="majorHAnsi" w:cs="Times New Roman"/>
          <w:b/>
          <w:color w:val="548DD4" w:themeColor="text2" w:themeTint="99"/>
          <w:lang w:val="lt-LT"/>
        </w:rPr>
        <w:t>8-</w:t>
      </w:r>
      <w:r w:rsidR="00F31089" w:rsidRPr="00F31089">
        <w:rPr>
          <w:rFonts w:asciiTheme="majorHAnsi" w:hAnsiTheme="majorHAnsi" w:cs="Times New Roman"/>
          <w:b/>
          <w:color w:val="548DD4" w:themeColor="text2" w:themeTint="99"/>
          <w:lang w:val="lt-LT"/>
        </w:rPr>
        <w:t>10</w:t>
      </w:r>
      <w:r w:rsidR="00B36E1F" w:rsidRPr="00F31089">
        <w:rPr>
          <w:rFonts w:asciiTheme="majorHAnsi" w:hAnsiTheme="majorHAnsi" w:cs="Times New Roman"/>
          <w:b/>
          <w:color w:val="548DD4" w:themeColor="text2" w:themeTint="99"/>
          <w:lang w:val="lt-LT"/>
        </w:rPr>
        <w:t>.</w:t>
      </w:r>
      <w:r w:rsidRPr="00F31089">
        <w:rPr>
          <w:rFonts w:asciiTheme="majorHAnsi" w:hAnsiTheme="majorHAnsi" w:cs="Times New Roman"/>
          <w:lang w:val="pt-PT"/>
        </w:rPr>
        <w:t xml:space="preserve"> Jeigu pasi</w:t>
      </w:r>
      <w:r w:rsidRPr="00F3108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537F76" w:rsidRPr="008E62AA">
        <w:rPr>
          <w:rFonts w:asciiTheme="majorHAnsi" w:hAnsiTheme="majorHAnsi"/>
          <w:b/>
          <w:sz w:val="22"/>
          <w:szCs w:val="22"/>
        </w:rPr>
        <w:t>katalogus, prospektus ar kitą gamintojo dokumentaciją su siūlomos prekės aprašymais</w:t>
      </w:r>
      <w:r w:rsidRPr="00015AC7">
        <w:rPr>
          <w:rFonts w:asciiTheme="majorHAnsi" w:hAnsiTheme="majorHAnsi"/>
          <w:b/>
          <w:sz w:val="22"/>
          <w:szCs w:val="22"/>
        </w:rPr>
        <w:t>)</w:t>
      </w:r>
      <w:r w:rsidR="00D0463B" w:rsidRPr="00D0463B">
        <w:rPr>
          <w:rFonts w:eastAsia="Times New Roman"/>
          <w:noProof/>
          <w:color w:val="000000"/>
        </w:rPr>
        <w:t xml:space="preserve"> </w:t>
      </w:r>
      <w:r w:rsidRPr="008E62AA">
        <w:rPr>
          <w:rFonts w:asciiTheme="majorHAnsi" w:hAnsiTheme="majorHAnsi"/>
          <w:b/>
          <w:sz w:val="22"/>
          <w:szCs w:val="22"/>
        </w:rPr>
        <w:t xml:space="preserve">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537F76" w:rsidRDefault="00537F76"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0463B" w:rsidRPr="00D05B06" w:rsidRDefault="00D0463B" w:rsidP="00F022A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F022A4">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F31089">
        <w:rPr>
          <w:rFonts w:asciiTheme="majorHAnsi" w:hAnsiTheme="majorHAnsi"/>
          <w:b/>
          <w:iCs/>
          <w:color w:val="548DD4" w:themeColor="text2" w:themeTint="99"/>
          <w:sz w:val="22"/>
          <w:szCs w:val="22"/>
        </w:rPr>
        <w:t>202</w:t>
      </w:r>
      <w:r w:rsidR="00F022A4" w:rsidRPr="00F31089">
        <w:rPr>
          <w:rFonts w:asciiTheme="majorHAnsi" w:hAnsiTheme="majorHAnsi"/>
          <w:b/>
          <w:iCs/>
          <w:color w:val="548DD4" w:themeColor="text2" w:themeTint="99"/>
          <w:sz w:val="22"/>
          <w:szCs w:val="22"/>
        </w:rPr>
        <w:t>6</w:t>
      </w:r>
      <w:r w:rsidR="00AF7788" w:rsidRPr="00F31089">
        <w:rPr>
          <w:rFonts w:asciiTheme="majorHAnsi" w:hAnsiTheme="majorHAnsi"/>
          <w:b/>
          <w:iCs/>
          <w:color w:val="548DD4" w:themeColor="text2" w:themeTint="99"/>
          <w:sz w:val="22"/>
          <w:szCs w:val="22"/>
        </w:rPr>
        <w:t xml:space="preserve"> m. </w:t>
      </w:r>
      <w:r w:rsidR="00537F76" w:rsidRPr="00F31089">
        <w:rPr>
          <w:rFonts w:asciiTheme="majorHAnsi" w:hAnsiTheme="majorHAnsi"/>
          <w:b/>
          <w:iCs/>
          <w:color w:val="548DD4" w:themeColor="text2" w:themeTint="99"/>
          <w:sz w:val="22"/>
          <w:szCs w:val="22"/>
        </w:rPr>
        <w:t>balandžio</w:t>
      </w:r>
      <w:r w:rsidR="00366696" w:rsidRPr="00F31089">
        <w:rPr>
          <w:rFonts w:asciiTheme="majorHAnsi" w:hAnsiTheme="majorHAnsi"/>
          <w:b/>
          <w:iCs/>
          <w:color w:val="548DD4" w:themeColor="text2" w:themeTint="99"/>
          <w:sz w:val="22"/>
          <w:szCs w:val="22"/>
        </w:rPr>
        <w:t xml:space="preserve"> </w:t>
      </w:r>
      <w:r w:rsidR="00F31089" w:rsidRPr="00F31089">
        <w:rPr>
          <w:rFonts w:asciiTheme="majorHAnsi" w:hAnsiTheme="majorHAnsi"/>
          <w:b/>
          <w:iCs/>
          <w:color w:val="548DD4" w:themeColor="text2" w:themeTint="99"/>
          <w:sz w:val="22"/>
          <w:szCs w:val="22"/>
        </w:rPr>
        <w:t xml:space="preserve">10 </w:t>
      </w:r>
      <w:r w:rsidR="00366696" w:rsidRPr="00F31089">
        <w:rPr>
          <w:rFonts w:asciiTheme="majorHAnsi" w:hAnsiTheme="majorHAnsi"/>
          <w:b/>
          <w:iCs/>
          <w:color w:val="548DD4" w:themeColor="text2" w:themeTint="99"/>
          <w:sz w:val="22"/>
          <w:szCs w:val="22"/>
        </w:rPr>
        <w:t>d. 0</w:t>
      </w:r>
      <w:r w:rsidR="0086485E" w:rsidRPr="00F31089">
        <w:rPr>
          <w:rFonts w:asciiTheme="majorHAnsi" w:hAnsiTheme="majorHAnsi"/>
          <w:b/>
          <w:iCs/>
          <w:color w:val="548DD4" w:themeColor="text2" w:themeTint="99"/>
          <w:sz w:val="22"/>
          <w:szCs w:val="22"/>
        </w:rPr>
        <w:t>8</w:t>
      </w:r>
      <w:r w:rsidR="00AF7788" w:rsidRPr="00F31089">
        <w:rPr>
          <w:rFonts w:asciiTheme="majorHAnsi" w:hAnsiTheme="majorHAnsi"/>
          <w:b/>
          <w:iCs/>
          <w:color w:val="548DD4" w:themeColor="text2" w:themeTint="99"/>
          <w:sz w:val="22"/>
          <w:szCs w:val="22"/>
        </w:rPr>
        <w:t xml:space="preserve"> val. </w:t>
      </w:r>
      <w:r w:rsidR="00DE3EBE" w:rsidRPr="00F31089">
        <w:rPr>
          <w:rFonts w:asciiTheme="majorHAnsi" w:hAnsiTheme="majorHAnsi"/>
          <w:b/>
          <w:iCs/>
          <w:color w:val="548DD4" w:themeColor="text2" w:themeTint="99"/>
          <w:sz w:val="22"/>
          <w:szCs w:val="22"/>
        </w:rPr>
        <w:t>30</w:t>
      </w:r>
      <w:r w:rsidR="00AF7788" w:rsidRPr="00F31089">
        <w:rPr>
          <w:rFonts w:asciiTheme="majorHAnsi" w:hAnsiTheme="majorHAnsi"/>
          <w:b/>
          <w:iCs/>
          <w:color w:val="548DD4" w:themeColor="text2" w:themeTint="99"/>
          <w:sz w:val="22"/>
          <w:szCs w:val="22"/>
        </w:rPr>
        <w:t xml:space="preserve"> min</w:t>
      </w:r>
      <w:r w:rsidR="00AF7788" w:rsidRPr="00F31089">
        <w:rPr>
          <w:rFonts w:asciiTheme="majorHAnsi" w:hAnsiTheme="majorHAnsi"/>
          <w:b/>
          <w:iCs/>
          <w:sz w:val="22"/>
          <w:szCs w:val="22"/>
        </w:rPr>
        <w:t>.</w:t>
      </w:r>
      <w:r w:rsidR="00AF7788" w:rsidRPr="00F31089">
        <w:rPr>
          <w:rFonts w:asciiTheme="majorHAnsi" w:hAnsiTheme="majorHAnsi"/>
          <w:iCs/>
          <w:sz w:val="22"/>
          <w:szCs w:val="22"/>
        </w:rPr>
        <w:t xml:space="preserve"> </w:t>
      </w:r>
      <w:r w:rsidR="00AF7788" w:rsidRPr="00F31089">
        <w:rPr>
          <w:rFonts w:asciiTheme="majorHAnsi" w:hAnsiTheme="majorHAnsi"/>
          <w:iCs/>
          <w:sz w:val="22"/>
          <w:szCs w:val="22"/>
          <w:u w:val="single"/>
        </w:rPr>
        <w:t xml:space="preserve">Jei pasiūlymas teikiamas šifruotas, slaptažodis turi būti pateiktas </w:t>
      </w:r>
      <w:r w:rsidR="00AF7788" w:rsidRPr="00F31089">
        <w:rPr>
          <w:rFonts w:asciiTheme="majorHAnsi" w:hAnsiTheme="majorHAnsi"/>
          <w:b/>
          <w:iCs/>
          <w:color w:val="548DD4" w:themeColor="text2" w:themeTint="99"/>
          <w:sz w:val="22"/>
          <w:szCs w:val="22"/>
          <w:u w:val="single"/>
        </w:rPr>
        <w:t>202</w:t>
      </w:r>
      <w:r w:rsidR="00F022A4" w:rsidRPr="00F31089">
        <w:rPr>
          <w:rFonts w:asciiTheme="majorHAnsi" w:hAnsiTheme="majorHAnsi"/>
          <w:b/>
          <w:iCs/>
          <w:color w:val="548DD4" w:themeColor="text2" w:themeTint="99"/>
          <w:sz w:val="22"/>
          <w:szCs w:val="22"/>
          <w:u w:val="single"/>
        </w:rPr>
        <w:t>6</w:t>
      </w:r>
      <w:r w:rsidR="00AF7788" w:rsidRPr="00F31089">
        <w:rPr>
          <w:rFonts w:asciiTheme="majorHAnsi" w:hAnsiTheme="majorHAnsi"/>
          <w:b/>
          <w:iCs/>
          <w:color w:val="548DD4" w:themeColor="text2" w:themeTint="99"/>
          <w:sz w:val="22"/>
          <w:szCs w:val="22"/>
          <w:u w:val="single"/>
        </w:rPr>
        <w:t xml:space="preserve"> m. </w:t>
      </w:r>
      <w:r w:rsidR="00537F76" w:rsidRPr="00F31089">
        <w:rPr>
          <w:rFonts w:asciiTheme="majorHAnsi" w:hAnsiTheme="majorHAnsi"/>
          <w:b/>
          <w:iCs/>
          <w:color w:val="548DD4" w:themeColor="text2" w:themeTint="99"/>
          <w:sz w:val="22"/>
          <w:szCs w:val="22"/>
          <w:u w:val="single"/>
        </w:rPr>
        <w:t xml:space="preserve">balandžio </w:t>
      </w:r>
      <w:r w:rsidR="00F31089" w:rsidRPr="00F31089">
        <w:rPr>
          <w:rFonts w:asciiTheme="majorHAnsi" w:hAnsiTheme="majorHAnsi"/>
          <w:b/>
          <w:iCs/>
          <w:color w:val="548DD4" w:themeColor="text2" w:themeTint="99"/>
          <w:sz w:val="22"/>
          <w:szCs w:val="22"/>
          <w:u w:val="single"/>
        </w:rPr>
        <w:t>10</w:t>
      </w:r>
      <w:r w:rsidR="00AF7788" w:rsidRPr="00F31089">
        <w:rPr>
          <w:rFonts w:asciiTheme="majorHAnsi" w:hAnsiTheme="majorHAnsi"/>
          <w:b/>
          <w:iCs/>
          <w:color w:val="548DD4" w:themeColor="text2" w:themeTint="99"/>
          <w:sz w:val="22"/>
          <w:szCs w:val="22"/>
          <w:u w:val="single"/>
        </w:rPr>
        <w:t xml:space="preserve"> d.</w:t>
      </w:r>
      <w:r w:rsidR="00AF7788" w:rsidRPr="00F31089">
        <w:rPr>
          <w:rFonts w:asciiTheme="majorHAnsi" w:hAnsiTheme="majorHAnsi"/>
          <w:iCs/>
          <w:color w:val="548DD4" w:themeColor="text2" w:themeTint="99"/>
          <w:sz w:val="22"/>
          <w:szCs w:val="22"/>
          <w:u w:val="single"/>
        </w:rPr>
        <w:t xml:space="preserve"> intervale </w:t>
      </w:r>
      <w:r w:rsidR="0053650B" w:rsidRPr="00F31089">
        <w:rPr>
          <w:rFonts w:asciiTheme="majorHAnsi" w:hAnsiTheme="majorHAnsi"/>
          <w:b/>
          <w:iCs/>
          <w:color w:val="548DD4" w:themeColor="text2" w:themeTint="99"/>
          <w:sz w:val="22"/>
          <w:szCs w:val="22"/>
          <w:u w:val="single"/>
        </w:rPr>
        <w:t>0</w:t>
      </w:r>
      <w:r w:rsidR="0086485E" w:rsidRPr="00F31089">
        <w:rPr>
          <w:rFonts w:asciiTheme="majorHAnsi" w:hAnsiTheme="majorHAnsi"/>
          <w:b/>
          <w:iCs/>
          <w:color w:val="548DD4" w:themeColor="text2" w:themeTint="99"/>
          <w:sz w:val="22"/>
          <w:szCs w:val="22"/>
          <w:u w:val="single"/>
        </w:rPr>
        <w:t>8</w:t>
      </w:r>
      <w:r w:rsidR="00366696" w:rsidRPr="00F31089">
        <w:rPr>
          <w:rFonts w:asciiTheme="majorHAnsi" w:hAnsiTheme="majorHAnsi"/>
          <w:b/>
          <w:iCs/>
          <w:color w:val="548DD4" w:themeColor="text2" w:themeTint="99"/>
          <w:sz w:val="22"/>
          <w:szCs w:val="22"/>
          <w:u w:val="single"/>
        </w:rPr>
        <w:t>.</w:t>
      </w:r>
      <w:r w:rsidR="00DE3EBE" w:rsidRPr="00F31089">
        <w:rPr>
          <w:rFonts w:asciiTheme="majorHAnsi" w:hAnsiTheme="majorHAnsi"/>
          <w:b/>
          <w:iCs/>
          <w:color w:val="548DD4" w:themeColor="text2" w:themeTint="99"/>
          <w:sz w:val="22"/>
          <w:szCs w:val="22"/>
          <w:u w:val="single"/>
        </w:rPr>
        <w:t>00</w:t>
      </w:r>
      <w:r w:rsidR="00366696" w:rsidRPr="00F31089">
        <w:rPr>
          <w:rFonts w:asciiTheme="majorHAnsi" w:hAnsiTheme="majorHAnsi"/>
          <w:b/>
          <w:iCs/>
          <w:color w:val="548DD4" w:themeColor="text2" w:themeTint="99"/>
          <w:sz w:val="22"/>
          <w:szCs w:val="22"/>
          <w:u w:val="single"/>
        </w:rPr>
        <w:t xml:space="preserve"> – 0</w:t>
      </w:r>
      <w:r w:rsidR="0086485E" w:rsidRPr="00F31089">
        <w:rPr>
          <w:rFonts w:asciiTheme="majorHAnsi" w:hAnsiTheme="majorHAnsi"/>
          <w:b/>
          <w:iCs/>
          <w:color w:val="548DD4" w:themeColor="text2" w:themeTint="99"/>
          <w:sz w:val="22"/>
          <w:szCs w:val="22"/>
          <w:u w:val="single"/>
        </w:rPr>
        <w:t>8</w:t>
      </w:r>
      <w:r w:rsidR="00AF7788" w:rsidRPr="00F31089">
        <w:rPr>
          <w:rFonts w:asciiTheme="majorHAnsi" w:hAnsiTheme="majorHAnsi"/>
          <w:b/>
          <w:iCs/>
          <w:color w:val="548DD4" w:themeColor="text2" w:themeTint="99"/>
          <w:sz w:val="22"/>
          <w:szCs w:val="22"/>
          <w:u w:val="single"/>
        </w:rPr>
        <w:t>.</w:t>
      </w:r>
      <w:r w:rsidR="00DE3EBE" w:rsidRPr="00F31089">
        <w:rPr>
          <w:rFonts w:asciiTheme="majorHAnsi" w:hAnsiTheme="majorHAnsi"/>
          <w:b/>
          <w:iCs/>
          <w:color w:val="548DD4" w:themeColor="text2" w:themeTint="99"/>
          <w:sz w:val="22"/>
          <w:szCs w:val="22"/>
          <w:u w:val="single"/>
        </w:rPr>
        <w:t>30</w:t>
      </w:r>
      <w:r w:rsidR="00AF7788" w:rsidRPr="00F31089">
        <w:rPr>
          <w:rFonts w:asciiTheme="majorHAnsi" w:hAnsiTheme="majorHAnsi"/>
          <w:b/>
          <w:iCs/>
          <w:color w:val="548DD4" w:themeColor="text2" w:themeTint="99"/>
          <w:sz w:val="22"/>
          <w:szCs w:val="22"/>
          <w:u w:val="single"/>
        </w:rPr>
        <w:t xml:space="preserve"> val.</w:t>
      </w:r>
      <w:r w:rsidR="00AF7788" w:rsidRPr="00F31089">
        <w:rPr>
          <w:rFonts w:asciiTheme="majorHAnsi" w:hAnsiTheme="majorHAnsi"/>
          <w:iCs/>
          <w:color w:val="548DD4" w:themeColor="text2" w:themeTint="99"/>
          <w:sz w:val="22"/>
          <w:szCs w:val="22"/>
          <w:u w:val="single"/>
        </w:rPr>
        <w:t xml:space="preserve"> </w:t>
      </w:r>
      <w:r w:rsidR="00AF7788" w:rsidRPr="00F3108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 xml:space="preserve">nurodytus kvalifikacijos reikalavimus (jeigu </w:t>
      </w:r>
      <w:r w:rsidRPr="007750CB">
        <w:rPr>
          <w:rFonts w:asciiTheme="majorHAnsi" w:hAnsiTheme="majorHAnsi" w:cs="Times New Roman"/>
          <w:color w:val="auto"/>
        </w:rPr>
        <w:lastRenderedPageBreak/>
        <w:t>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rPr>
        <w:lastRenderedPageBreak/>
        <w:t xml:space="preserve">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1A5927"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1A5927" w:rsidRPr="00B8216B" w:rsidRDefault="00AD7C62" w:rsidP="00B8216B">
      <w:pPr>
        <w:pStyle w:val="Body2"/>
        <w:spacing w:after="0"/>
        <w:ind w:firstLine="1134"/>
        <w:rPr>
          <w:rFonts w:asciiTheme="majorHAnsi" w:hAnsiTheme="majorHAnsi"/>
          <w:highlight w:val="green"/>
        </w:rPr>
      </w:pPr>
      <w:r w:rsidRPr="00F022A4">
        <w:rPr>
          <w:rFonts w:asciiTheme="majorHAnsi" w:hAnsiTheme="majorHAnsi"/>
          <w:noProof/>
          <w:highlight w:val="green"/>
          <w:lang w:val="lt-LT"/>
        </w:rPr>
        <w:t xml:space="preserve">14.3. </w:t>
      </w:r>
      <w:r w:rsidRPr="00F022A4">
        <w:rPr>
          <w:rFonts w:asciiTheme="majorHAnsi" w:hAnsiTheme="majorHAnsi"/>
          <w:highlight w:val="green"/>
        </w:rPr>
        <w:t>Didžiausia priimtina pasiūlymo kaina yra</w:t>
      </w:r>
      <w:r w:rsidR="00B8216B">
        <w:rPr>
          <w:rFonts w:asciiTheme="majorHAnsi" w:hAnsiTheme="majorHAnsi"/>
          <w:highlight w:val="green"/>
        </w:rPr>
        <w:t xml:space="preserve"> </w:t>
      </w:r>
      <w:r w:rsidR="00B8216B">
        <w:rPr>
          <w:rFonts w:asciiTheme="majorHAnsi" w:hAnsiTheme="majorHAnsi"/>
          <w:b/>
          <w:highlight w:val="green"/>
        </w:rPr>
        <w:t>28.612,00</w:t>
      </w:r>
      <w:r w:rsidR="001A5927" w:rsidRPr="00B8216B">
        <w:rPr>
          <w:rFonts w:asciiTheme="majorHAnsi" w:hAnsiTheme="majorHAnsi"/>
          <w:b/>
          <w:highlight w:val="green"/>
        </w:rPr>
        <w:t xml:space="preserve"> Eur (su PVM)</w:t>
      </w:r>
      <w:r w:rsidR="001A5927" w:rsidRPr="00B8216B">
        <w:rPr>
          <w:rFonts w:asciiTheme="majorHAnsi" w:hAnsiTheme="majorHAnsi"/>
          <w:highlight w:val="green"/>
        </w:rPr>
        <w:t>, šią kainą viršijantys pasiūlymai bus atmesti.</w:t>
      </w:r>
    </w:p>
    <w:p w:rsidR="003E6C1E" w:rsidRPr="00707F29" w:rsidRDefault="003E6C1E" w:rsidP="00707F29">
      <w:pPr>
        <w:numPr>
          <w:ilvl w:val="1"/>
          <w:numId w:val="0"/>
        </w:numPr>
        <w:spacing w:line="276" w:lineRule="auto"/>
        <w:rPr>
          <w:rFonts w:ascii="Cambria" w:eastAsia="Times New Roman" w:hAnsi="Cambria"/>
          <w:b/>
          <w:bCs/>
          <w:caps/>
          <w:spacing w:val="20"/>
          <w:sz w:val="22"/>
          <w:szCs w:val="22"/>
          <w:lang w:eastAsia="lt-LT"/>
        </w:rPr>
      </w:pPr>
    </w:p>
    <w:p w:rsidR="003E6C1E" w:rsidRPr="00707F29" w:rsidRDefault="003E6C1E" w:rsidP="003E6C1E">
      <w:pPr>
        <w:numPr>
          <w:ilvl w:val="1"/>
          <w:numId w:val="0"/>
        </w:numPr>
        <w:spacing w:line="276" w:lineRule="auto"/>
        <w:ind w:firstLine="567"/>
        <w:jc w:val="center"/>
        <w:rPr>
          <w:rFonts w:ascii="Cambria" w:eastAsia="Times New Roman" w:hAnsi="Cambria"/>
          <w:b/>
          <w:bCs/>
          <w:caps/>
          <w:smallCaps/>
          <w:spacing w:val="20"/>
          <w:sz w:val="22"/>
          <w:szCs w:val="22"/>
          <w:lang w:eastAsia="lt-LT"/>
        </w:rPr>
      </w:pPr>
      <w:r w:rsidRPr="00707F29">
        <w:rPr>
          <w:rFonts w:ascii="Cambria" w:eastAsia="Times New Roman" w:hAnsi="Cambria"/>
          <w:b/>
          <w:bCs/>
          <w:caps/>
          <w:spacing w:val="20"/>
          <w:sz w:val="22"/>
          <w:szCs w:val="22"/>
          <w:lang w:eastAsia="lt-LT"/>
        </w:rPr>
        <w:t>PASIŪLYMŲ VERTINIMO KRITERIJAI ir Sąlygos</w:t>
      </w:r>
    </w:p>
    <w:p w:rsidR="003E6C1E" w:rsidRPr="00707F29" w:rsidRDefault="003E6C1E" w:rsidP="00AD7C62">
      <w:pPr>
        <w:pStyle w:val="Body2"/>
        <w:ind w:firstLine="1418"/>
        <w:rPr>
          <w:rFonts w:ascii="Cambria" w:hAnsi="Cambria"/>
          <w:noProof/>
          <w:lang w:val="lt-LT"/>
        </w:rPr>
      </w:pPr>
    </w:p>
    <w:p w:rsidR="00F022A4" w:rsidRPr="00707F29" w:rsidRDefault="00F022A4" w:rsidP="00F022A4">
      <w:pPr>
        <w:suppressAutoHyphens/>
        <w:ind w:firstLine="567"/>
        <w:jc w:val="both"/>
        <w:rPr>
          <w:rFonts w:ascii="Cambria" w:hAnsi="Cambria"/>
          <w:sz w:val="22"/>
          <w:szCs w:val="22"/>
        </w:rPr>
      </w:pPr>
      <w:r w:rsidRPr="00707F29">
        <w:rPr>
          <w:rFonts w:ascii="Cambria" w:hAnsi="Cambria"/>
          <w:sz w:val="22"/>
          <w:szCs w:val="22"/>
        </w:rPr>
        <w:t xml:space="preserve">Nustatomas maksimalus bendras balų skaičius – 100 balų. Kriterijų tarpusavio santykis bendrame bale yra nustatomas pagal lyginamuosius svorius: </w:t>
      </w:r>
    </w:p>
    <w:p w:rsidR="00707F29" w:rsidRPr="00707F29" w:rsidRDefault="00707F29" w:rsidP="00707F29">
      <w:pPr>
        <w:shd w:val="clear" w:color="auto" w:fill="FFFFFF"/>
        <w:spacing w:line="254" w:lineRule="auto"/>
        <w:ind w:left="-142" w:firstLine="709"/>
        <w:jc w:val="both"/>
        <w:rPr>
          <w:rFonts w:ascii="Cambria" w:eastAsia="Times New Roman" w:hAnsi="Cambria"/>
          <w:color w:val="000000" w:themeColor="text1"/>
          <w:sz w:val="22"/>
          <w:szCs w:val="22"/>
        </w:rPr>
      </w:pPr>
      <w:r w:rsidRPr="00707F29">
        <w:rPr>
          <w:rFonts w:ascii="Cambria" w:eastAsia="Times New Roman" w:hAnsi="Cambria"/>
          <w:color w:val="000000" w:themeColor="text1"/>
          <w:sz w:val="22"/>
          <w:szCs w:val="22"/>
        </w:rPr>
        <w:t>1) kaina (K) – 60;</w:t>
      </w:r>
    </w:p>
    <w:p w:rsidR="00707F29" w:rsidRPr="00707F29" w:rsidRDefault="00707F29" w:rsidP="00707F29">
      <w:pPr>
        <w:shd w:val="clear" w:color="auto" w:fill="FFFFFF"/>
        <w:spacing w:line="254" w:lineRule="auto"/>
        <w:ind w:left="-142" w:firstLine="709"/>
        <w:jc w:val="both"/>
        <w:rPr>
          <w:rFonts w:ascii="Cambria" w:eastAsia="Times New Roman" w:hAnsi="Cambria"/>
          <w:color w:val="000000" w:themeColor="text1"/>
          <w:sz w:val="22"/>
          <w:szCs w:val="22"/>
        </w:rPr>
      </w:pPr>
      <w:r w:rsidRPr="00707F29">
        <w:rPr>
          <w:rFonts w:ascii="Cambria" w:eastAsia="Times New Roman" w:hAnsi="Cambria"/>
          <w:color w:val="000000" w:themeColor="text1"/>
          <w:sz w:val="22"/>
          <w:szCs w:val="22"/>
        </w:rPr>
        <w:t>2) techniniai pranašumai (T) – 40;</w:t>
      </w:r>
    </w:p>
    <w:p w:rsidR="00707F29" w:rsidRPr="00707F29" w:rsidRDefault="00707F29" w:rsidP="00707F29">
      <w:pPr>
        <w:shd w:val="clear" w:color="auto" w:fill="FFFFFF"/>
        <w:spacing w:line="254" w:lineRule="auto"/>
        <w:ind w:left="-142" w:firstLine="709"/>
        <w:jc w:val="both"/>
        <w:rPr>
          <w:rFonts w:ascii="Cambria" w:eastAsia="Times New Roman" w:hAnsi="Cambria"/>
          <w:color w:val="000000" w:themeColor="text1"/>
          <w:sz w:val="22"/>
          <w:szCs w:val="22"/>
        </w:rPr>
      </w:pPr>
    </w:p>
    <w:p w:rsidR="00707F29" w:rsidRPr="00707F29" w:rsidRDefault="00707F29" w:rsidP="00707F29">
      <w:pPr>
        <w:shd w:val="clear" w:color="auto" w:fill="FFFFFF"/>
        <w:spacing w:line="254" w:lineRule="auto"/>
        <w:ind w:left="-142" w:firstLine="709"/>
        <w:jc w:val="both"/>
        <w:rPr>
          <w:rFonts w:ascii="Cambria" w:eastAsia="Times New Roman" w:hAnsi="Cambria"/>
          <w:color w:val="000000" w:themeColor="text1"/>
          <w:sz w:val="22"/>
          <w:szCs w:val="22"/>
        </w:rPr>
      </w:pPr>
      <w:r w:rsidRPr="00707F29">
        <w:rPr>
          <w:rFonts w:ascii="Cambria" w:eastAsia="Times New Roman" w:hAnsi="Cambria"/>
          <w:color w:val="000000" w:themeColor="text1"/>
          <w:sz w:val="22"/>
          <w:szCs w:val="22"/>
        </w:rPr>
        <w:t>Vertinimo kriterijai ir jų parametrų lyginamieji svoriai:</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108"/>
        <w:gridCol w:w="1300"/>
        <w:gridCol w:w="1733"/>
        <w:gridCol w:w="1967"/>
      </w:tblGrid>
      <w:tr w:rsidR="00707F29" w:rsidRPr="00707F29" w:rsidTr="00707F29">
        <w:trPr>
          <w:trHeight w:val="1034"/>
        </w:trPr>
        <w:tc>
          <w:tcPr>
            <w:tcW w:w="5919" w:type="dxa"/>
            <w:gridSpan w:val="3"/>
            <w:shd w:val="clear" w:color="auto" w:fill="DDD9C3" w:themeFill="background2" w:themeFillShade="E6"/>
            <w:vAlign w:val="center"/>
            <w:hideMark/>
          </w:tcPr>
          <w:p w:rsidR="00707F29" w:rsidRPr="00707F29" w:rsidRDefault="00707F29" w:rsidP="006C5194">
            <w:pPr>
              <w:tabs>
                <w:tab w:val="left" w:pos="709"/>
                <w:tab w:val="left" w:pos="993"/>
              </w:tabs>
              <w:ind w:firstLine="567"/>
              <w:contextualSpacing/>
              <w:jc w:val="center"/>
              <w:rPr>
                <w:rFonts w:ascii="Cambria" w:eastAsia="Calibri" w:hAnsi="Cambria"/>
                <w:b/>
                <w:bCs/>
                <w:color w:val="000000" w:themeColor="text1"/>
                <w:sz w:val="22"/>
                <w:szCs w:val="22"/>
              </w:rPr>
            </w:pPr>
            <w:r w:rsidRPr="00707F29">
              <w:rPr>
                <w:rFonts w:ascii="Cambria" w:hAnsi="Cambria"/>
                <w:b/>
                <w:color w:val="000000"/>
                <w:sz w:val="22"/>
                <w:szCs w:val="22"/>
              </w:rPr>
              <w:t>Vertinimo kriterijai</w:t>
            </w:r>
          </w:p>
        </w:tc>
        <w:tc>
          <w:tcPr>
            <w:tcW w:w="1736" w:type="dxa"/>
            <w:shd w:val="clear" w:color="auto" w:fill="DDD9C3" w:themeFill="background2" w:themeFillShade="E6"/>
            <w:vAlign w:val="center"/>
            <w:hideMark/>
          </w:tcPr>
          <w:p w:rsidR="00707F29" w:rsidRPr="00707F29" w:rsidRDefault="00707F29" w:rsidP="006C5194">
            <w:pPr>
              <w:tabs>
                <w:tab w:val="left" w:pos="709"/>
                <w:tab w:val="left" w:pos="993"/>
              </w:tabs>
              <w:contextualSpacing/>
              <w:jc w:val="center"/>
              <w:rPr>
                <w:rFonts w:ascii="Cambria" w:eastAsia="Calibri" w:hAnsi="Cambria"/>
                <w:b/>
                <w:bCs/>
                <w:color w:val="000000" w:themeColor="text1"/>
                <w:sz w:val="22"/>
                <w:szCs w:val="22"/>
              </w:rPr>
            </w:pPr>
            <w:r w:rsidRPr="00707F29">
              <w:rPr>
                <w:rFonts w:ascii="Cambria" w:hAnsi="Cambria"/>
                <w:b/>
                <w:color w:val="000000"/>
                <w:sz w:val="22"/>
                <w:szCs w:val="22"/>
              </w:rPr>
              <w:t>Parametro lyginamasis svoris</w:t>
            </w:r>
          </w:p>
        </w:tc>
        <w:tc>
          <w:tcPr>
            <w:tcW w:w="1971" w:type="dxa"/>
            <w:shd w:val="clear" w:color="auto" w:fill="DDD9C3" w:themeFill="background2" w:themeFillShade="E6"/>
            <w:vAlign w:val="center"/>
            <w:hideMark/>
          </w:tcPr>
          <w:p w:rsidR="00707F29" w:rsidRPr="00707F29" w:rsidRDefault="00707F29" w:rsidP="006C5194">
            <w:pPr>
              <w:tabs>
                <w:tab w:val="left" w:pos="709"/>
                <w:tab w:val="left" w:pos="993"/>
              </w:tabs>
              <w:ind w:hanging="70"/>
              <w:contextualSpacing/>
              <w:jc w:val="center"/>
              <w:rPr>
                <w:rFonts w:ascii="Cambria" w:eastAsia="Calibri" w:hAnsi="Cambria"/>
                <w:b/>
                <w:bCs/>
                <w:color w:val="000000" w:themeColor="text1"/>
                <w:sz w:val="22"/>
                <w:szCs w:val="22"/>
              </w:rPr>
            </w:pPr>
            <w:r w:rsidRPr="00707F29">
              <w:rPr>
                <w:rFonts w:ascii="Cambria" w:hAnsi="Cambria"/>
                <w:b/>
                <w:color w:val="000000"/>
                <w:sz w:val="22"/>
                <w:szCs w:val="22"/>
              </w:rPr>
              <w:t>Lyginamasis svoris ekonominio naudingumo įvertinime</w:t>
            </w:r>
          </w:p>
        </w:tc>
      </w:tr>
      <w:tr w:rsidR="00707F29" w:rsidRPr="00707F29" w:rsidTr="00707F29">
        <w:trPr>
          <w:trHeight w:val="264"/>
        </w:trPr>
        <w:tc>
          <w:tcPr>
            <w:tcW w:w="7655" w:type="dxa"/>
            <w:gridSpan w:val="4"/>
            <w:shd w:val="clear" w:color="auto" w:fill="DDD9C3" w:themeFill="background2" w:themeFillShade="E6"/>
            <w:vAlign w:val="center"/>
            <w:hideMark/>
          </w:tcPr>
          <w:p w:rsidR="00707F29" w:rsidRPr="00707F29" w:rsidRDefault="00707F29" w:rsidP="006C5194">
            <w:pPr>
              <w:tabs>
                <w:tab w:val="left" w:pos="709"/>
                <w:tab w:val="left" w:pos="993"/>
              </w:tabs>
              <w:contextualSpacing/>
              <w:jc w:val="both"/>
              <w:rPr>
                <w:rFonts w:ascii="Cambria" w:eastAsia="Calibri" w:hAnsi="Cambria"/>
                <w:b/>
                <w:bCs/>
                <w:color w:val="000000" w:themeColor="text1"/>
                <w:sz w:val="22"/>
                <w:szCs w:val="22"/>
              </w:rPr>
            </w:pPr>
            <w:r w:rsidRPr="00707F29">
              <w:rPr>
                <w:rFonts w:ascii="Cambria" w:hAnsi="Cambria"/>
                <w:b/>
                <w:color w:val="000000"/>
                <w:sz w:val="22"/>
                <w:szCs w:val="22"/>
              </w:rPr>
              <w:t>Kaina (K)</w:t>
            </w:r>
          </w:p>
        </w:tc>
        <w:tc>
          <w:tcPr>
            <w:tcW w:w="1971" w:type="dxa"/>
            <w:shd w:val="clear" w:color="auto" w:fill="DDD9C3" w:themeFill="background2" w:themeFillShade="E6"/>
            <w:hideMark/>
          </w:tcPr>
          <w:p w:rsidR="00707F29" w:rsidRPr="00707F29" w:rsidRDefault="00707F29" w:rsidP="006C5194">
            <w:pPr>
              <w:tabs>
                <w:tab w:val="left" w:pos="709"/>
                <w:tab w:val="left" w:pos="993"/>
              </w:tabs>
              <w:contextualSpacing/>
              <w:jc w:val="center"/>
              <w:rPr>
                <w:rFonts w:ascii="Cambria" w:eastAsia="Calibri" w:hAnsi="Cambria"/>
                <w:b/>
                <w:bCs/>
                <w:color w:val="000000" w:themeColor="text1"/>
                <w:sz w:val="22"/>
                <w:szCs w:val="22"/>
              </w:rPr>
            </w:pPr>
            <w:r w:rsidRPr="00707F29">
              <w:rPr>
                <w:rFonts w:ascii="Cambria" w:hAnsi="Cambria"/>
                <w:b/>
                <w:color w:val="000000"/>
                <w:sz w:val="22"/>
                <w:szCs w:val="22"/>
              </w:rPr>
              <w:t>X=60</w:t>
            </w:r>
          </w:p>
        </w:tc>
      </w:tr>
      <w:tr w:rsidR="00707F29" w:rsidRPr="00707F29" w:rsidTr="00707F29">
        <w:trPr>
          <w:trHeight w:val="256"/>
        </w:trPr>
        <w:tc>
          <w:tcPr>
            <w:tcW w:w="7655" w:type="dxa"/>
            <w:gridSpan w:val="4"/>
            <w:shd w:val="clear" w:color="auto" w:fill="DDD9C3" w:themeFill="background2" w:themeFillShade="E6"/>
            <w:vAlign w:val="center"/>
            <w:hideMark/>
          </w:tcPr>
          <w:p w:rsidR="00707F29" w:rsidRPr="00707F29" w:rsidRDefault="00707F29" w:rsidP="006C5194">
            <w:pPr>
              <w:tabs>
                <w:tab w:val="left" w:pos="709"/>
                <w:tab w:val="left" w:pos="993"/>
              </w:tabs>
              <w:contextualSpacing/>
              <w:jc w:val="both"/>
              <w:rPr>
                <w:rFonts w:ascii="Cambria" w:eastAsia="Calibri" w:hAnsi="Cambria"/>
                <w:b/>
                <w:bCs/>
                <w:color w:val="000000" w:themeColor="text1"/>
                <w:sz w:val="22"/>
                <w:szCs w:val="22"/>
              </w:rPr>
            </w:pPr>
            <w:r w:rsidRPr="00707F29">
              <w:rPr>
                <w:rFonts w:ascii="Cambria" w:hAnsi="Cambria"/>
                <w:b/>
                <w:color w:val="000000"/>
                <w:sz w:val="22"/>
                <w:szCs w:val="22"/>
              </w:rPr>
              <w:t>Funkciniai pranašumai (T)</w:t>
            </w:r>
          </w:p>
        </w:tc>
        <w:tc>
          <w:tcPr>
            <w:tcW w:w="1971" w:type="dxa"/>
            <w:shd w:val="clear" w:color="auto" w:fill="DDD9C3" w:themeFill="background2" w:themeFillShade="E6"/>
            <w:hideMark/>
          </w:tcPr>
          <w:p w:rsidR="00707F29" w:rsidRPr="00707F29" w:rsidRDefault="00707F29" w:rsidP="006C5194">
            <w:pPr>
              <w:tabs>
                <w:tab w:val="left" w:pos="709"/>
                <w:tab w:val="left" w:pos="993"/>
              </w:tabs>
              <w:contextualSpacing/>
              <w:jc w:val="center"/>
              <w:rPr>
                <w:rFonts w:ascii="Cambria" w:eastAsia="Calibri" w:hAnsi="Cambria"/>
                <w:b/>
                <w:bCs/>
                <w:color w:val="000000" w:themeColor="text1"/>
                <w:sz w:val="22"/>
                <w:szCs w:val="22"/>
              </w:rPr>
            </w:pPr>
            <w:r w:rsidRPr="00707F29">
              <w:rPr>
                <w:rFonts w:ascii="Cambria" w:hAnsi="Cambria"/>
                <w:b/>
                <w:color w:val="000000"/>
                <w:sz w:val="22"/>
                <w:szCs w:val="22"/>
              </w:rPr>
              <w:t>Y=40</w:t>
            </w:r>
          </w:p>
        </w:tc>
      </w:tr>
      <w:tr w:rsidR="00707F29" w:rsidRPr="00707F29" w:rsidTr="00707F29">
        <w:trPr>
          <w:trHeight w:val="447"/>
        </w:trPr>
        <w:tc>
          <w:tcPr>
            <w:tcW w:w="491" w:type="dxa"/>
            <w:vAlign w:val="center"/>
            <w:hideMark/>
          </w:tcPr>
          <w:p w:rsidR="00707F29" w:rsidRPr="00707F29" w:rsidRDefault="00707F29" w:rsidP="006C5194">
            <w:pPr>
              <w:tabs>
                <w:tab w:val="left" w:pos="709"/>
                <w:tab w:val="left" w:pos="993"/>
              </w:tabs>
              <w:contextualSpacing/>
              <w:jc w:val="center"/>
              <w:rPr>
                <w:rFonts w:ascii="Cambria" w:eastAsia="Calibri" w:hAnsi="Cambria"/>
                <w:b/>
                <w:bCs/>
                <w:color w:val="000000" w:themeColor="text1"/>
                <w:sz w:val="22"/>
                <w:szCs w:val="22"/>
              </w:rPr>
            </w:pPr>
            <w:r w:rsidRPr="00707F29">
              <w:rPr>
                <w:rFonts w:ascii="Cambria" w:eastAsia="Calibri" w:hAnsi="Cambria"/>
                <w:b/>
                <w:bCs/>
                <w:color w:val="000000" w:themeColor="text1"/>
                <w:sz w:val="22"/>
                <w:szCs w:val="22"/>
              </w:rPr>
              <w:t>Nr.</w:t>
            </w:r>
          </w:p>
        </w:tc>
        <w:tc>
          <w:tcPr>
            <w:tcW w:w="4128" w:type="dxa"/>
            <w:vAlign w:val="center"/>
            <w:hideMark/>
          </w:tcPr>
          <w:p w:rsidR="00707F29" w:rsidRPr="00707F29" w:rsidRDefault="00707F29" w:rsidP="006C5194">
            <w:pPr>
              <w:tabs>
                <w:tab w:val="left" w:pos="709"/>
                <w:tab w:val="left" w:pos="993"/>
              </w:tabs>
              <w:ind w:firstLine="567"/>
              <w:contextualSpacing/>
              <w:jc w:val="center"/>
              <w:rPr>
                <w:rFonts w:ascii="Cambria" w:eastAsia="Calibri" w:hAnsi="Cambria"/>
                <w:b/>
                <w:bCs/>
                <w:color w:val="000000" w:themeColor="text1"/>
                <w:sz w:val="22"/>
                <w:szCs w:val="22"/>
              </w:rPr>
            </w:pPr>
            <w:r w:rsidRPr="00707F29">
              <w:rPr>
                <w:rFonts w:ascii="Cambria" w:eastAsia="Calibri" w:hAnsi="Cambria"/>
                <w:b/>
                <w:bCs/>
                <w:color w:val="000000" w:themeColor="text1"/>
                <w:sz w:val="22"/>
                <w:szCs w:val="22"/>
              </w:rPr>
              <w:t>Parametrai</w:t>
            </w:r>
          </w:p>
        </w:tc>
        <w:tc>
          <w:tcPr>
            <w:tcW w:w="1298" w:type="dxa"/>
            <w:vAlign w:val="center"/>
            <w:hideMark/>
          </w:tcPr>
          <w:p w:rsidR="00707F29" w:rsidRPr="00707F29" w:rsidRDefault="00707F29" w:rsidP="006C5194">
            <w:pPr>
              <w:tabs>
                <w:tab w:val="left" w:pos="709"/>
                <w:tab w:val="left" w:pos="993"/>
              </w:tabs>
              <w:contextualSpacing/>
              <w:jc w:val="center"/>
              <w:rPr>
                <w:rFonts w:ascii="Cambria" w:eastAsia="Calibri" w:hAnsi="Cambria"/>
                <w:b/>
                <w:bCs/>
                <w:color w:val="000000" w:themeColor="text1"/>
                <w:sz w:val="22"/>
                <w:szCs w:val="22"/>
              </w:rPr>
            </w:pPr>
            <w:r w:rsidRPr="00707F29">
              <w:rPr>
                <w:rFonts w:ascii="Cambria" w:eastAsia="Calibri" w:hAnsi="Cambria"/>
                <w:b/>
                <w:bCs/>
                <w:color w:val="000000" w:themeColor="text1"/>
                <w:sz w:val="22"/>
                <w:szCs w:val="22"/>
              </w:rPr>
              <w:t>Vertinimo būdas</w:t>
            </w:r>
          </w:p>
        </w:tc>
        <w:tc>
          <w:tcPr>
            <w:tcW w:w="1736" w:type="dxa"/>
            <w:vAlign w:val="center"/>
            <w:hideMark/>
          </w:tcPr>
          <w:p w:rsidR="00707F29" w:rsidRPr="00707F29" w:rsidRDefault="00707F29" w:rsidP="006C5194">
            <w:pPr>
              <w:tabs>
                <w:tab w:val="left" w:pos="709"/>
                <w:tab w:val="left" w:pos="993"/>
              </w:tabs>
              <w:ind w:firstLine="567"/>
              <w:contextualSpacing/>
              <w:jc w:val="both"/>
              <w:rPr>
                <w:rFonts w:ascii="Cambria" w:eastAsia="Calibri" w:hAnsi="Cambria"/>
                <w:b/>
                <w:bCs/>
                <w:color w:val="000000" w:themeColor="text1"/>
                <w:sz w:val="22"/>
                <w:szCs w:val="22"/>
              </w:rPr>
            </w:pPr>
          </w:p>
        </w:tc>
        <w:tc>
          <w:tcPr>
            <w:tcW w:w="1971" w:type="dxa"/>
            <w:vAlign w:val="center"/>
            <w:hideMark/>
          </w:tcPr>
          <w:p w:rsidR="00707F29" w:rsidRPr="00707F29" w:rsidRDefault="00707F29" w:rsidP="006C5194">
            <w:pPr>
              <w:tabs>
                <w:tab w:val="left" w:pos="709"/>
                <w:tab w:val="left" w:pos="993"/>
              </w:tabs>
              <w:ind w:firstLine="567"/>
              <w:contextualSpacing/>
              <w:jc w:val="both"/>
              <w:rPr>
                <w:rFonts w:ascii="Cambria" w:eastAsia="Calibri" w:hAnsi="Cambria"/>
                <w:b/>
                <w:bCs/>
                <w:color w:val="000000" w:themeColor="text1"/>
                <w:sz w:val="22"/>
                <w:szCs w:val="22"/>
              </w:rPr>
            </w:pPr>
            <w:r w:rsidRPr="00707F29">
              <w:rPr>
                <w:rFonts w:ascii="Cambria" w:eastAsia="Calibri" w:hAnsi="Cambria"/>
                <w:b/>
                <w:bCs/>
                <w:color w:val="000000" w:themeColor="text1"/>
                <w:sz w:val="22"/>
                <w:szCs w:val="22"/>
              </w:rPr>
              <w:t> </w:t>
            </w:r>
          </w:p>
        </w:tc>
      </w:tr>
      <w:tr w:rsidR="00707F29" w:rsidRPr="00707F29" w:rsidTr="00707F29">
        <w:trPr>
          <w:trHeight w:val="867"/>
        </w:trPr>
        <w:tc>
          <w:tcPr>
            <w:tcW w:w="491"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T</w:t>
            </w:r>
            <w:r w:rsidRPr="00707F29">
              <w:rPr>
                <w:rFonts w:ascii="Cambria" w:eastAsia="Calibri" w:hAnsi="Cambria"/>
                <w:color w:val="000000" w:themeColor="text1"/>
                <w:sz w:val="22"/>
                <w:szCs w:val="22"/>
                <w:vertAlign w:val="subscript"/>
              </w:rPr>
              <w:t>1</w:t>
            </w:r>
          </w:p>
        </w:tc>
        <w:tc>
          <w:tcPr>
            <w:tcW w:w="4128" w:type="dxa"/>
            <w:vAlign w:val="center"/>
          </w:tcPr>
          <w:p w:rsidR="00707F29" w:rsidRPr="00707F29" w:rsidRDefault="00707F29" w:rsidP="006C5194">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 xml:space="preserve">Nustatyto šviesos </w:t>
            </w:r>
            <w:proofErr w:type="gramStart"/>
            <w:r w:rsidRPr="00707F29">
              <w:rPr>
                <w:rFonts w:ascii="Cambria" w:eastAsia="Times New Roman" w:hAnsi="Cambria"/>
                <w:color w:val="000000"/>
                <w:sz w:val="22"/>
                <w:szCs w:val="22"/>
                <w:lang w:eastAsia="en-GB"/>
              </w:rPr>
              <w:t>srauto  pastovaus</w:t>
            </w:r>
            <w:proofErr w:type="gramEnd"/>
            <w:r w:rsidRPr="00707F29">
              <w:rPr>
                <w:rFonts w:ascii="Cambria" w:eastAsia="Times New Roman" w:hAnsi="Cambria"/>
                <w:color w:val="000000"/>
                <w:sz w:val="22"/>
                <w:szCs w:val="22"/>
                <w:lang w:eastAsia="en-GB"/>
              </w:rPr>
              <w:t xml:space="preserve"> intensyvumo užtikrinimo sistema kiekvienam operacinio šviestuvo moduliui</w:t>
            </w:r>
          </w:p>
        </w:tc>
        <w:tc>
          <w:tcPr>
            <w:tcW w:w="1298"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Statinis:</w:t>
            </w:r>
            <w:r w:rsidRPr="00707F29">
              <w:rPr>
                <w:rFonts w:ascii="Cambria" w:eastAsia="Calibri" w:hAnsi="Cambria"/>
                <w:color w:val="000000" w:themeColor="text1"/>
                <w:sz w:val="22"/>
                <w:szCs w:val="22"/>
              </w:rPr>
              <w:br/>
              <w:t>(yra/nėra)</w:t>
            </w:r>
          </w:p>
        </w:tc>
        <w:tc>
          <w:tcPr>
            <w:tcW w:w="1736"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L</w:t>
            </w:r>
            <w:r w:rsidRPr="00707F29">
              <w:rPr>
                <w:rFonts w:ascii="Cambria" w:eastAsia="Calibri" w:hAnsi="Cambria"/>
                <w:color w:val="000000" w:themeColor="text1"/>
                <w:sz w:val="22"/>
                <w:szCs w:val="22"/>
                <w:vertAlign w:val="subscript"/>
              </w:rPr>
              <w:t>1</w:t>
            </w:r>
            <w:r w:rsidRPr="00707F29">
              <w:rPr>
                <w:rFonts w:ascii="Cambria" w:eastAsia="Calibri" w:hAnsi="Cambria"/>
                <w:color w:val="000000" w:themeColor="text1"/>
                <w:sz w:val="22"/>
                <w:szCs w:val="22"/>
              </w:rPr>
              <w:t xml:space="preserve"> = 0,30</w:t>
            </w:r>
          </w:p>
        </w:tc>
        <w:tc>
          <w:tcPr>
            <w:tcW w:w="1971"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Įrašyti parametro vertę:</w:t>
            </w:r>
          </w:p>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yra / nėra</w:t>
            </w:r>
          </w:p>
        </w:tc>
      </w:tr>
      <w:tr w:rsidR="00707F29" w:rsidRPr="00707F29" w:rsidTr="00707F29">
        <w:trPr>
          <w:trHeight w:val="1404"/>
        </w:trPr>
        <w:tc>
          <w:tcPr>
            <w:tcW w:w="491"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T</w:t>
            </w:r>
            <w:r w:rsidRPr="00707F29">
              <w:rPr>
                <w:rFonts w:ascii="Cambria" w:eastAsia="Calibri" w:hAnsi="Cambria"/>
                <w:color w:val="000000" w:themeColor="text1"/>
                <w:sz w:val="22"/>
                <w:szCs w:val="22"/>
                <w:vertAlign w:val="subscript"/>
              </w:rPr>
              <w:t>2</w:t>
            </w:r>
          </w:p>
        </w:tc>
        <w:tc>
          <w:tcPr>
            <w:tcW w:w="4128" w:type="dxa"/>
            <w:vAlign w:val="center"/>
          </w:tcPr>
          <w:p w:rsidR="00707F29" w:rsidRPr="00707F29" w:rsidRDefault="00707F29" w:rsidP="006C5194">
            <w:pPr>
              <w:tabs>
                <w:tab w:val="left" w:pos="14175"/>
              </w:tabs>
              <w:ind w:right="-92"/>
              <w:rPr>
                <w:rFonts w:ascii="Cambria" w:hAnsi="Cambria"/>
                <w:sz w:val="22"/>
                <w:szCs w:val="22"/>
              </w:rPr>
            </w:pPr>
            <w:r w:rsidRPr="00707F29">
              <w:rPr>
                <w:rFonts w:ascii="Cambria" w:eastAsia="Times New Roman" w:hAnsi="Cambria"/>
                <w:color w:val="000000"/>
                <w:sz w:val="22"/>
                <w:szCs w:val="22"/>
                <w:lang w:eastAsia="en-GB"/>
              </w:rPr>
              <w:t>Operacinio šviestuvo rankenėlėje integruotas apšvietimo intensyvumo ir apšvietimo lauko diametro nustatymų valdymas prisilietimu (nesukinėjant rankenėlės). Abiejų parametrų reguliavimas galimas vienu metu.</w:t>
            </w:r>
          </w:p>
        </w:tc>
        <w:tc>
          <w:tcPr>
            <w:tcW w:w="1298"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Statinis:</w:t>
            </w:r>
            <w:r w:rsidRPr="00707F29">
              <w:rPr>
                <w:rFonts w:ascii="Cambria" w:eastAsia="Calibri" w:hAnsi="Cambria"/>
                <w:color w:val="000000" w:themeColor="text1"/>
                <w:sz w:val="22"/>
                <w:szCs w:val="22"/>
              </w:rPr>
              <w:br/>
              <w:t>(yra/nėra)</w:t>
            </w:r>
          </w:p>
        </w:tc>
        <w:tc>
          <w:tcPr>
            <w:tcW w:w="1736"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L</w:t>
            </w:r>
            <w:r w:rsidRPr="00707F29">
              <w:rPr>
                <w:rFonts w:ascii="Cambria" w:eastAsia="Calibri" w:hAnsi="Cambria"/>
                <w:color w:val="000000" w:themeColor="text1"/>
                <w:sz w:val="22"/>
                <w:szCs w:val="22"/>
                <w:vertAlign w:val="subscript"/>
              </w:rPr>
              <w:t xml:space="preserve">2 </w:t>
            </w:r>
            <w:r w:rsidRPr="00707F29">
              <w:rPr>
                <w:rFonts w:ascii="Cambria" w:eastAsia="Calibri" w:hAnsi="Cambria"/>
                <w:color w:val="000000" w:themeColor="text1"/>
                <w:sz w:val="22"/>
                <w:szCs w:val="22"/>
              </w:rPr>
              <w:t>= 0,20</w:t>
            </w:r>
          </w:p>
        </w:tc>
        <w:tc>
          <w:tcPr>
            <w:tcW w:w="1971" w:type="dxa"/>
            <w:vAlign w:val="center"/>
          </w:tcPr>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Įrašyti parametro vertę:</w:t>
            </w:r>
          </w:p>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yra / nėra</w:t>
            </w:r>
          </w:p>
        </w:tc>
      </w:tr>
      <w:tr w:rsidR="00707F29" w:rsidRPr="00707F29" w:rsidTr="00707F29">
        <w:trPr>
          <w:trHeight w:val="843"/>
        </w:trPr>
        <w:tc>
          <w:tcPr>
            <w:tcW w:w="491"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lastRenderedPageBreak/>
              <w:t>T</w:t>
            </w:r>
            <w:r w:rsidRPr="00707F29">
              <w:rPr>
                <w:rFonts w:ascii="Cambria" w:eastAsia="Calibri" w:hAnsi="Cambria"/>
                <w:color w:val="000000" w:themeColor="text1"/>
                <w:sz w:val="22"/>
                <w:szCs w:val="22"/>
                <w:vertAlign w:val="subscript"/>
              </w:rPr>
              <w:t>3</w:t>
            </w:r>
          </w:p>
        </w:tc>
        <w:tc>
          <w:tcPr>
            <w:tcW w:w="4128" w:type="dxa"/>
            <w:vAlign w:val="center"/>
          </w:tcPr>
          <w:p w:rsidR="00707F29" w:rsidRPr="00707F29" w:rsidRDefault="00707F29" w:rsidP="006C5194">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Spalvinės temperatūros reguliavimo diapazonas ne siauresnis kaip 3800 – 5600 K</w:t>
            </w:r>
          </w:p>
        </w:tc>
        <w:tc>
          <w:tcPr>
            <w:tcW w:w="1298"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Statinis:</w:t>
            </w:r>
            <w:r w:rsidRPr="00707F29">
              <w:rPr>
                <w:rFonts w:ascii="Cambria" w:eastAsia="Calibri" w:hAnsi="Cambria"/>
                <w:color w:val="000000" w:themeColor="text1"/>
                <w:sz w:val="22"/>
                <w:szCs w:val="22"/>
              </w:rPr>
              <w:br/>
              <w:t>(yra/nėra)</w:t>
            </w:r>
          </w:p>
        </w:tc>
        <w:tc>
          <w:tcPr>
            <w:tcW w:w="1736"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L</w:t>
            </w:r>
            <w:r w:rsidRPr="00707F29">
              <w:rPr>
                <w:rFonts w:ascii="Cambria" w:eastAsia="Calibri" w:hAnsi="Cambria"/>
                <w:color w:val="000000" w:themeColor="text1"/>
                <w:sz w:val="22"/>
                <w:szCs w:val="22"/>
                <w:vertAlign w:val="subscript"/>
              </w:rPr>
              <w:t xml:space="preserve">3 </w:t>
            </w:r>
            <w:r w:rsidRPr="00707F29">
              <w:rPr>
                <w:rFonts w:ascii="Cambria" w:eastAsia="Calibri" w:hAnsi="Cambria"/>
                <w:color w:val="000000" w:themeColor="text1"/>
                <w:sz w:val="22"/>
                <w:szCs w:val="22"/>
              </w:rPr>
              <w:t>= 0,15</w:t>
            </w:r>
          </w:p>
        </w:tc>
        <w:tc>
          <w:tcPr>
            <w:tcW w:w="1971" w:type="dxa"/>
            <w:vAlign w:val="center"/>
          </w:tcPr>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Įrašyti parametro vertę:</w:t>
            </w:r>
          </w:p>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yra / nėra</w:t>
            </w:r>
          </w:p>
        </w:tc>
      </w:tr>
      <w:tr w:rsidR="00707F29" w:rsidRPr="00707F29" w:rsidTr="00707F29">
        <w:trPr>
          <w:trHeight w:val="1159"/>
        </w:trPr>
        <w:tc>
          <w:tcPr>
            <w:tcW w:w="491"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T</w:t>
            </w:r>
            <w:r w:rsidRPr="00707F29">
              <w:rPr>
                <w:rFonts w:ascii="Cambria" w:eastAsia="Calibri" w:hAnsi="Cambria"/>
                <w:color w:val="000000" w:themeColor="text1"/>
                <w:sz w:val="22"/>
                <w:szCs w:val="22"/>
                <w:vertAlign w:val="subscript"/>
              </w:rPr>
              <w:t>4</w:t>
            </w:r>
          </w:p>
        </w:tc>
        <w:tc>
          <w:tcPr>
            <w:tcW w:w="4128" w:type="dxa"/>
          </w:tcPr>
          <w:p w:rsidR="00707F29" w:rsidRPr="00707F29" w:rsidRDefault="00707F29" w:rsidP="006C5194">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Lempoje integruota sistema - leidžianti dirbti su infraraudonųjų spindulių kameromis. Atliekant operacijas bei naudojant fluorescencinį filtrą, nereikia išjungti lempos.</w:t>
            </w:r>
          </w:p>
        </w:tc>
        <w:tc>
          <w:tcPr>
            <w:tcW w:w="1298"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Statinis:</w:t>
            </w:r>
            <w:r w:rsidRPr="00707F29">
              <w:rPr>
                <w:rFonts w:ascii="Cambria" w:eastAsia="Calibri" w:hAnsi="Cambria"/>
                <w:color w:val="000000" w:themeColor="text1"/>
                <w:sz w:val="22"/>
                <w:szCs w:val="22"/>
              </w:rPr>
              <w:br/>
              <w:t>(yra/nėra)</w:t>
            </w:r>
          </w:p>
        </w:tc>
        <w:tc>
          <w:tcPr>
            <w:tcW w:w="1736"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L</w:t>
            </w:r>
            <w:r w:rsidRPr="00707F29">
              <w:rPr>
                <w:rFonts w:ascii="Cambria" w:eastAsia="Calibri" w:hAnsi="Cambria"/>
                <w:color w:val="000000" w:themeColor="text1"/>
                <w:sz w:val="22"/>
                <w:szCs w:val="22"/>
                <w:vertAlign w:val="subscript"/>
              </w:rPr>
              <w:t>4</w:t>
            </w:r>
            <w:r w:rsidRPr="00707F29">
              <w:rPr>
                <w:rFonts w:ascii="Cambria" w:eastAsia="Calibri" w:hAnsi="Cambria"/>
                <w:color w:val="000000" w:themeColor="text1"/>
                <w:sz w:val="22"/>
                <w:szCs w:val="22"/>
              </w:rPr>
              <w:t xml:space="preserve"> = 0,10</w:t>
            </w:r>
          </w:p>
        </w:tc>
        <w:tc>
          <w:tcPr>
            <w:tcW w:w="1971" w:type="dxa"/>
            <w:vAlign w:val="center"/>
            <w:hideMark/>
          </w:tcPr>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Įrašyti parametro vertę:</w:t>
            </w:r>
          </w:p>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yra / nėra</w:t>
            </w:r>
          </w:p>
        </w:tc>
      </w:tr>
      <w:tr w:rsidR="00707F29" w:rsidRPr="00707F29" w:rsidTr="00707F29">
        <w:trPr>
          <w:trHeight w:val="886"/>
        </w:trPr>
        <w:tc>
          <w:tcPr>
            <w:tcW w:w="491"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T</w:t>
            </w:r>
            <w:r w:rsidRPr="00707F29">
              <w:rPr>
                <w:rFonts w:ascii="Cambria" w:eastAsia="Calibri" w:hAnsi="Cambria"/>
                <w:color w:val="000000" w:themeColor="text1"/>
                <w:sz w:val="22"/>
                <w:szCs w:val="22"/>
                <w:vertAlign w:val="subscript"/>
              </w:rPr>
              <w:t>5</w:t>
            </w:r>
          </w:p>
        </w:tc>
        <w:tc>
          <w:tcPr>
            <w:tcW w:w="4128" w:type="dxa"/>
            <w:vAlign w:val="center"/>
          </w:tcPr>
          <w:p w:rsidR="00707F29" w:rsidRPr="00707F29" w:rsidRDefault="00707F29" w:rsidP="006C5194">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Spalvos temperatūros reguliavimas naudojant filtrus</w:t>
            </w:r>
          </w:p>
        </w:tc>
        <w:tc>
          <w:tcPr>
            <w:tcW w:w="1298" w:type="dxa"/>
            <w:vAlign w:val="center"/>
          </w:tcPr>
          <w:p w:rsidR="00707F29" w:rsidRPr="00707F29" w:rsidRDefault="00707F29" w:rsidP="006C5194">
            <w:pPr>
              <w:tabs>
                <w:tab w:val="left" w:pos="709"/>
                <w:tab w:val="left" w:pos="993"/>
              </w:tabs>
              <w:ind w:firstLine="5"/>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Statinis:</w:t>
            </w:r>
            <w:r w:rsidRPr="00707F29">
              <w:rPr>
                <w:rFonts w:ascii="Cambria" w:eastAsia="Calibri" w:hAnsi="Cambria"/>
                <w:color w:val="000000" w:themeColor="text1"/>
                <w:sz w:val="22"/>
                <w:szCs w:val="22"/>
              </w:rPr>
              <w:br/>
              <w:t>(yra/nėra)</w:t>
            </w:r>
          </w:p>
        </w:tc>
        <w:tc>
          <w:tcPr>
            <w:tcW w:w="1736"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L</w:t>
            </w:r>
            <w:r w:rsidRPr="00707F29">
              <w:rPr>
                <w:rFonts w:ascii="Cambria" w:eastAsia="Calibri" w:hAnsi="Cambria"/>
                <w:color w:val="000000" w:themeColor="text1"/>
                <w:sz w:val="22"/>
                <w:szCs w:val="22"/>
                <w:vertAlign w:val="subscript"/>
              </w:rPr>
              <w:t>5</w:t>
            </w:r>
            <w:r w:rsidRPr="00707F29">
              <w:rPr>
                <w:rFonts w:ascii="Cambria" w:eastAsia="Calibri" w:hAnsi="Cambria"/>
                <w:color w:val="000000" w:themeColor="text1"/>
                <w:sz w:val="22"/>
                <w:szCs w:val="22"/>
              </w:rPr>
              <w:t xml:space="preserve"> = 0,10</w:t>
            </w:r>
          </w:p>
        </w:tc>
        <w:tc>
          <w:tcPr>
            <w:tcW w:w="1971" w:type="dxa"/>
            <w:vAlign w:val="center"/>
          </w:tcPr>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Įrašyti parametro vertę:</w:t>
            </w:r>
          </w:p>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yra / nėra</w:t>
            </w:r>
          </w:p>
        </w:tc>
      </w:tr>
      <w:tr w:rsidR="00707F29" w:rsidRPr="00707F29" w:rsidTr="00707F29">
        <w:trPr>
          <w:trHeight w:val="813"/>
        </w:trPr>
        <w:tc>
          <w:tcPr>
            <w:tcW w:w="491"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T</w:t>
            </w:r>
            <w:r w:rsidRPr="00707F29">
              <w:rPr>
                <w:rFonts w:ascii="Cambria" w:eastAsia="Calibri" w:hAnsi="Cambria"/>
                <w:color w:val="000000" w:themeColor="text1"/>
                <w:sz w:val="22"/>
                <w:szCs w:val="22"/>
                <w:vertAlign w:val="subscript"/>
              </w:rPr>
              <w:t>6</w:t>
            </w:r>
          </w:p>
        </w:tc>
        <w:tc>
          <w:tcPr>
            <w:tcW w:w="4128" w:type="dxa"/>
            <w:vAlign w:val="center"/>
          </w:tcPr>
          <w:p w:rsidR="00707F29" w:rsidRPr="00707F29" w:rsidRDefault="00707F29" w:rsidP="006C5194">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sz w:val="22"/>
                <w:szCs w:val="22"/>
                <w:lang w:eastAsia="en-GB"/>
              </w:rPr>
              <w:t>Pagrindinio ir pagalbinio šviestuvų moduliai yra skirtingo diametro</w:t>
            </w:r>
          </w:p>
        </w:tc>
        <w:tc>
          <w:tcPr>
            <w:tcW w:w="1298" w:type="dxa"/>
            <w:vAlign w:val="center"/>
          </w:tcPr>
          <w:p w:rsidR="00707F29" w:rsidRPr="00707F29" w:rsidRDefault="00707F29" w:rsidP="006C5194">
            <w:pPr>
              <w:tabs>
                <w:tab w:val="left" w:pos="709"/>
                <w:tab w:val="left" w:pos="993"/>
              </w:tabs>
              <w:ind w:firstLine="5"/>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Statinis:</w:t>
            </w:r>
            <w:r w:rsidRPr="00707F29">
              <w:rPr>
                <w:rFonts w:ascii="Cambria" w:eastAsia="Calibri" w:hAnsi="Cambria"/>
                <w:color w:val="000000" w:themeColor="text1"/>
                <w:sz w:val="22"/>
                <w:szCs w:val="22"/>
              </w:rPr>
              <w:br/>
              <w:t>(yra/nėra)</w:t>
            </w:r>
          </w:p>
        </w:tc>
        <w:tc>
          <w:tcPr>
            <w:tcW w:w="1736" w:type="dxa"/>
            <w:vAlign w:val="center"/>
          </w:tcPr>
          <w:p w:rsidR="00707F29" w:rsidRPr="00707F29" w:rsidRDefault="00707F29" w:rsidP="006C5194">
            <w:pPr>
              <w:tabs>
                <w:tab w:val="left" w:pos="709"/>
                <w:tab w:val="left" w:pos="993"/>
              </w:tabs>
              <w:contextualSpacing/>
              <w:jc w:val="center"/>
              <w:rPr>
                <w:rFonts w:ascii="Cambria" w:eastAsia="Calibri" w:hAnsi="Cambria"/>
                <w:color w:val="000000" w:themeColor="text1"/>
                <w:sz w:val="22"/>
                <w:szCs w:val="22"/>
              </w:rPr>
            </w:pPr>
            <w:r w:rsidRPr="00707F29">
              <w:rPr>
                <w:rFonts w:ascii="Cambria" w:eastAsia="Calibri" w:hAnsi="Cambria"/>
                <w:color w:val="000000" w:themeColor="text1"/>
                <w:sz w:val="22"/>
                <w:szCs w:val="22"/>
              </w:rPr>
              <w:t>L</w:t>
            </w:r>
            <w:r w:rsidRPr="00707F29">
              <w:rPr>
                <w:rFonts w:ascii="Cambria" w:eastAsia="Calibri" w:hAnsi="Cambria"/>
                <w:color w:val="000000" w:themeColor="text1"/>
                <w:sz w:val="22"/>
                <w:szCs w:val="22"/>
                <w:vertAlign w:val="subscript"/>
              </w:rPr>
              <w:t>6</w:t>
            </w:r>
            <w:r w:rsidRPr="00707F29">
              <w:rPr>
                <w:rFonts w:ascii="Cambria" w:eastAsia="Calibri" w:hAnsi="Cambria"/>
                <w:color w:val="000000" w:themeColor="text1"/>
                <w:sz w:val="22"/>
                <w:szCs w:val="22"/>
              </w:rPr>
              <w:t xml:space="preserve"> = 0,15</w:t>
            </w:r>
          </w:p>
        </w:tc>
        <w:tc>
          <w:tcPr>
            <w:tcW w:w="1971" w:type="dxa"/>
            <w:vAlign w:val="center"/>
          </w:tcPr>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Įrašyti parametro vertę:</w:t>
            </w:r>
          </w:p>
          <w:p w:rsidR="00707F29" w:rsidRPr="00707F29" w:rsidRDefault="00707F29" w:rsidP="006C5194">
            <w:pPr>
              <w:tabs>
                <w:tab w:val="left" w:pos="709"/>
                <w:tab w:val="left" w:pos="993"/>
              </w:tabs>
              <w:contextualSpacing/>
              <w:jc w:val="center"/>
              <w:rPr>
                <w:rFonts w:ascii="Cambria" w:eastAsia="Calibri" w:hAnsi="Cambria"/>
                <w:color w:val="808080" w:themeColor="background1" w:themeShade="80"/>
                <w:sz w:val="22"/>
                <w:szCs w:val="22"/>
              </w:rPr>
            </w:pPr>
            <w:r w:rsidRPr="00707F29">
              <w:rPr>
                <w:rFonts w:ascii="Cambria" w:eastAsia="Calibri" w:hAnsi="Cambria"/>
                <w:color w:val="808080" w:themeColor="background1" w:themeShade="80"/>
                <w:sz w:val="22"/>
                <w:szCs w:val="22"/>
              </w:rPr>
              <w:t>yra / nėra</w:t>
            </w:r>
          </w:p>
        </w:tc>
      </w:tr>
    </w:tbl>
    <w:p w:rsidR="00707F29" w:rsidRPr="00707F29" w:rsidRDefault="00707F29" w:rsidP="00707F29">
      <w:pPr>
        <w:shd w:val="clear" w:color="auto" w:fill="FFFFFF"/>
        <w:spacing w:line="254" w:lineRule="auto"/>
        <w:ind w:left="-142" w:firstLine="709"/>
        <w:jc w:val="both"/>
        <w:rPr>
          <w:rFonts w:ascii="Cambria" w:eastAsia="Times New Roman" w:hAnsi="Cambria"/>
          <w:color w:val="000000" w:themeColor="text1"/>
          <w:sz w:val="22"/>
          <w:szCs w:val="22"/>
        </w:rPr>
      </w:pPr>
    </w:p>
    <w:p w:rsidR="00707F29" w:rsidRPr="00707F29" w:rsidRDefault="00707F29" w:rsidP="00707F29">
      <w:pPr>
        <w:shd w:val="clear" w:color="auto" w:fill="FFFFFF"/>
        <w:jc w:val="both"/>
        <w:rPr>
          <w:rFonts w:ascii="Cambria" w:hAnsi="Cambria"/>
          <w:sz w:val="22"/>
          <w:szCs w:val="22"/>
        </w:rPr>
      </w:pPr>
      <w:r w:rsidRPr="00707F29">
        <w:rPr>
          <w:rFonts w:ascii="Cambria" w:hAnsi="Cambria"/>
          <w:sz w:val="22"/>
          <w:szCs w:val="22"/>
        </w:rPr>
        <w:t>Pasiūlymo ekonominio naudingumo (kainos ir kokybės santykio) apskaičiavimo tvarka (formulė) yra pateikiama žemiau:</w:t>
      </w:r>
    </w:p>
    <w:p w:rsidR="00707F29" w:rsidRPr="00707F29" w:rsidRDefault="00707F29" w:rsidP="00707F29">
      <w:pPr>
        <w:pStyle w:val="Sraopastraipa"/>
        <w:shd w:val="clear" w:color="auto" w:fill="FFFFFF"/>
        <w:ind w:left="0"/>
        <w:jc w:val="both"/>
        <w:rPr>
          <w:rFonts w:ascii="Cambria" w:hAnsi="Cambria"/>
          <w:noProof/>
        </w:rPr>
      </w:pPr>
      <w:r w:rsidRPr="00707F29">
        <w:rPr>
          <w:rFonts w:ascii="Cambria" w:hAnsi="Cambria"/>
          <w:noProof/>
        </w:rPr>
        <w:t>1. Pasiūlymo ekonominis naudingumas (E) apskaičiuojamas sudedant tiekėjo pasiūlymo kainos (K) ir techninių pranašumų (T) balus:</w:t>
      </w:r>
    </w:p>
    <w:p w:rsidR="00707F29" w:rsidRPr="00707F29" w:rsidRDefault="00707F29" w:rsidP="00707F29">
      <w:pPr>
        <w:shd w:val="clear" w:color="auto" w:fill="FFFFFF"/>
        <w:jc w:val="center"/>
        <w:rPr>
          <w:rFonts w:ascii="Cambria" w:hAnsi="Cambria"/>
          <w:sz w:val="22"/>
          <w:szCs w:val="22"/>
        </w:rPr>
      </w:pPr>
      <w:r w:rsidRPr="00707F29">
        <w:rPr>
          <w:rFonts w:ascii="Cambria" w:hAnsi="Cambria"/>
          <w:i/>
          <w:iCs/>
          <w:sz w:val="22"/>
          <w:szCs w:val="22"/>
        </w:rPr>
        <w:t xml:space="preserve">E </w:t>
      </w:r>
      <w:r w:rsidRPr="00707F29">
        <w:rPr>
          <w:rFonts w:ascii="Cambria" w:hAnsi="Cambria"/>
          <w:sz w:val="22"/>
          <w:szCs w:val="22"/>
        </w:rPr>
        <w:t xml:space="preserve">= </w:t>
      </w:r>
      <w:r w:rsidRPr="00707F29">
        <w:rPr>
          <w:rFonts w:ascii="Cambria" w:hAnsi="Cambria"/>
          <w:i/>
          <w:sz w:val="22"/>
          <w:szCs w:val="22"/>
        </w:rPr>
        <w:t>K</w:t>
      </w:r>
      <w:r w:rsidRPr="00707F29">
        <w:rPr>
          <w:rFonts w:ascii="Cambria" w:hAnsi="Cambria"/>
          <w:i/>
          <w:iCs/>
          <w:sz w:val="22"/>
          <w:szCs w:val="22"/>
        </w:rPr>
        <w:t>+ T</w:t>
      </w:r>
    </w:p>
    <w:p w:rsidR="00707F29" w:rsidRPr="00707F29" w:rsidRDefault="00707F29" w:rsidP="00707F29">
      <w:pPr>
        <w:pStyle w:val="Sraopastraipa"/>
        <w:shd w:val="clear" w:color="auto" w:fill="FFFFFF"/>
        <w:ind w:left="0"/>
        <w:jc w:val="both"/>
        <w:rPr>
          <w:rFonts w:ascii="Cambria" w:hAnsi="Cambria"/>
          <w:noProof/>
        </w:rPr>
      </w:pPr>
      <w:r w:rsidRPr="00707F29">
        <w:rPr>
          <w:rFonts w:ascii="Cambria" w:hAnsi="Cambria"/>
          <w:noProof/>
        </w:rPr>
        <w:t>2. Pasiūlymo kainos (K) balai apskaičiuojami mažiausios pasiūlytos kainos (K</w:t>
      </w:r>
      <w:r w:rsidRPr="00707F29">
        <w:rPr>
          <w:rFonts w:ascii="Cambria" w:hAnsi="Cambria"/>
          <w:noProof/>
          <w:vertAlign w:val="subscript"/>
        </w:rPr>
        <w:t>min</w:t>
      </w:r>
      <w:r w:rsidRPr="00707F29">
        <w:rPr>
          <w:rFonts w:ascii="Cambria" w:hAnsi="Cambria"/>
          <w:noProof/>
        </w:rPr>
        <w:t>) ir vertinamo pasiūlymo kainos (K</w:t>
      </w:r>
      <w:r w:rsidRPr="00707F29">
        <w:rPr>
          <w:rFonts w:ascii="Cambria" w:hAnsi="Cambria"/>
          <w:noProof/>
          <w:vertAlign w:val="subscript"/>
        </w:rPr>
        <w:t>v</w:t>
      </w:r>
      <w:r w:rsidRPr="00707F29">
        <w:rPr>
          <w:rFonts w:ascii="Cambria" w:hAnsi="Cambria"/>
          <w:noProof/>
        </w:rPr>
        <w:t>) santykį padauginant iš kainos lyginamojo svorio (X):</w:t>
      </w:r>
    </w:p>
    <w:p w:rsidR="00707F29" w:rsidRPr="00707F29" w:rsidRDefault="00707F29" w:rsidP="00707F29">
      <w:pPr>
        <w:shd w:val="clear" w:color="auto" w:fill="FFFFFF"/>
        <w:jc w:val="center"/>
        <w:rPr>
          <w:rFonts w:ascii="Cambria" w:eastAsiaTheme="minorEastAsia" w:hAnsi="Cambria"/>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707F29" w:rsidRPr="00707F29" w:rsidRDefault="00707F29" w:rsidP="00707F29">
      <w:pPr>
        <w:jc w:val="both"/>
        <w:rPr>
          <w:rFonts w:ascii="Cambria" w:hAnsi="Cambria"/>
          <w:color w:val="000000" w:themeColor="text1"/>
          <w:sz w:val="22"/>
          <w:szCs w:val="22"/>
          <w:bdr w:val="none" w:sz="0" w:space="0" w:color="auto" w:frame="1"/>
        </w:rPr>
      </w:pPr>
      <w:r w:rsidRPr="00707F29">
        <w:rPr>
          <w:rFonts w:ascii="Cambria" w:hAnsi="Cambria"/>
          <w:color w:val="000000" w:themeColor="text1"/>
          <w:sz w:val="22"/>
          <w:szCs w:val="22"/>
          <w:bdr w:val="none" w:sz="0" w:space="0" w:color="auto" w:frame="1"/>
        </w:rPr>
        <w:t>3. Siūlomo objekto T</w:t>
      </w:r>
      <w:r w:rsidRPr="00707F29">
        <w:rPr>
          <w:rFonts w:ascii="Cambria" w:hAnsi="Cambria"/>
          <w:color w:val="000000" w:themeColor="text1"/>
          <w:sz w:val="22"/>
          <w:szCs w:val="22"/>
          <w:bdr w:val="none" w:sz="0" w:space="0" w:color="auto" w:frame="1"/>
          <w:vertAlign w:val="subscript"/>
        </w:rPr>
        <w:t>i</w:t>
      </w:r>
      <w:r w:rsidRPr="00707F29">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707F29" w:rsidRPr="00707F29" w:rsidRDefault="00707F29" w:rsidP="00707F29">
      <w:pPr>
        <w:ind w:firstLine="1134"/>
        <w:jc w:val="both"/>
        <w:rPr>
          <w:rFonts w:ascii="Cambria" w:hAnsi="Cambria"/>
          <w:color w:val="000000" w:themeColor="text1"/>
          <w:sz w:val="22"/>
          <w:szCs w:val="22"/>
          <w:bdr w:val="none" w:sz="0" w:space="0" w:color="auto" w:frame="1"/>
        </w:rPr>
      </w:pPr>
      <w:r w:rsidRPr="00707F29">
        <w:rPr>
          <w:rFonts w:ascii="Cambria" w:hAnsi="Cambria"/>
          <w:color w:val="000000" w:themeColor="text1"/>
          <w:sz w:val="22"/>
          <w:szCs w:val="22"/>
          <w:bdr w:val="none" w:sz="0" w:space="0" w:color="auto" w:frame="1"/>
        </w:rPr>
        <w:t xml:space="preserve">Jei siūlomas objektas turi nurodytą pranašumą: </w:t>
      </w:r>
      <w:r w:rsidRPr="00707F29">
        <w:rPr>
          <w:rFonts w:ascii="Cambria" w:hAnsi="Cambria"/>
          <w:i/>
          <w:color w:val="000000" w:themeColor="text1"/>
          <w:sz w:val="22"/>
          <w:szCs w:val="22"/>
          <w:bdr w:val="none" w:sz="0" w:space="0" w:color="auto" w:frame="1"/>
        </w:rPr>
        <w:t>T</w:t>
      </w:r>
      <w:r w:rsidRPr="00707F29">
        <w:rPr>
          <w:rFonts w:ascii="Cambria" w:hAnsi="Cambria"/>
          <w:i/>
          <w:color w:val="000000" w:themeColor="text1"/>
          <w:sz w:val="22"/>
          <w:szCs w:val="22"/>
          <w:bdr w:val="none" w:sz="0" w:space="0" w:color="auto" w:frame="1"/>
          <w:vertAlign w:val="subscript"/>
        </w:rPr>
        <w:t>i</w:t>
      </w:r>
      <w:r w:rsidRPr="00707F29">
        <w:rPr>
          <w:rFonts w:ascii="Cambria" w:hAnsi="Cambria"/>
          <w:i/>
          <w:color w:val="000000" w:themeColor="text1"/>
          <w:sz w:val="22"/>
          <w:szCs w:val="22"/>
          <w:bdr w:val="none" w:sz="0" w:space="0" w:color="auto" w:frame="1"/>
        </w:rPr>
        <w:t xml:space="preserve"> = L</w:t>
      </w:r>
      <w:r w:rsidRPr="00707F29">
        <w:rPr>
          <w:rFonts w:ascii="Cambria" w:hAnsi="Cambria"/>
          <w:i/>
          <w:color w:val="000000" w:themeColor="text1"/>
          <w:sz w:val="22"/>
          <w:szCs w:val="22"/>
          <w:bdr w:val="none" w:sz="0" w:space="0" w:color="auto" w:frame="1"/>
          <w:vertAlign w:val="subscript"/>
        </w:rPr>
        <w:t>i</w:t>
      </w:r>
      <w:r w:rsidRPr="00707F29">
        <w:rPr>
          <w:rFonts w:ascii="Cambria" w:hAnsi="Cambria"/>
          <w:i/>
          <w:color w:val="000000" w:themeColor="text1"/>
          <w:sz w:val="22"/>
          <w:szCs w:val="22"/>
          <w:bdr w:val="none" w:sz="0" w:space="0" w:color="auto" w:frame="1"/>
        </w:rPr>
        <w:t>;</w:t>
      </w:r>
    </w:p>
    <w:p w:rsidR="00707F29" w:rsidRPr="00707F29" w:rsidRDefault="00707F29" w:rsidP="00707F29">
      <w:pPr>
        <w:ind w:firstLine="1134"/>
        <w:rPr>
          <w:rFonts w:ascii="Cambria" w:hAnsi="Cambria"/>
          <w:i/>
          <w:color w:val="000000" w:themeColor="text1"/>
          <w:sz w:val="22"/>
          <w:szCs w:val="22"/>
          <w:bdr w:val="none" w:sz="0" w:space="0" w:color="auto" w:frame="1"/>
        </w:rPr>
      </w:pPr>
      <w:r w:rsidRPr="00707F29">
        <w:rPr>
          <w:rFonts w:ascii="Cambria" w:hAnsi="Cambria"/>
          <w:color w:val="000000" w:themeColor="text1"/>
          <w:sz w:val="22"/>
          <w:szCs w:val="22"/>
          <w:bdr w:val="none" w:sz="0" w:space="0" w:color="auto" w:frame="1"/>
        </w:rPr>
        <w:t xml:space="preserve">Jei siūlomas objektas neturi nurodyto pranašumo: </w:t>
      </w:r>
      <w:r w:rsidRPr="00707F29">
        <w:rPr>
          <w:rFonts w:ascii="Cambria" w:hAnsi="Cambria"/>
          <w:i/>
          <w:color w:val="000000" w:themeColor="text1"/>
          <w:sz w:val="22"/>
          <w:szCs w:val="22"/>
          <w:bdr w:val="none" w:sz="0" w:space="0" w:color="auto" w:frame="1"/>
        </w:rPr>
        <w:t>T</w:t>
      </w:r>
      <w:r w:rsidRPr="00707F29">
        <w:rPr>
          <w:rFonts w:ascii="Cambria" w:hAnsi="Cambria"/>
          <w:i/>
          <w:color w:val="000000" w:themeColor="text1"/>
          <w:sz w:val="22"/>
          <w:szCs w:val="22"/>
          <w:bdr w:val="none" w:sz="0" w:space="0" w:color="auto" w:frame="1"/>
          <w:vertAlign w:val="subscript"/>
        </w:rPr>
        <w:t>i</w:t>
      </w:r>
      <w:r w:rsidRPr="00707F29">
        <w:rPr>
          <w:rFonts w:ascii="Cambria" w:hAnsi="Cambria"/>
          <w:i/>
          <w:color w:val="000000" w:themeColor="text1"/>
          <w:sz w:val="22"/>
          <w:szCs w:val="22"/>
          <w:bdr w:val="none" w:sz="0" w:space="0" w:color="auto" w:frame="1"/>
        </w:rPr>
        <w:t xml:space="preserve"> = L</w:t>
      </w:r>
      <w:r w:rsidRPr="00707F29">
        <w:rPr>
          <w:rFonts w:ascii="Cambria" w:hAnsi="Cambria"/>
          <w:i/>
          <w:color w:val="000000" w:themeColor="text1"/>
          <w:sz w:val="22"/>
          <w:szCs w:val="22"/>
          <w:bdr w:val="none" w:sz="0" w:space="0" w:color="auto" w:frame="1"/>
          <w:vertAlign w:val="subscript"/>
        </w:rPr>
        <w:t>i</w:t>
      </w:r>
      <w:r w:rsidRPr="00707F29">
        <w:rPr>
          <w:rFonts w:ascii="Cambria" w:hAnsi="Cambria"/>
          <w:i/>
          <w:color w:val="000000" w:themeColor="text1"/>
          <w:sz w:val="22"/>
          <w:szCs w:val="22"/>
          <w:bdr w:val="none" w:sz="0" w:space="0" w:color="auto" w:frame="1"/>
        </w:rPr>
        <w:t>= 0;</w:t>
      </w:r>
    </w:p>
    <w:p w:rsidR="00707F29" w:rsidRPr="00707F29" w:rsidRDefault="00707F29" w:rsidP="00707F29">
      <w:pPr>
        <w:shd w:val="clear" w:color="auto" w:fill="FFFFFF"/>
        <w:jc w:val="both"/>
        <w:rPr>
          <w:rFonts w:ascii="Cambria" w:hAnsi="Cambria"/>
          <w:color w:val="000000" w:themeColor="text1"/>
          <w:sz w:val="22"/>
          <w:szCs w:val="22"/>
          <w:bdr w:val="none" w:sz="0" w:space="0" w:color="auto" w:frame="1"/>
        </w:rPr>
      </w:pPr>
    </w:p>
    <w:p w:rsidR="00707F29" w:rsidRPr="00707F29" w:rsidRDefault="00707F29" w:rsidP="00707F29">
      <w:pPr>
        <w:shd w:val="clear" w:color="auto" w:fill="FFFFFF"/>
        <w:jc w:val="both"/>
        <w:rPr>
          <w:rFonts w:ascii="Cambria" w:hAnsi="Cambria"/>
          <w:color w:val="000000" w:themeColor="text1"/>
          <w:sz w:val="22"/>
          <w:szCs w:val="22"/>
          <w:bdr w:val="none" w:sz="0" w:space="0" w:color="auto" w:frame="1"/>
        </w:rPr>
      </w:pPr>
      <w:r w:rsidRPr="00707F29">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707F29" w:rsidRPr="00707F29" w:rsidRDefault="00707F29" w:rsidP="00707F29">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6</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707F29" w:rsidRPr="00707F29" w:rsidRDefault="00707F29" w:rsidP="00707F29">
      <w:pPr>
        <w:ind w:firstLine="426"/>
        <w:jc w:val="both"/>
        <w:rPr>
          <w:rFonts w:ascii="Cambria" w:hAnsi="Cambria"/>
          <w:color w:val="000000" w:themeColor="text1"/>
          <w:sz w:val="22"/>
          <w:szCs w:val="22"/>
          <w:lang w:bidi="hi-IN"/>
        </w:rPr>
      </w:pPr>
    </w:p>
    <w:p w:rsidR="00707F29" w:rsidRPr="00707F29" w:rsidRDefault="00707F29" w:rsidP="00707F29">
      <w:pPr>
        <w:ind w:firstLine="426"/>
        <w:jc w:val="both"/>
        <w:rPr>
          <w:rFonts w:ascii="Cambria" w:eastAsia="Calibri" w:hAnsi="Cambria"/>
          <w:color w:val="000000" w:themeColor="text1"/>
          <w:sz w:val="22"/>
          <w:szCs w:val="22"/>
        </w:rPr>
      </w:pPr>
      <w:r w:rsidRPr="00707F29">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707F29" w:rsidRPr="00707F29" w:rsidRDefault="00707F29" w:rsidP="00707F29">
      <w:pPr>
        <w:ind w:firstLine="426"/>
        <w:jc w:val="both"/>
        <w:rPr>
          <w:rFonts w:ascii="Cambria" w:eastAsia="Times New Roman" w:hAnsi="Cambria"/>
          <w:color w:val="000000" w:themeColor="text1"/>
          <w:sz w:val="22"/>
          <w:szCs w:val="22"/>
        </w:rPr>
      </w:pPr>
      <w:r w:rsidRPr="00707F29">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707F29">
        <w:rPr>
          <w:rFonts w:ascii="Cambria" w:hAnsi="Cambria"/>
          <w:color w:val="000000" w:themeColor="text1"/>
          <w:sz w:val="22"/>
          <w:szCs w:val="22"/>
        </w:rPr>
        <w:t xml:space="preserve"> </w:t>
      </w:r>
    </w:p>
    <w:p w:rsidR="00EB0A64" w:rsidRPr="00707F29" w:rsidRDefault="00EB0A64" w:rsidP="00EB0A64">
      <w:pPr>
        <w:jc w:val="both"/>
        <w:rPr>
          <w:rFonts w:ascii="Cambria" w:hAnsi="Cambria"/>
          <w:sz w:val="22"/>
          <w:szCs w:val="22"/>
        </w:rPr>
      </w:pPr>
    </w:p>
    <w:p w:rsidR="003170DA" w:rsidRPr="007750CB" w:rsidRDefault="003170DA" w:rsidP="003170DA">
      <w:pPr>
        <w:pStyle w:val="Antrat1"/>
        <w:spacing w:before="120" w:after="240"/>
        <w:rPr>
          <w:rFonts w:asciiTheme="majorHAnsi" w:hAnsiTheme="majorHAnsi"/>
          <w:b/>
          <w:sz w:val="22"/>
        </w:rPr>
      </w:pP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lastRenderedPageBreak/>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B0E29" w:rsidRPr="001A5927" w:rsidRDefault="00BB0E29" w:rsidP="001A5927">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sidR="001A5927">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1A5927">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07F29">
        <w:rPr>
          <w:rFonts w:asciiTheme="majorHAnsi" w:hAnsiTheme="majorHAnsi"/>
          <w:b/>
          <w:bCs/>
          <w:sz w:val="22"/>
          <w:szCs w:val="22"/>
        </w:rPr>
        <w:t>OPERACINIO ŠVIESTUVO SU MONITORIAUS LAIKIKLIO RANKENA</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bCs/>
          <w:color w:val="000000"/>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D9158D">
        <w:trPr>
          <w:trHeight w:val="534"/>
        </w:trPr>
        <w:tc>
          <w:tcPr>
            <w:tcW w:w="368" w:type="pct"/>
            <w:vMerge w:val="restart"/>
            <w:shd w:val="clear" w:color="auto" w:fill="auto"/>
            <w:vAlign w:val="center"/>
          </w:tcPr>
          <w:p w:rsidR="00FC37FC" w:rsidRPr="001F5F6A" w:rsidRDefault="00FC37FC" w:rsidP="00D9158D">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D9158D">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D915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D9158D">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D9158D">
        <w:trPr>
          <w:trHeight w:val="84"/>
        </w:trPr>
        <w:tc>
          <w:tcPr>
            <w:tcW w:w="368" w:type="pct"/>
            <w:vMerge/>
            <w:shd w:val="clear" w:color="auto" w:fill="auto"/>
          </w:tcPr>
          <w:p w:rsidR="00FC37FC" w:rsidRPr="001F5F6A" w:rsidRDefault="00FC37FC" w:rsidP="00D9158D">
            <w:pPr>
              <w:jc w:val="center"/>
              <w:rPr>
                <w:rFonts w:ascii="Cambria" w:hAnsi="Cambria"/>
                <w:b/>
                <w:sz w:val="22"/>
                <w:szCs w:val="22"/>
              </w:rPr>
            </w:pPr>
          </w:p>
        </w:tc>
        <w:tc>
          <w:tcPr>
            <w:tcW w:w="1838" w:type="pct"/>
            <w:vMerge/>
            <w:shd w:val="clear" w:color="auto" w:fill="auto"/>
            <w:vAlign w:val="center"/>
          </w:tcPr>
          <w:p w:rsidR="00FC37FC" w:rsidRPr="001F5F6A" w:rsidRDefault="00FC37FC" w:rsidP="00D9158D">
            <w:pPr>
              <w:jc w:val="center"/>
              <w:rPr>
                <w:rFonts w:ascii="Cambria" w:hAnsi="Cambria"/>
                <w:b/>
                <w:sz w:val="22"/>
                <w:szCs w:val="22"/>
              </w:rPr>
            </w:pPr>
          </w:p>
        </w:tc>
        <w:tc>
          <w:tcPr>
            <w:tcW w:w="1103" w:type="pct"/>
            <w:vMerge w:val="restart"/>
            <w:vAlign w:val="center"/>
          </w:tcPr>
          <w:p w:rsidR="00FC37FC" w:rsidRPr="001F5F6A" w:rsidRDefault="00FC37FC" w:rsidP="00D9158D">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D9158D">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D9158D">
        <w:trPr>
          <w:trHeight w:val="84"/>
        </w:trPr>
        <w:tc>
          <w:tcPr>
            <w:tcW w:w="368" w:type="pct"/>
            <w:vMerge/>
            <w:shd w:val="clear" w:color="auto" w:fill="auto"/>
          </w:tcPr>
          <w:p w:rsidR="00FC37FC" w:rsidRPr="001F5F6A" w:rsidRDefault="00FC37FC" w:rsidP="00D9158D">
            <w:pPr>
              <w:jc w:val="center"/>
              <w:rPr>
                <w:rFonts w:ascii="Cambria" w:hAnsi="Cambria"/>
                <w:b/>
                <w:sz w:val="22"/>
                <w:szCs w:val="22"/>
              </w:rPr>
            </w:pPr>
          </w:p>
        </w:tc>
        <w:tc>
          <w:tcPr>
            <w:tcW w:w="1838" w:type="pct"/>
            <w:vMerge/>
            <w:shd w:val="clear" w:color="auto" w:fill="auto"/>
            <w:vAlign w:val="center"/>
          </w:tcPr>
          <w:p w:rsidR="00FC37FC" w:rsidRPr="001F5F6A" w:rsidRDefault="00FC37FC" w:rsidP="00D9158D">
            <w:pPr>
              <w:jc w:val="center"/>
              <w:rPr>
                <w:rFonts w:ascii="Cambria" w:hAnsi="Cambria"/>
                <w:b/>
                <w:sz w:val="22"/>
                <w:szCs w:val="22"/>
              </w:rPr>
            </w:pPr>
          </w:p>
        </w:tc>
        <w:tc>
          <w:tcPr>
            <w:tcW w:w="1103" w:type="pct"/>
            <w:vMerge/>
          </w:tcPr>
          <w:p w:rsidR="00FC37FC" w:rsidRPr="001F5F6A" w:rsidRDefault="00FC37FC" w:rsidP="00D9158D">
            <w:pPr>
              <w:jc w:val="center"/>
              <w:rPr>
                <w:rFonts w:ascii="Cambria" w:hAnsi="Cambria"/>
                <w:sz w:val="22"/>
                <w:szCs w:val="22"/>
              </w:rPr>
            </w:pPr>
          </w:p>
        </w:tc>
        <w:tc>
          <w:tcPr>
            <w:tcW w:w="956" w:type="pct"/>
            <w:shd w:val="clear" w:color="auto" w:fill="auto"/>
            <w:vAlign w:val="center"/>
          </w:tcPr>
          <w:p w:rsidR="00FC37FC" w:rsidRPr="001F5F6A" w:rsidRDefault="00FC37FC" w:rsidP="00D9158D">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D9158D">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707F29" w:rsidRPr="001F5F6A" w:rsidTr="004D2F11">
        <w:tc>
          <w:tcPr>
            <w:tcW w:w="704" w:type="dxa"/>
          </w:tcPr>
          <w:p w:rsidR="00707F29" w:rsidRPr="001F5F6A" w:rsidRDefault="00707F29" w:rsidP="00707F29">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vAlign w:val="center"/>
          </w:tcPr>
          <w:p w:rsidR="00707F29" w:rsidRPr="00707F29" w:rsidRDefault="00707F29" w:rsidP="00707F29">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 xml:space="preserve">Nustatyto šviesos </w:t>
            </w:r>
            <w:proofErr w:type="gramStart"/>
            <w:r w:rsidRPr="00707F29">
              <w:rPr>
                <w:rFonts w:ascii="Cambria" w:eastAsia="Times New Roman" w:hAnsi="Cambria"/>
                <w:color w:val="000000"/>
                <w:sz w:val="22"/>
                <w:szCs w:val="22"/>
                <w:lang w:eastAsia="en-GB"/>
              </w:rPr>
              <w:t>srauto  pastovaus</w:t>
            </w:r>
            <w:proofErr w:type="gramEnd"/>
            <w:r w:rsidRPr="00707F29">
              <w:rPr>
                <w:rFonts w:ascii="Cambria" w:eastAsia="Times New Roman" w:hAnsi="Cambria"/>
                <w:color w:val="000000"/>
                <w:sz w:val="22"/>
                <w:szCs w:val="22"/>
                <w:lang w:eastAsia="en-GB"/>
              </w:rPr>
              <w:t xml:space="preserve"> intensyvumo užtikrinimo sistema kiekvienam operacinio šviestuvo moduliui</w:t>
            </w:r>
          </w:p>
        </w:tc>
        <w:tc>
          <w:tcPr>
            <w:tcW w:w="2126"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r>
      <w:tr w:rsidR="00707F29" w:rsidRPr="001F5F6A" w:rsidTr="004D2F11">
        <w:tc>
          <w:tcPr>
            <w:tcW w:w="704" w:type="dxa"/>
          </w:tcPr>
          <w:p w:rsidR="00707F29" w:rsidRPr="001F5F6A" w:rsidRDefault="00707F29" w:rsidP="00707F29">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vAlign w:val="center"/>
          </w:tcPr>
          <w:p w:rsidR="00707F29" w:rsidRPr="00707F29" w:rsidRDefault="00707F29" w:rsidP="00707F29">
            <w:pPr>
              <w:tabs>
                <w:tab w:val="left" w:pos="14175"/>
              </w:tabs>
              <w:ind w:right="-92"/>
              <w:rPr>
                <w:rFonts w:ascii="Cambria" w:hAnsi="Cambria"/>
                <w:sz w:val="22"/>
                <w:szCs w:val="22"/>
              </w:rPr>
            </w:pPr>
            <w:r w:rsidRPr="00707F29">
              <w:rPr>
                <w:rFonts w:ascii="Cambria" w:eastAsia="Times New Roman" w:hAnsi="Cambria"/>
                <w:color w:val="000000"/>
                <w:sz w:val="22"/>
                <w:szCs w:val="22"/>
                <w:lang w:eastAsia="en-GB"/>
              </w:rPr>
              <w:t>Operacinio šviestuvo rankenėlėje integruotas apšvietimo intensyvumo ir apšvietimo lauko diametro nustatymų valdymas prisilietimu (nesukinėjant rankenėlės). Abiejų parametrų reguliavimas galimas vienu metu.</w:t>
            </w:r>
          </w:p>
        </w:tc>
        <w:tc>
          <w:tcPr>
            <w:tcW w:w="2126"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r>
      <w:tr w:rsidR="00707F29" w:rsidRPr="001F5F6A" w:rsidTr="004D2F11">
        <w:tc>
          <w:tcPr>
            <w:tcW w:w="704" w:type="dxa"/>
          </w:tcPr>
          <w:p w:rsidR="00707F29" w:rsidRPr="001F5F6A" w:rsidRDefault="00707F29" w:rsidP="00707F29">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693363">
              <w:rPr>
                <w:rFonts w:ascii="Cambria" w:hAnsi="Cambria"/>
                <w:color w:val="000000" w:themeColor="text1"/>
                <w:sz w:val="22"/>
                <w:szCs w:val="22"/>
                <w:vertAlign w:val="subscript"/>
              </w:rPr>
              <w:t>3</w:t>
            </w:r>
          </w:p>
        </w:tc>
        <w:tc>
          <w:tcPr>
            <w:tcW w:w="3544" w:type="dxa"/>
            <w:shd w:val="clear" w:color="auto" w:fill="auto"/>
            <w:vAlign w:val="center"/>
          </w:tcPr>
          <w:p w:rsidR="00707F29" w:rsidRPr="00707F29" w:rsidRDefault="00707F29" w:rsidP="00707F29">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Spalvinės temperatūros reguliavimo diapazonas ne siauresnis kaip 3800 – 5600 K</w:t>
            </w:r>
          </w:p>
        </w:tc>
        <w:tc>
          <w:tcPr>
            <w:tcW w:w="2126"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r>
      <w:tr w:rsidR="00707F29" w:rsidRPr="001F5F6A" w:rsidTr="006C5194">
        <w:tc>
          <w:tcPr>
            <w:tcW w:w="704" w:type="dxa"/>
          </w:tcPr>
          <w:p w:rsidR="00707F29" w:rsidRPr="001F5F6A" w:rsidRDefault="00707F29" w:rsidP="00707F29">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707F29">
              <w:rPr>
                <w:rFonts w:ascii="Cambria" w:hAnsi="Cambria"/>
                <w:color w:val="000000" w:themeColor="text1"/>
                <w:sz w:val="22"/>
                <w:szCs w:val="22"/>
                <w:vertAlign w:val="subscript"/>
              </w:rPr>
              <w:t>4</w:t>
            </w:r>
          </w:p>
        </w:tc>
        <w:tc>
          <w:tcPr>
            <w:tcW w:w="3544" w:type="dxa"/>
            <w:shd w:val="clear" w:color="auto" w:fill="auto"/>
          </w:tcPr>
          <w:p w:rsidR="00707F29" w:rsidRPr="00707F29" w:rsidRDefault="00707F29" w:rsidP="00707F29">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Lempoje integruota sistema - leidžianti dirbti su infraraudonųjų spindulių kameromis. Atliekant operacijas bei naudojant fluorescencinį filtrą, nereikia išjungti lempos.</w:t>
            </w:r>
          </w:p>
        </w:tc>
        <w:tc>
          <w:tcPr>
            <w:tcW w:w="2126"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r>
      <w:tr w:rsidR="00707F29" w:rsidRPr="001F5F6A" w:rsidTr="004D2F11">
        <w:tc>
          <w:tcPr>
            <w:tcW w:w="704" w:type="dxa"/>
          </w:tcPr>
          <w:p w:rsidR="00707F29" w:rsidRPr="001F5F6A" w:rsidRDefault="00707F29" w:rsidP="00707F29">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707F29">
              <w:rPr>
                <w:rFonts w:ascii="Cambria" w:hAnsi="Cambria"/>
                <w:color w:val="000000" w:themeColor="text1"/>
                <w:sz w:val="22"/>
                <w:szCs w:val="22"/>
                <w:vertAlign w:val="subscript"/>
              </w:rPr>
              <w:t>5</w:t>
            </w:r>
          </w:p>
        </w:tc>
        <w:tc>
          <w:tcPr>
            <w:tcW w:w="3544" w:type="dxa"/>
            <w:shd w:val="clear" w:color="auto" w:fill="auto"/>
            <w:vAlign w:val="center"/>
          </w:tcPr>
          <w:p w:rsidR="00707F29" w:rsidRPr="00707F29" w:rsidRDefault="00707F29" w:rsidP="00707F29">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color w:val="000000"/>
                <w:sz w:val="22"/>
                <w:szCs w:val="22"/>
                <w:lang w:eastAsia="en-GB"/>
              </w:rPr>
              <w:t>Spalvos temperatūros reguliavimas naudojant filtrus</w:t>
            </w:r>
          </w:p>
        </w:tc>
        <w:tc>
          <w:tcPr>
            <w:tcW w:w="2126"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r>
      <w:tr w:rsidR="00707F29" w:rsidRPr="001F5F6A" w:rsidTr="004D2F11">
        <w:tc>
          <w:tcPr>
            <w:tcW w:w="704" w:type="dxa"/>
          </w:tcPr>
          <w:p w:rsidR="00707F29" w:rsidRPr="001F5F6A" w:rsidRDefault="00707F29" w:rsidP="00707F29">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707F29">
              <w:rPr>
                <w:rFonts w:ascii="Cambria" w:hAnsi="Cambria"/>
                <w:color w:val="000000" w:themeColor="text1"/>
                <w:sz w:val="22"/>
                <w:szCs w:val="22"/>
                <w:vertAlign w:val="subscript"/>
              </w:rPr>
              <w:t>6</w:t>
            </w:r>
          </w:p>
        </w:tc>
        <w:tc>
          <w:tcPr>
            <w:tcW w:w="3544" w:type="dxa"/>
            <w:shd w:val="clear" w:color="auto" w:fill="auto"/>
            <w:vAlign w:val="center"/>
          </w:tcPr>
          <w:p w:rsidR="00707F29" w:rsidRPr="00707F29" w:rsidRDefault="00707F29" w:rsidP="00707F29">
            <w:pPr>
              <w:tabs>
                <w:tab w:val="left" w:pos="709"/>
                <w:tab w:val="left" w:pos="993"/>
              </w:tabs>
              <w:contextualSpacing/>
              <w:rPr>
                <w:rFonts w:ascii="Cambria" w:eastAsia="Calibri" w:hAnsi="Cambria"/>
                <w:color w:val="000000" w:themeColor="text1"/>
                <w:sz w:val="22"/>
                <w:szCs w:val="22"/>
              </w:rPr>
            </w:pPr>
            <w:r w:rsidRPr="00707F29">
              <w:rPr>
                <w:rFonts w:ascii="Cambria" w:eastAsia="Times New Roman" w:hAnsi="Cambria"/>
                <w:sz w:val="22"/>
                <w:szCs w:val="22"/>
                <w:lang w:eastAsia="en-GB"/>
              </w:rPr>
              <w:t>Pagrindinio ir pagalbinio šviestuvų moduliai yra skirtingo diametro</w:t>
            </w:r>
          </w:p>
        </w:tc>
        <w:tc>
          <w:tcPr>
            <w:tcW w:w="2126"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07F29" w:rsidRPr="001F5F6A" w:rsidRDefault="00707F29" w:rsidP="00707F29">
            <w:pPr>
              <w:jc w:val="center"/>
              <w:rPr>
                <w:rFonts w:ascii="Cambria" w:hAnsi="Cambria"/>
                <w:color w:val="FF0000"/>
                <w:sz w:val="22"/>
                <w:szCs w:val="22"/>
              </w:rPr>
            </w:pPr>
            <w:r w:rsidRPr="001F5F6A">
              <w:rPr>
                <w:rFonts w:ascii="Cambria" w:hAnsi="Cambria"/>
                <w:i/>
                <w:color w:val="FF0000"/>
                <w:sz w:val="22"/>
                <w:szCs w:val="22"/>
              </w:rPr>
              <w:t>įrašyti</w:t>
            </w:r>
          </w:p>
        </w:tc>
      </w:tr>
    </w:tbl>
    <w:p w:rsidR="00FC37FC" w:rsidRPr="001F5F6A" w:rsidRDefault="00FC37FC" w:rsidP="00FC37FC">
      <w:pPr>
        <w:jc w:val="right"/>
        <w:rPr>
          <w:rFonts w:ascii="Cambria" w:hAnsi="Cambria"/>
          <w:sz w:val="22"/>
          <w:szCs w:val="22"/>
        </w:rPr>
      </w:pPr>
    </w:p>
    <w:p w:rsidR="00707F29" w:rsidRDefault="00707F29" w:rsidP="00FC37FC">
      <w:pPr>
        <w:jc w:val="right"/>
        <w:rPr>
          <w:rFonts w:ascii="Cambria" w:hAnsi="Cambria"/>
          <w:sz w:val="22"/>
          <w:szCs w:val="22"/>
        </w:rPr>
      </w:pPr>
    </w:p>
    <w:p w:rsidR="00FC37FC" w:rsidRPr="001F5F6A" w:rsidRDefault="00FC37FC" w:rsidP="00FC37FC">
      <w:pPr>
        <w:jc w:val="right"/>
        <w:rPr>
          <w:rFonts w:ascii="Cambria" w:hAnsi="Cambria"/>
          <w:sz w:val="22"/>
          <w:szCs w:val="22"/>
        </w:rPr>
      </w:pPr>
      <w:r w:rsidRPr="001F5F6A">
        <w:rPr>
          <w:rFonts w:ascii="Cambria" w:hAnsi="Cambria"/>
          <w:sz w:val="22"/>
          <w:szCs w:val="22"/>
        </w:rPr>
        <w:t>5 lentelė</w:t>
      </w:r>
    </w:p>
    <w:p w:rsidR="00FC37FC" w:rsidRPr="001F5F6A" w:rsidRDefault="00FC37FC" w:rsidP="00FC37FC">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FC37FC">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Failo, kuriame yra dokumentas, pavadinimas</w:t>
            </w:r>
          </w:p>
        </w:tc>
      </w:tr>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r>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D9158D">
        <w:trPr>
          <w:trHeight w:val="20"/>
        </w:trPr>
        <w:tc>
          <w:tcPr>
            <w:tcW w:w="9923" w:type="dxa"/>
          </w:tcPr>
          <w:p w:rsidR="00FC37FC" w:rsidRPr="001F5F6A" w:rsidRDefault="00FC37FC" w:rsidP="00D9158D">
            <w:pPr>
              <w:ind w:right="-108"/>
              <w:jc w:val="both"/>
              <w:rPr>
                <w:rFonts w:ascii="Cambria" w:hAnsi="Cambria"/>
                <w:sz w:val="22"/>
                <w:szCs w:val="22"/>
              </w:rPr>
            </w:pPr>
          </w:p>
          <w:p w:rsidR="00FC37FC" w:rsidRPr="001F5F6A" w:rsidRDefault="00FC37FC" w:rsidP="00D9158D">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D9158D">
            <w:pPr>
              <w:ind w:right="-108" w:firstLine="720"/>
              <w:jc w:val="both"/>
              <w:rPr>
                <w:rFonts w:ascii="Cambria" w:hAnsi="Cambria"/>
              </w:rPr>
            </w:pPr>
          </w:p>
          <w:p w:rsidR="00FC37FC" w:rsidRPr="001F5F6A" w:rsidRDefault="00FC37FC" w:rsidP="00D9158D">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1F5F6A" w:rsidRDefault="00FC37FC" w:rsidP="00D9158D">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 xml:space="preserve">Jei pasiūlyme nėra konfidencialios informacijos, tiekėjas turi nurodyti, kad konfidencialios informacijos pasiūlyme </w:t>
            </w:r>
            <w:proofErr w:type="gramStart"/>
            <w:r w:rsidRPr="001F5F6A">
              <w:rPr>
                <w:rFonts w:ascii="Cambria" w:hAnsi="Cambria"/>
                <w:sz w:val="22"/>
                <w:szCs w:val="22"/>
              </w:rPr>
              <w:t>nėra.</w:t>
            </w:r>
            <w:r w:rsidRPr="001F5F6A">
              <w:rPr>
                <w:rFonts w:ascii="Cambria" w:hAnsi="Cambria"/>
                <w:sz w:val="22"/>
                <w:szCs w:val="22"/>
              </w:rPr>
              <w:softHyphen/>
            </w:r>
            <w:proofErr w:type="gramEnd"/>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C37FC" w:rsidRPr="001F5F6A" w:rsidRDefault="00FC37FC" w:rsidP="00D9158D">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C37FC" w:rsidRPr="001F5F6A" w:rsidRDefault="00FC37FC" w:rsidP="00D9158D">
            <w:pPr>
              <w:ind w:firstLine="851"/>
              <w:jc w:val="both"/>
              <w:rPr>
                <w:rFonts w:ascii="Cambria" w:hAnsi="Cambria"/>
              </w:rPr>
            </w:pPr>
          </w:p>
        </w:tc>
      </w:tr>
      <w:tr w:rsidR="00FC37FC" w:rsidRPr="001F5F6A" w:rsidTr="00D9158D">
        <w:trPr>
          <w:trHeight w:val="20"/>
        </w:trPr>
        <w:tc>
          <w:tcPr>
            <w:tcW w:w="9923" w:type="dxa"/>
          </w:tcPr>
          <w:p w:rsidR="00FC37FC" w:rsidRPr="001F5F6A" w:rsidRDefault="00FC37FC" w:rsidP="00D9158D">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D9158D">
        <w:trPr>
          <w:trHeight w:val="170"/>
        </w:trPr>
        <w:tc>
          <w:tcPr>
            <w:tcW w:w="9720" w:type="dxa"/>
          </w:tcPr>
          <w:p w:rsidR="00FC37FC" w:rsidRPr="001F5F6A" w:rsidRDefault="00FC37FC" w:rsidP="00D9158D">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D9158D">
              <w:trPr>
                <w:trHeight w:val="60"/>
              </w:trPr>
              <w:tc>
                <w:tcPr>
                  <w:tcW w:w="3284" w:type="dxa"/>
                  <w:tcBorders>
                    <w:top w:val="nil"/>
                    <w:left w:val="nil"/>
                    <w:bottom w:val="single" w:sz="4" w:space="0" w:color="auto"/>
                    <w:right w:val="nil"/>
                  </w:tcBorders>
                </w:tcPr>
                <w:p w:rsidR="00FC37FC" w:rsidRPr="001F5F6A" w:rsidRDefault="00FC37FC" w:rsidP="00D9158D">
                  <w:pPr>
                    <w:rPr>
                      <w:rFonts w:ascii="Cambria" w:hAnsi="Cambria"/>
                      <w:sz w:val="21"/>
                      <w:szCs w:val="21"/>
                    </w:rPr>
                  </w:pPr>
                </w:p>
              </w:tc>
              <w:tc>
                <w:tcPr>
                  <w:tcW w:w="604" w:type="dxa"/>
                </w:tcPr>
                <w:p w:rsidR="00FC37FC" w:rsidRPr="001F5F6A" w:rsidRDefault="00FC37FC" w:rsidP="00D9158D">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D9158D">
                  <w:pPr>
                    <w:rPr>
                      <w:rFonts w:ascii="Cambria" w:hAnsi="Cambria"/>
                      <w:sz w:val="21"/>
                      <w:szCs w:val="21"/>
                    </w:rPr>
                  </w:pPr>
                </w:p>
              </w:tc>
              <w:tc>
                <w:tcPr>
                  <w:tcW w:w="701" w:type="dxa"/>
                </w:tcPr>
                <w:p w:rsidR="00FC37FC" w:rsidRPr="001F5F6A" w:rsidRDefault="00FC37FC" w:rsidP="00D9158D">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D9158D">
                  <w:pPr>
                    <w:jc w:val="right"/>
                    <w:rPr>
                      <w:rFonts w:ascii="Cambria" w:hAnsi="Cambria"/>
                      <w:sz w:val="21"/>
                      <w:szCs w:val="21"/>
                    </w:rPr>
                  </w:pPr>
                </w:p>
              </w:tc>
              <w:tc>
                <w:tcPr>
                  <w:tcW w:w="789" w:type="dxa"/>
                  <w:gridSpan w:val="2"/>
                </w:tcPr>
                <w:p w:rsidR="00FC37FC" w:rsidRPr="001F5F6A" w:rsidRDefault="00FC37FC" w:rsidP="00D9158D">
                  <w:pPr>
                    <w:jc w:val="right"/>
                    <w:rPr>
                      <w:rFonts w:ascii="Cambria" w:hAnsi="Cambria"/>
                      <w:sz w:val="21"/>
                      <w:szCs w:val="21"/>
                    </w:rPr>
                  </w:pPr>
                </w:p>
              </w:tc>
            </w:tr>
            <w:tr w:rsidR="00FC37FC" w:rsidRPr="001F5F6A" w:rsidTr="00D9158D">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D9158D">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D9158D">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D9158D">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D9158D">
                  <w:pPr>
                    <w:rPr>
                      <w:rFonts w:ascii="Cambria" w:hAnsi="Cambria"/>
                      <w:sz w:val="21"/>
                      <w:szCs w:val="21"/>
                    </w:rPr>
                  </w:pPr>
                </w:p>
              </w:tc>
              <w:tc>
                <w:tcPr>
                  <w:tcW w:w="2962" w:type="dxa"/>
                  <w:gridSpan w:val="2"/>
                </w:tcPr>
                <w:p w:rsidR="00FC37FC" w:rsidRPr="001F5F6A" w:rsidRDefault="00FC37FC" w:rsidP="00D9158D">
                  <w:pPr>
                    <w:rPr>
                      <w:rFonts w:ascii="Cambria" w:hAnsi="Cambria"/>
                      <w:sz w:val="21"/>
                      <w:szCs w:val="21"/>
                    </w:rPr>
                  </w:pPr>
                  <w:r w:rsidRPr="001F5F6A">
                    <w:rPr>
                      <w:rFonts w:ascii="Cambria" w:hAnsi="Cambria"/>
                      <w:sz w:val="21"/>
                      <w:szCs w:val="21"/>
                    </w:rPr>
                    <w:t>Vardas, pavardė</w:t>
                  </w:r>
                </w:p>
              </w:tc>
            </w:tr>
          </w:tbl>
          <w:p w:rsidR="00FC37FC" w:rsidRPr="001F5F6A" w:rsidRDefault="00FC37FC" w:rsidP="00D9158D">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3F6" w:rsidRDefault="005D03F6" w:rsidP="006670D4">
      <w:r>
        <w:separator/>
      </w:r>
    </w:p>
  </w:endnote>
  <w:endnote w:type="continuationSeparator" w:id="0">
    <w:p w:rsidR="005D03F6" w:rsidRDefault="005D03F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3F6" w:rsidRDefault="005D03F6" w:rsidP="006670D4">
      <w:r>
        <w:separator/>
      </w:r>
    </w:p>
  </w:footnote>
  <w:footnote w:type="continuationSeparator" w:id="0">
    <w:p w:rsidR="005D03F6" w:rsidRDefault="005D03F6" w:rsidP="006670D4">
      <w:r>
        <w:continuationSeparator/>
      </w:r>
    </w:p>
  </w:footnote>
  <w:footnote w:id="1">
    <w:p w:rsidR="00B8216B" w:rsidRPr="00C54A7B" w:rsidRDefault="00B8216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8216B" w:rsidRPr="00C54A7B" w:rsidRDefault="00B8216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8216B" w:rsidRDefault="00B8216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8216B" w:rsidRPr="00551FCA" w:rsidRDefault="00B8216B"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91566B"/>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0" w15:restartNumberingAfterBreak="0">
    <w:nsid w:val="1DD8258B"/>
    <w:multiLevelType w:val="hybridMultilevel"/>
    <w:tmpl w:val="7D1AEDBC"/>
    <w:lvl w:ilvl="0" w:tplc="983EF818">
      <w:start w:val="1"/>
      <w:numFmt w:val="decimal"/>
      <w:lvlText w:val="%1"/>
      <w:lvlJc w:val="left"/>
      <w:pPr>
        <w:ind w:left="7732" w:hanging="360"/>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5462EFA"/>
    <w:multiLevelType w:val="hybridMultilevel"/>
    <w:tmpl w:val="6060C600"/>
    <w:lvl w:ilvl="0" w:tplc="ED045DFE">
      <w:start w:val="1"/>
      <w:numFmt w:val="decimal"/>
      <w:lvlText w:val="%1"/>
      <w:lvlJc w:val="left"/>
      <w:pPr>
        <w:ind w:left="8440" w:hanging="360"/>
      </w:pPr>
      <w:rPr>
        <w:rFonts w:ascii="Cambria" w:hAnsi="Cambria"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4"/>
  </w:num>
  <w:num w:numId="6">
    <w:abstractNumId w:val="25"/>
  </w:num>
  <w:num w:numId="7">
    <w:abstractNumId w:val="28"/>
  </w:num>
  <w:num w:numId="8">
    <w:abstractNumId w:val="7"/>
  </w:num>
  <w:num w:numId="9">
    <w:abstractNumId w:val="14"/>
  </w:num>
  <w:num w:numId="10">
    <w:abstractNumId w:val="17"/>
  </w:num>
  <w:num w:numId="11">
    <w:abstractNumId w:val="26"/>
  </w:num>
  <w:num w:numId="12">
    <w:abstractNumId w:val="22"/>
  </w:num>
  <w:num w:numId="13">
    <w:abstractNumId w:val="12"/>
  </w:num>
  <w:num w:numId="14">
    <w:abstractNumId w:val="19"/>
  </w:num>
  <w:num w:numId="15">
    <w:abstractNumId w:val="3"/>
  </w:num>
  <w:num w:numId="16">
    <w:abstractNumId w:val="21"/>
  </w:num>
  <w:num w:numId="17">
    <w:abstractNumId w:val="24"/>
  </w:num>
  <w:num w:numId="18">
    <w:abstractNumId w:val="1"/>
  </w:num>
  <w:num w:numId="19">
    <w:abstractNumId w:val="5"/>
  </w:num>
  <w:num w:numId="20">
    <w:abstractNumId w:val="15"/>
  </w:num>
  <w:num w:numId="21">
    <w:abstractNumId w:val="13"/>
  </w:num>
  <w:num w:numId="22">
    <w:abstractNumId w:val="18"/>
  </w:num>
  <w:num w:numId="23">
    <w:abstractNumId w:val="20"/>
  </w:num>
  <w:num w:numId="24">
    <w:abstractNumId w:val="9"/>
  </w:num>
  <w:num w:numId="25">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8"/>
  </w:num>
  <w:num w:numId="29">
    <w:abstractNumId w:val="10"/>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0DFE"/>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927"/>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9D1"/>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75544"/>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A0A"/>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B05"/>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5D24"/>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A7D9B"/>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E6C1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54C6"/>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37F76"/>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3F6"/>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3363"/>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07F29"/>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B4E"/>
    <w:rsid w:val="007B7CB6"/>
    <w:rsid w:val="007B7E12"/>
    <w:rsid w:val="007B7F9E"/>
    <w:rsid w:val="007C1BF4"/>
    <w:rsid w:val="007D169A"/>
    <w:rsid w:val="007D283B"/>
    <w:rsid w:val="007D3B7B"/>
    <w:rsid w:val="007D627A"/>
    <w:rsid w:val="007D6CA3"/>
    <w:rsid w:val="007E04E7"/>
    <w:rsid w:val="007E1A9C"/>
    <w:rsid w:val="007E1E27"/>
    <w:rsid w:val="007E3460"/>
    <w:rsid w:val="007E3ADB"/>
    <w:rsid w:val="007F00D7"/>
    <w:rsid w:val="007F4C5C"/>
    <w:rsid w:val="00803524"/>
    <w:rsid w:val="008040D4"/>
    <w:rsid w:val="00804C87"/>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216B"/>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0E29"/>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5D69"/>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463B"/>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58D"/>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E3EBE"/>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4437"/>
    <w:rsid w:val="00E86044"/>
    <w:rsid w:val="00E860C1"/>
    <w:rsid w:val="00E870AD"/>
    <w:rsid w:val="00E914E1"/>
    <w:rsid w:val="00E91BC8"/>
    <w:rsid w:val="00E91CE4"/>
    <w:rsid w:val="00E93A8F"/>
    <w:rsid w:val="00E96993"/>
    <w:rsid w:val="00E96E22"/>
    <w:rsid w:val="00E97345"/>
    <w:rsid w:val="00EA422B"/>
    <w:rsid w:val="00EB0A64"/>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22A4"/>
    <w:rsid w:val="00F03682"/>
    <w:rsid w:val="00F05473"/>
    <w:rsid w:val="00F064F2"/>
    <w:rsid w:val="00F1031D"/>
    <w:rsid w:val="00F11524"/>
    <w:rsid w:val="00F13B73"/>
    <w:rsid w:val="00F13C91"/>
    <w:rsid w:val="00F20561"/>
    <w:rsid w:val="00F21CDB"/>
    <w:rsid w:val="00F222C0"/>
    <w:rsid w:val="00F31089"/>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1C9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styleId="Pagrindinistekstas3">
    <w:name w:val="Body Text 3"/>
    <w:basedOn w:val="prastasis"/>
    <w:link w:val="Pagrindinistekstas3Diagrama"/>
    <w:uiPriority w:val="99"/>
    <w:unhideWhenUsed/>
    <w:rsid w:val="00BB0E2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x-none" w:eastAsia="x-none"/>
    </w:rPr>
  </w:style>
  <w:style w:type="character" w:customStyle="1" w:styleId="Pagrindinistekstas3Diagrama">
    <w:name w:val="Pagrindinis tekstas 3 Diagrama"/>
    <w:basedOn w:val="Numatytasispastraiposriftas"/>
    <w:link w:val="Pagrindinistekstas3"/>
    <w:uiPriority w:val="99"/>
    <w:rsid w:val="00BB0E29"/>
    <w:rPr>
      <w:rFonts w:ascii="Times New Roman" w:eastAsia="Times New Roman" w:hAnsi="Times New Roman" w:cs="Times New Roman"/>
      <w:sz w:val="16"/>
      <w:szCs w:val="16"/>
      <w:lang w:val="x-none" w:eastAsia="x-none"/>
    </w:rPr>
  </w:style>
  <w:style w:type="paragraph" w:customStyle="1" w:styleId="prastasis1">
    <w:name w:val="Įprastasis1"/>
    <w:rsid w:val="001A5927"/>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66C76-0D37-4710-B51E-0BBDE389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3823</TotalTime>
  <Pages>23</Pages>
  <Words>44428</Words>
  <Characters>25324</Characters>
  <Application>Microsoft Office Word</Application>
  <DocSecurity>0</DocSecurity>
  <Lines>211</Lines>
  <Paragraphs>139</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BALŲ APSKAIČIAVIMAS</vt:lpstr>
      <vt:lpstr>Informavimas APIE VERTINIMO REZULTATUS </vt:lpstr>
      <vt:lpstr/>
      <vt:lpstr>BALŲ APSKAIČIAVIMAS</vt:lpstr>
      <vt:lpstr>Informavimas APIE VERTINIMO REZULTATUS </vt:lpstr>
      <vt:lpstr>PASIŪLYMŲ EILĖ IR LAIMĖTOJO NUSTATYMAS</vt:lpstr>
      <vt:lpstr>PRETENZIJŲ IR SKUNDŲ NAGRINĖJIMAS</vt:lpstr>
      <vt:lpstr>PIRKIMO SUTARTIES PASIRAŠYMAS IR SĄLYGOS</vt:lpstr>
      <vt:lpstr/>
    </vt:vector>
  </TitlesOfParts>
  <Company/>
  <LinksUpToDate>false</LinksUpToDate>
  <CharactersWithSpaces>69613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183</cp:revision>
  <cp:lastPrinted>2021-08-13T13:16:00Z</cp:lastPrinted>
  <dcterms:created xsi:type="dcterms:W3CDTF">2023-12-08T12:01:00Z</dcterms:created>
  <dcterms:modified xsi:type="dcterms:W3CDTF">2026-03-25T08:32:00Z</dcterms:modified>
</cp:coreProperties>
</file>