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872E68F"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w:t>
          </w:r>
          <w:r w:rsidR="009A4825">
            <w:rPr>
              <w:rFonts w:ascii="Times New Roman" w:eastAsia="Times New Roman" w:hAnsi="Times New Roman" w:cs="Times New Roman"/>
              <w:noProof/>
              <w:sz w:val="24"/>
              <w:szCs w:val="24"/>
            </w:rPr>
            <w:t>3</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0F19FBC5" w:rsidR="00DA4A04" w:rsidRPr="009A4825" w:rsidRDefault="00DA4A04" w:rsidP="006E58B6">
          <w:pPr>
            <w:spacing w:line="259" w:lineRule="auto"/>
            <w:jc w:val="center"/>
            <w:rPr>
              <w:rFonts w:ascii="Times New Roman" w:hAnsi="Times New Roman" w:cs="Times New Roman"/>
              <w:b/>
              <w:bCs/>
              <w:sz w:val="22"/>
              <w:szCs w:val="22"/>
            </w:rPr>
          </w:pPr>
          <w:r w:rsidRPr="009A4825">
            <w:rPr>
              <w:rFonts w:ascii="Times New Roman" w:hAnsi="Times New Roman" w:cs="Times New Roman"/>
              <w:b/>
              <w:bCs/>
              <w:sz w:val="22"/>
              <w:szCs w:val="22"/>
            </w:rPr>
            <w:t>TARPTAUTINIO VIEŠOJO PIRKIMO „</w:t>
          </w:r>
          <w:r w:rsidR="009A4825" w:rsidRPr="009A4825">
            <w:rPr>
              <w:rFonts w:ascii="Times New Roman" w:hAnsi="Times New Roman" w:cs="Times New Roman"/>
              <w:b/>
              <w:caps/>
              <w:sz w:val="22"/>
              <w:szCs w:val="22"/>
            </w:rPr>
            <w:t>VIENKARTINĖS MEDICINOS PRIEMONĖS. RINKINIAI BARIATRIJOS OPERACIJOMS</w:t>
          </w:r>
          <w:r w:rsidR="006E58B6" w:rsidRPr="009A4825">
            <w:rPr>
              <w:rFonts w:ascii="Times New Roman" w:hAnsi="Times New Roman" w:cs="Times New Roman"/>
              <w:b/>
              <w:caps/>
              <w:sz w:val="22"/>
              <w:szCs w:val="22"/>
            </w:rPr>
            <w:t>“</w:t>
          </w:r>
        </w:p>
        <w:p w14:paraId="522C3D22" w14:textId="77777777" w:rsidR="00DA4A04" w:rsidRPr="009A4825" w:rsidRDefault="00DA4A04" w:rsidP="00DA4A04">
          <w:pPr>
            <w:spacing w:after="120" w:line="20" w:lineRule="atLeast"/>
            <w:contextualSpacing/>
            <w:jc w:val="center"/>
            <w:rPr>
              <w:rFonts w:ascii="Times New Roman" w:hAnsi="Times New Roman" w:cs="Times New Roman"/>
              <w:b/>
              <w:bCs/>
              <w:sz w:val="22"/>
              <w:szCs w:val="22"/>
            </w:rPr>
          </w:pPr>
          <w:r w:rsidRPr="009A4825">
            <w:rPr>
              <w:rFonts w:ascii="Times New Roman" w:hAnsi="Times New Roman" w:cs="Times New Roman"/>
              <w:b/>
              <w:bCs/>
              <w:sz w:val="22"/>
              <w:szCs w:val="22"/>
            </w:rPr>
            <w:t>ATVIRO KONKURSO SPECIALIOSIOS SĄLYGOS</w:t>
          </w:r>
        </w:p>
        <w:p w14:paraId="67D34D7E" w14:textId="0632159D" w:rsidR="00D53BF4" w:rsidRPr="009A4825" w:rsidRDefault="00DA4A04" w:rsidP="00DA4A04">
          <w:pPr>
            <w:spacing w:after="120" w:line="20" w:lineRule="atLeast"/>
            <w:contextualSpacing/>
            <w:jc w:val="center"/>
            <w:rPr>
              <w:rFonts w:ascii="Times New Roman" w:hAnsi="Times New Roman" w:cs="Times New Roman"/>
              <w:b/>
              <w:bCs/>
              <w:i/>
              <w:iCs/>
              <w:sz w:val="22"/>
              <w:szCs w:val="22"/>
            </w:rPr>
          </w:pPr>
          <w:r w:rsidRPr="009A4825">
            <w:rPr>
              <w:rFonts w:ascii="Times New Roman" w:hAnsi="Times New Roman" w:cs="Times New Roman"/>
              <w:b/>
              <w:bCs/>
              <w:sz w:val="22"/>
              <w:szCs w:val="22"/>
            </w:rPr>
            <w:t>Versija Nr.1</w:t>
          </w:r>
          <w:r w:rsidR="00D53BF4" w:rsidRPr="009A4825">
            <w:rPr>
              <w:rFonts w:ascii="Times New Roman" w:hAnsi="Times New Roman" w:cs="Times New Roman"/>
              <w:b/>
              <w:bCs/>
              <w:i/>
              <w:iCs/>
              <w:sz w:val="22"/>
              <w:szCs w:val="22"/>
            </w:rPr>
            <w:t>.</w:t>
          </w:r>
          <w:r w:rsidR="00D53BF4" w:rsidRPr="009A4825">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680AECC9"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 xml:space="preserve">Deklaracija dėl Tiekėjo atsakingų </w:t>
              </w:r>
              <w:r w:rsidR="00A37E2F">
                <w:rPr>
                  <w:rFonts w:cstheme="minorHAnsi"/>
                  <w:sz w:val="22"/>
                  <w:szCs w:val="22"/>
                  <w:shd w:val="clear" w:color="auto" w:fill="E6E6E6"/>
                </w:rPr>
                <w:t>a</w:t>
              </w:r>
              <w:r w:rsidR="00723832">
                <w:rPr>
                  <w:rFonts w:cstheme="minorHAnsi"/>
                  <w:sz w:val="22"/>
                  <w:szCs w:val="22"/>
                  <w:shd w:val="clear" w:color="auto" w:fill="E6E6E6"/>
                </w:rPr>
                <w:t>smenų..........................................................27</w:t>
              </w:r>
            </w:p>
            <w:p w14:paraId="73D23767" w14:textId="0FF2E0E2" w:rsidR="0078547A" w:rsidRDefault="0078547A" w:rsidP="00027055">
              <w:pPr>
                <w:rPr>
                  <w:rFonts w:cstheme="minorHAnsi"/>
                  <w:sz w:val="22"/>
                  <w:szCs w:val="22"/>
                  <w:shd w:val="clear" w:color="auto" w:fill="E6E6E6"/>
                </w:rPr>
              </w:pPr>
              <w:r>
                <w:rPr>
                  <w:rFonts w:cstheme="minorHAnsi"/>
                  <w:sz w:val="22"/>
                  <w:szCs w:val="22"/>
                  <w:shd w:val="clear" w:color="auto" w:fill="E6E6E6"/>
                </w:rPr>
                <w:t>Pirkimo sąlygų 11 priedas „Panaudos sutarties projektas“..................................................................................28</w:t>
              </w:r>
            </w:p>
            <w:p w14:paraId="0DDC40AE" w14:textId="09C3B0F0" w:rsidR="001C24BC" w:rsidRPr="00723832" w:rsidRDefault="00C46510" w:rsidP="00027055">
              <w:pPr>
                <w:rPr>
                  <w:rFonts w:cstheme="minorHAnsi"/>
                  <w:sz w:val="22"/>
                  <w:szCs w:val="22"/>
                </w:rPr>
              </w:pPr>
              <w:r>
                <w:rPr>
                  <w:rFonts w:ascii="Times New Roman" w:hAnsi="Times New Roman" w:cs="Times New Roman"/>
                  <w:sz w:val="22"/>
                  <w:szCs w:val="22"/>
                  <w:shd w:val="clear" w:color="auto" w:fill="E6E6E6"/>
                </w:rPr>
                <w:t xml:space="preserve">     </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537B0FA"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9A4825">
        <w:rPr>
          <w:rFonts w:ascii="Times New Roman" w:eastAsia="Calibri" w:hAnsi="Times New Roman" w:cs="Times New Roman"/>
          <w:color w:val="000000" w:themeColor="text1"/>
          <w:sz w:val="22"/>
          <w:szCs w:val="22"/>
        </w:rPr>
        <w:t xml:space="preserve">rinkinius </w:t>
      </w:r>
      <w:proofErr w:type="spellStart"/>
      <w:r w:rsidR="009A4825">
        <w:rPr>
          <w:rFonts w:ascii="Times New Roman" w:eastAsia="Calibri" w:hAnsi="Times New Roman" w:cs="Times New Roman"/>
          <w:color w:val="000000" w:themeColor="text1"/>
          <w:sz w:val="22"/>
          <w:szCs w:val="22"/>
        </w:rPr>
        <w:t>bariatrijos</w:t>
      </w:r>
      <w:proofErr w:type="spellEnd"/>
      <w:r w:rsidR="009A4825">
        <w:rPr>
          <w:rFonts w:ascii="Times New Roman" w:eastAsia="Calibri" w:hAnsi="Times New Roman" w:cs="Times New Roman"/>
          <w:color w:val="000000" w:themeColor="text1"/>
          <w:sz w:val="22"/>
          <w:szCs w:val="22"/>
        </w:rPr>
        <w:t xml:space="preserve"> operacijoms</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520C2B15"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4E76CE">
        <w:rPr>
          <w:rFonts w:ascii="Times New Roman" w:hAnsi="Times New Roman" w:cs="Times New Roman"/>
          <w:sz w:val="22"/>
          <w:szCs w:val="22"/>
        </w:rPr>
        <w:t>5</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A24651">
        <w:rPr>
          <w:rFonts w:ascii="Times New Roman" w:eastAsia="Times New Roman" w:hAnsi="Times New Roman" w:cs="Times New Roman"/>
          <w:sz w:val="22"/>
          <w:szCs w:val="22"/>
          <w:lang w:eastAsia="en-US"/>
        </w:rPr>
        <w:t>kvazisubtiekėjai</w:t>
      </w:r>
      <w:proofErr w:type="spellEnd"/>
      <w:r w:rsidRPr="00A24651">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w:t>
      </w:r>
      <w:r w:rsidRPr="00A24651">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4EF36F0E"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318DA504"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w:t>
      </w:r>
      <w:r w:rsidRPr="00DC1D7F">
        <w:rPr>
          <w:rFonts w:ascii="Times New Roman" w:hAnsi="Times New Roman" w:cs="Times New Roman"/>
          <w:sz w:val="22"/>
          <w:szCs w:val="22"/>
        </w:rPr>
        <w:lastRenderedPageBreak/>
        <w:t>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04BC9BB5" w14:textId="77777777" w:rsidR="00DF71D2" w:rsidRPr="00E43A7C" w:rsidRDefault="00DF71D2" w:rsidP="00DF71D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52AE34BC" w14:textId="7E4BD753" w:rsidR="00DF71D2" w:rsidRPr="003A1685" w:rsidRDefault="00DF71D2" w:rsidP="00DF71D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Tiekėjas, perkančiajai organizacijai paprašius, per</w:t>
      </w:r>
      <w:r>
        <w:rPr>
          <w:rFonts w:cs="Times New Roman"/>
          <w:color w:val="auto"/>
          <w:sz w:val="24"/>
          <w:szCs w:val="24"/>
          <w:lang w:val="lt-LT"/>
        </w:rPr>
        <w:t xml:space="preserve"> 5</w:t>
      </w:r>
      <w:r w:rsidRPr="003A1685">
        <w:rPr>
          <w:rFonts w:cs="Times New Roman"/>
          <w:color w:val="auto"/>
          <w:sz w:val="24"/>
          <w:szCs w:val="24"/>
          <w:lang w:val="lt-LT"/>
        </w:rPr>
        <w:t xml:space="preserve"> darbo dienas neatlygintinai turi perkančiajai organizacijai pristatyti  prekių pavyzdžius. Nepateikus pavyzdžių – pasiūlymai bus atmesti.</w:t>
      </w:r>
    </w:p>
    <w:p w14:paraId="002A032B" w14:textId="77777777" w:rsidR="00DF71D2" w:rsidRPr="003A1685" w:rsidRDefault="00DF71D2" w:rsidP="00DF71D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66C82731" w14:textId="77777777" w:rsidR="00DF71D2" w:rsidRPr="003A1685" w:rsidRDefault="00DF71D2" w:rsidP="00DF71D2">
      <w:pPr>
        <w:pStyle w:val="Body2"/>
        <w:numPr>
          <w:ilvl w:val="1"/>
          <w:numId w:val="23"/>
        </w:numPr>
        <w:tabs>
          <w:tab w:val="left" w:pos="851"/>
        </w:tabs>
        <w:rPr>
          <w:rFonts w:cs="Times New Roman"/>
          <w:color w:val="auto"/>
          <w:sz w:val="24"/>
          <w:szCs w:val="24"/>
          <w:lang w:val="lt-LT"/>
        </w:rPr>
      </w:pPr>
      <w:r w:rsidRPr="003A1685">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279460D7" w14:textId="77777777" w:rsidR="00DF71D2" w:rsidRPr="003A1685" w:rsidRDefault="00DF71D2" w:rsidP="00DF71D2">
      <w:pPr>
        <w:pStyle w:val="Body2"/>
        <w:numPr>
          <w:ilvl w:val="1"/>
          <w:numId w:val="23"/>
        </w:numPr>
        <w:tabs>
          <w:tab w:val="left" w:pos="851"/>
        </w:tabs>
        <w:rPr>
          <w:rFonts w:eastAsia="Calibri" w:cs="Times New Roman"/>
          <w:color w:val="auto"/>
          <w:sz w:val="24"/>
          <w:szCs w:val="24"/>
        </w:rPr>
      </w:pPr>
      <w:r w:rsidRPr="003A1685">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0253D866" w14:textId="4E92735D" w:rsidR="00DF71D2" w:rsidRDefault="00DF71D2" w:rsidP="00DF71D2">
      <w:pPr>
        <w:pStyle w:val="Body2"/>
        <w:numPr>
          <w:ilvl w:val="1"/>
          <w:numId w:val="23"/>
        </w:numPr>
        <w:tabs>
          <w:tab w:val="left" w:pos="851"/>
        </w:tabs>
        <w:rPr>
          <w:rFonts w:cs="Times New Roman"/>
          <w:color w:val="auto"/>
          <w:sz w:val="24"/>
          <w:szCs w:val="24"/>
          <w:lang w:val="lt-LT"/>
        </w:rPr>
      </w:pPr>
      <w:r w:rsidRPr="004E76CE">
        <w:rPr>
          <w:rFonts w:cs="Times New Roman"/>
          <w:color w:val="auto"/>
          <w:sz w:val="24"/>
          <w:szCs w:val="24"/>
          <w:lang w:val="lt-LT"/>
        </w:rPr>
        <w:t>Pateikti pavyzdžiai tiekėjams nebus grąžinami.</w:t>
      </w:r>
      <w:r w:rsidR="002909C8" w:rsidRPr="004E76CE">
        <w:rPr>
          <w:rFonts w:cs="Times New Roman"/>
          <w:color w:val="auto"/>
          <w:sz w:val="24"/>
          <w:szCs w:val="24"/>
          <w:lang w:val="lt-LT"/>
        </w:rPr>
        <w:t xml:space="preserve"> Pavyzdžiai pristatomi Liepojos g. 41, </w:t>
      </w:r>
      <w:r w:rsidR="002909C8">
        <w:rPr>
          <w:rFonts w:cs="Times New Roman"/>
          <w:color w:val="auto"/>
          <w:sz w:val="24"/>
          <w:szCs w:val="24"/>
          <w:lang w:val="lt-LT"/>
        </w:rPr>
        <w:t>Klaipėda</w:t>
      </w:r>
      <w:r w:rsidR="004E76CE">
        <w:rPr>
          <w:rFonts w:cs="Times New Roman"/>
          <w:color w:val="auto"/>
          <w:sz w:val="24"/>
          <w:szCs w:val="24"/>
          <w:lang w:val="lt-LT"/>
        </w:rPr>
        <w:t>, 4 a. vadybininkei administratorei.</w:t>
      </w:r>
    </w:p>
    <w:p w14:paraId="65A16EAF" w14:textId="77777777" w:rsidR="00DF71D2" w:rsidRDefault="00DF71D2" w:rsidP="00DF71D2">
      <w:pPr>
        <w:pStyle w:val="Body2"/>
        <w:tabs>
          <w:tab w:val="left" w:pos="851"/>
        </w:tabs>
        <w:rPr>
          <w:rFonts w:cs="Times New Roman"/>
          <w:color w:val="auto"/>
          <w:sz w:val="24"/>
          <w:szCs w:val="24"/>
          <w:lang w:val="lt-LT"/>
        </w:rPr>
      </w:pPr>
    </w:p>
    <w:p w14:paraId="3EFACD58" w14:textId="77777777" w:rsidR="00611F1A" w:rsidRDefault="00611F1A" w:rsidP="00E15665">
      <w:pPr>
        <w:spacing w:line="240" w:lineRule="auto"/>
        <w:ind w:firstLine="709"/>
        <w:rPr>
          <w:rFonts w:ascii="Times New Roman" w:hAnsi="Times New Roman" w:cs="Times New Roman"/>
          <w:sz w:val="22"/>
          <w:szCs w:val="22"/>
        </w:rPr>
      </w:pPr>
    </w:p>
    <w:p w14:paraId="7EBBC536" w14:textId="77777777" w:rsidR="00DF71D2" w:rsidRDefault="00DF71D2" w:rsidP="00E15665">
      <w:pPr>
        <w:spacing w:line="240" w:lineRule="auto"/>
        <w:ind w:firstLine="709"/>
        <w:rPr>
          <w:rFonts w:ascii="Times New Roman" w:hAnsi="Times New Roman" w:cs="Times New Roman"/>
          <w:sz w:val="22"/>
          <w:szCs w:val="22"/>
        </w:rPr>
      </w:pPr>
    </w:p>
    <w:p w14:paraId="2E2D087C" w14:textId="77777777" w:rsidR="00DF71D2" w:rsidRDefault="00DF71D2" w:rsidP="00E15665">
      <w:pPr>
        <w:spacing w:line="240" w:lineRule="auto"/>
        <w:ind w:firstLine="709"/>
        <w:rPr>
          <w:rFonts w:ascii="Times New Roman" w:hAnsi="Times New Roman" w:cs="Times New Roman"/>
          <w:sz w:val="22"/>
          <w:szCs w:val="22"/>
        </w:rPr>
      </w:pPr>
    </w:p>
    <w:p w14:paraId="17D23868" w14:textId="77777777" w:rsidR="00DF71D2" w:rsidRDefault="00DF71D2" w:rsidP="00E15665">
      <w:pPr>
        <w:spacing w:line="240" w:lineRule="auto"/>
        <w:ind w:firstLine="709"/>
        <w:rPr>
          <w:rFonts w:ascii="Times New Roman" w:hAnsi="Times New Roman" w:cs="Times New Roman"/>
          <w:sz w:val="22"/>
          <w:szCs w:val="22"/>
        </w:rPr>
      </w:pPr>
    </w:p>
    <w:p w14:paraId="59A9EF57" w14:textId="77777777" w:rsidR="00DF71D2" w:rsidRDefault="00DF71D2" w:rsidP="00E15665">
      <w:pPr>
        <w:spacing w:line="240" w:lineRule="auto"/>
        <w:ind w:firstLine="709"/>
        <w:rPr>
          <w:rFonts w:ascii="Times New Roman" w:hAnsi="Times New Roman" w:cs="Times New Roman"/>
          <w:sz w:val="22"/>
          <w:szCs w:val="22"/>
        </w:rPr>
      </w:pPr>
    </w:p>
    <w:p w14:paraId="7BE8591D" w14:textId="77777777" w:rsidR="00DF71D2" w:rsidRDefault="00DF71D2" w:rsidP="00E15665">
      <w:pPr>
        <w:spacing w:line="240" w:lineRule="auto"/>
        <w:ind w:firstLine="709"/>
        <w:rPr>
          <w:rFonts w:ascii="Times New Roman" w:hAnsi="Times New Roman" w:cs="Times New Roman"/>
          <w:sz w:val="22"/>
          <w:szCs w:val="22"/>
        </w:rPr>
      </w:pPr>
    </w:p>
    <w:p w14:paraId="3A9560D8" w14:textId="77777777" w:rsidR="00DF71D2" w:rsidRDefault="00DF71D2" w:rsidP="00E15665">
      <w:pPr>
        <w:spacing w:line="240" w:lineRule="auto"/>
        <w:ind w:firstLine="709"/>
        <w:rPr>
          <w:rFonts w:ascii="Times New Roman" w:hAnsi="Times New Roman" w:cs="Times New Roman"/>
          <w:sz w:val="22"/>
          <w:szCs w:val="22"/>
        </w:rPr>
      </w:pPr>
    </w:p>
    <w:p w14:paraId="15B6DAA1" w14:textId="77777777" w:rsidR="00DF71D2" w:rsidRDefault="00DF71D2" w:rsidP="00E15665">
      <w:pPr>
        <w:spacing w:line="240" w:lineRule="auto"/>
        <w:ind w:firstLine="709"/>
        <w:rPr>
          <w:rFonts w:ascii="Times New Roman" w:hAnsi="Times New Roman" w:cs="Times New Roman"/>
          <w:sz w:val="22"/>
          <w:szCs w:val="22"/>
        </w:rPr>
      </w:pPr>
    </w:p>
    <w:p w14:paraId="1F39D3FC" w14:textId="77777777" w:rsidR="00DF71D2" w:rsidRDefault="00DF71D2" w:rsidP="00E15665">
      <w:pPr>
        <w:spacing w:line="240" w:lineRule="auto"/>
        <w:ind w:firstLine="709"/>
        <w:rPr>
          <w:rFonts w:ascii="Times New Roman" w:hAnsi="Times New Roman" w:cs="Times New Roman"/>
          <w:sz w:val="22"/>
          <w:szCs w:val="22"/>
        </w:rPr>
      </w:pPr>
    </w:p>
    <w:p w14:paraId="1DC46C23" w14:textId="77777777" w:rsidR="00DF71D2" w:rsidRDefault="00DF71D2" w:rsidP="00E15665">
      <w:pPr>
        <w:spacing w:line="240" w:lineRule="auto"/>
        <w:ind w:firstLine="709"/>
        <w:rPr>
          <w:rFonts w:ascii="Times New Roman" w:hAnsi="Times New Roman" w:cs="Times New Roman"/>
          <w:sz w:val="22"/>
          <w:szCs w:val="22"/>
        </w:rPr>
      </w:pPr>
    </w:p>
    <w:p w14:paraId="13096D80" w14:textId="77777777" w:rsidR="00DF71D2" w:rsidRDefault="00DF71D2" w:rsidP="00E15665">
      <w:pPr>
        <w:spacing w:line="240" w:lineRule="auto"/>
        <w:ind w:firstLine="709"/>
        <w:rPr>
          <w:rFonts w:ascii="Times New Roman" w:hAnsi="Times New Roman" w:cs="Times New Roman"/>
          <w:sz w:val="22"/>
          <w:szCs w:val="22"/>
        </w:rPr>
      </w:pPr>
    </w:p>
    <w:p w14:paraId="6C5FF6BD" w14:textId="77777777" w:rsidR="00DF71D2" w:rsidRDefault="00DF71D2" w:rsidP="00E15665">
      <w:pPr>
        <w:spacing w:line="240" w:lineRule="auto"/>
        <w:ind w:firstLine="709"/>
        <w:rPr>
          <w:rFonts w:ascii="Times New Roman" w:hAnsi="Times New Roman" w:cs="Times New Roman"/>
          <w:sz w:val="22"/>
          <w:szCs w:val="22"/>
        </w:rPr>
      </w:pPr>
    </w:p>
    <w:p w14:paraId="149AE850" w14:textId="77777777" w:rsidR="00DF71D2" w:rsidRDefault="00DF71D2" w:rsidP="00E15665">
      <w:pPr>
        <w:spacing w:line="240" w:lineRule="auto"/>
        <w:ind w:firstLine="709"/>
        <w:rPr>
          <w:rFonts w:ascii="Times New Roman" w:hAnsi="Times New Roman" w:cs="Times New Roman"/>
          <w:sz w:val="22"/>
          <w:szCs w:val="22"/>
        </w:rPr>
      </w:pPr>
    </w:p>
    <w:p w14:paraId="4063B4D5" w14:textId="77777777" w:rsidR="00DF71D2" w:rsidRDefault="00DF71D2" w:rsidP="00E15665">
      <w:pPr>
        <w:spacing w:line="240" w:lineRule="auto"/>
        <w:ind w:firstLine="709"/>
        <w:rPr>
          <w:rFonts w:ascii="Times New Roman" w:hAnsi="Times New Roman" w:cs="Times New Roman"/>
          <w:sz w:val="22"/>
          <w:szCs w:val="22"/>
        </w:rPr>
      </w:pPr>
    </w:p>
    <w:p w14:paraId="12FD1AF6" w14:textId="77777777" w:rsidR="00DF71D2" w:rsidRDefault="00DF71D2" w:rsidP="00E15665">
      <w:pPr>
        <w:spacing w:line="240" w:lineRule="auto"/>
        <w:ind w:firstLine="709"/>
        <w:rPr>
          <w:rFonts w:ascii="Times New Roman" w:hAnsi="Times New Roman" w:cs="Times New Roman"/>
          <w:sz w:val="22"/>
          <w:szCs w:val="22"/>
        </w:rPr>
      </w:pPr>
    </w:p>
    <w:p w14:paraId="0579679D" w14:textId="77777777" w:rsidR="00DF71D2" w:rsidRDefault="00DF71D2" w:rsidP="00E15665">
      <w:pPr>
        <w:spacing w:line="240" w:lineRule="auto"/>
        <w:ind w:firstLine="709"/>
        <w:rPr>
          <w:rFonts w:ascii="Times New Roman" w:hAnsi="Times New Roman" w:cs="Times New Roman"/>
          <w:sz w:val="22"/>
          <w:szCs w:val="22"/>
        </w:rPr>
      </w:pPr>
    </w:p>
    <w:p w14:paraId="2005AFF6" w14:textId="77777777" w:rsidR="00DF71D2" w:rsidRDefault="00DF71D2" w:rsidP="00E15665">
      <w:pPr>
        <w:spacing w:line="240" w:lineRule="auto"/>
        <w:ind w:firstLine="709"/>
        <w:rPr>
          <w:rFonts w:ascii="Times New Roman" w:hAnsi="Times New Roman" w:cs="Times New Roman"/>
          <w:sz w:val="22"/>
          <w:szCs w:val="22"/>
        </w:rPr>
      </w:pPr>
    </w:p>
    <w:p w14:paraId="3FECFEFE" w14:textId="77777777" w:rsidR="00DF71D2" w:rsidRDefault="00DF71D2" w:rsidP="00E15665">
      <w:pPr>
        <w:spacing w:line="240" w:lineRule="auto"/>
        <w:ind w:firstLine="709"/>
        <w:rPr>
          <w:rFonts w:ascii="Times New Roman" w:hAnsi="Times New Roman" w:cs="Times New Roman"/>
          <w:sz w:val="22"/>
          <w:szCs w:val="22"/>
        </w:rPr>
      </w:pPr>
    </w:p>
    <w:p w14:paraId="372A6B98" w14:textId="77777777" w:rsidR="00DF71D2" w:rsidRDefault="00DF71D2" w:rsidP="00E15665">
      <w:pPr>
        <w:spacing w:line="240" w:lineRule="auto"/>
        <w:ind w:firstLine="709"/>
        <w:rPr>
          <w:rFonts w:ascii="Times New Roman" w:hAnsi="Times New Roman" w:cs="Times New Roman"/>
          <w:sz w:val="22"/>
          <w:szCs w:val="22"/>
        </w:rPr>
      </w:pPr>
    </w:p>
    <w:p w14:paraId="36565215" w14:textId="77777777" w:rsidR="00DF71D2" w:rsidRDefault="00DF71D2" w:rsidP="00E15665">
      <w:pPr>
        <w:spacing w:line="240" w:lineRule="auto"/>
        <w:ind w:firstLine="709"/>
        <w:rPr>
          <w:rFonts w:ascii="Times New Roman" w:hAnsi="Times New Roman" w:cs="Times New Roman"/>
          <w:sz w:val="22"/>
          <w:szCs w:val="22"/>
        </w:rPr>
      </w:pPr>
    </w:p>
    <w:p w14:paraId="623B50B6" w14:textId="77777777" w:rsidR="00DF71D2" w:rsidRDefault="00DF71D2" w:rsidP="00E15665">
      <w:pPr>
        <w:spacing w:line="240" w:lineRule="auto"/>
        <w:ind w:firstLine="709"/>
        <w:rPr>
          <w:rFonts w:ascii="Times New Roman" w:hAnsi="Times New Roman" w:cs="Times New Roman"/>
          <w:sz w:val="22"/>
          <w:szCs w:val="22"/>
        </w:rPr>
      </w:pPr>
    </w:p>
    <w:p w14:paraId="0C05AD61" w14:textId="77777777" w:rsidR="00DF71D2" w:rsidRDefault="00DF71D2" w:rsidP="00E15665">
      <w:pPr>
        <w:spacing w:line="240" w:lineRule="auto"/>
        <w:ind w:firstLine="709"/>
        <w:rPr>
          <w:rFonts w:ascii="Times New Roman" w:hAnsi="Times New Roman" w:cs="Times New Roman"/>
          <w:sz w:val="22"/>
          <w:szCs w:val="22"/>
        </w:rPr>
      </w:pPr>
    </w:p>
    <w:p w14:paraId="74E9A3D9" w14:textId="77777777" w:rsidR="00611F1A" w:rsidRDefault="00611F1A" w:rsidP="00E15665">
      <w:pPr>
        <w:spacing w:line="240" w:lineRule="auto"/>
        <w:ind w:firstLine="709"/>
        <w:rPr>
          <w:rFonts w:ascii="Times New Roman" w:hAnsi="Times New Roman" w:cs="Times New Roman"/>
          <w:sz w:val="22"/>
          <w:szCs w:val="22"/>
        </w:r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7" w:name="_Toc165356984"/>
      <w:bookmarkEnd w:id="3"/>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8" w:name="_Ref38539939"/>
      <w:bookmarkStart w:id="49" w:name="_Ref38541068"/>
      <w:bookmarkStart w:id="50" w:name="_Ref38885053"/>
      <w:bookmarkStart w:id="51"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2"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8"/>
      <w:bookmarkEnd w:id="49"/>
      <w:bookmarkEnd w:id="50"/>
      <w:bookmarkEnd w:id="51"/>
      <w:bookmarkEnd w:id="52"/>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3" w:name="_Ref38285444"/>
      <w:bookmarkStart w:id="54"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5"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3"/>
      <w:bookmarkEnd w:id="54"/>
      <w:bookmarkEnd w:id="55"/>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5"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7"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18"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19"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1"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yperlink"/>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9"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3"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3"/>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Default="008400F7" w:rsidP="00E957CD">
      <w:pPr>
        <w:jc w:val="both"/>
        <w:rPr>
          <w:rFonts w:ascii="Times New Roman" w:hAnsi="Times New Roman" w:cs="Times New Roman"/>
          <w:sz w:val="22"/>
          <w:szCs w:val="22"/>
        </w:rPr>
      </w:pPr>
    </w:p>
    <w:p w14:paraId="78A8441D" w14:textId="77777777" w:rsidR="0078547A" w:rsidRDefault="0078547A" w:rsidP="00E957CD">
      <w:pPr>
        <w:jc w:val="both"/>
        <w:rPr>
          <w:rFonts w:ascii="Times New Roman" w:hAnsi="Times New Roman" w:cs="Times New Roman"/>
          <w:sz w:val="22"/>
          <w:szCs w:val="22"/>
        </w:rPr>
      </w:pPr>
    </w:p>
    <w:p w14:paraId="5FD4C5E9" w14:textId="77777777" w:rsidR="0078547A" w:rsidRPr="00C44260" w:rsidRDefault="0078547A"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4" w:name="_Toc126333948"/>
      <w:bookmarkStart w:id="75" w:name="_Toc165356993"/>
      <w:bookmarkEnd w:id="68"/>
      <w:bookmarkEnd w:id="69"/>
      <w:bookmarkEnd w:id="70"/>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4"/>
      <w:bookmarkEnd w:id="75"/>
    </w:p>
    <w:p w14:paraId="64CF300F" w14:textId="77777777" w:rsidR="00FA78CB" w:rsidRPr="00FA78CB" w:rsidRDefault="00FA78CB" w:rsidP="00FA78CB">
      <w:pPr>
        <w:rPr>
          <w:sz w:val="24"/>
          <w:szCs w:val="24"/>
        </w:rPr>
      </w:pPr>
    </w:p>
    <w:p w14:paraId="7B73AED3" w14:textId="77777777" w:rsidR="00FA78CB"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891B2D0"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53241EC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C0FE828"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EEF3009"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D3B01A1"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5B60ADC2"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A47CCF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30C2EA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C346B8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D5991D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4B99AE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A7911F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10B0F8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DBB823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242149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9F3A867"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B4E1B9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A47F04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7D7772F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302F0C7"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59DF391"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9ADC14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4238A2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5DDC166D"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1B4526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FE1E4A2"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128A43D9"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EF2574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CDA5707"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1F51090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269BAC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10FAF2F5"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4A0537C"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4AFB11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2323C96"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27749B4"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1EC9088"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6334F8F0"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464ECBA"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F2C4D3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0CF68DE8"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7BC8C83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E2EF66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7B24699F"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D938F53"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B77B18E"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49A13B3B"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4860D29" w14:textId="77777777" w:rsidR="0078547A"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2060EE87" w14:textId="77777777" w:rsidR="0078547A" w:rsidRPr="002B68CF" w:rsidRDefault="0078547A" w:rsidP="00FA78CB">
      <w:pPr>
        <w:pStyle w:val="ListParagraph"/>
        <w:tabs>
          <w:tab w:val="left" w:pos="851"/>
        </w:tabs>
        <w:spacing w:after="0" w:line="240" w:lineRule="auto"/>
        <w:ind w:left="567"/>
        <w:jc w:val="both"/>
        <w:rPr>
          <w:rFonts w:ascii="Times New Roman" w:hAnsi="Times New Roman" w:cs="Times New Roman"/>
          <w:sz w:val="22"/>
          <w:szCs w:val="22"/>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6"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6"/>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5A9141D5" w:rsidR="00E85C27" w:rsidRDefault="0078547A" w:rsidP="0078547A">
      <w:pPr>
        <w:jc w:val="right"/>
        <w:rPr>
          <w:rFonts w:ascii="Times New Roman" w:eastAsia="Calibri" w:hAnsi="Times New Roman" w:cs="Times New Roman"/>
          <w:i/>
          <w:iCs/>
          <w:color w:val="FF0000"/>
          <w:sz w:val="24"/>
          <w:szCs w:val="24"/>
        </w:rPr>
      </w:pPr>
      <w:r>
        <w:rPr>
          <w:rFonts w:cstheme="minorHAnsi"/>
          <w:sz w:val="22"/>
          <w:szCs w:val="22"/>
          <w:shd w:val="clear" w:color="auto" w:fill="E6E6E6"/>
        </w:rPr>
        <w:lastRenderedPageBreak/>
        <w:t>Pirkimo sąlygų 11 priedas „Panaudos sutarties projektas</w:t>
      </w: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7661B749" w14:textId="77777777" w:rsidR="0078547A" w:rsidRDefault="0078547A" w:rsidP="0078547A">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9C8"/>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640"/>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6CE"/>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1F1A"/>
    <w:rsid w:val="00612434"/>
    <w:rsid w:val="006125EA"/>
    <w:rsid w:val="00612B8F"/>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A20"/>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3CC"/>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9E"/>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7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4825"/>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E2F"/>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D8"/>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4F59"/>
    <w:rsid w:val="00DF5388"/>
    <w:rsid w:val="00DF5705"/>
    <w:rsid w:val="00DF58E2"/>
    <w:rsid w:val="00DF6558"/>
    <w:rsid w:val="00DF690E"/>
    <w:rsid w:val="00DF6A09"/>
    <w:rsid w:val="00DF6C8C"/>
    <w:rsid w:val="00DF71D2"/>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28</Pages>
  <Words>31438</Words>
  <Characters>17921</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23</cp:revision>
  <cp:lastPrinted>2024-04-30T06:37:00Z</cp:lastPrinted>
  <dcterms:created xsi:type="dcterms:W3CDTF">2025-05-16T08:50:00Z</dcterms:created>
  <dcterms:modified xsi:type="dcterms:W3CDTF">2026-03-25T08:28:00Z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