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3783D9F3"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F1319B">
        <w:rPr>
          <w:rFonts w:ascii="Cambria" w:eastAsia="Arial" w:hAnsi="Cambria" w:cstheme="minorHAnsi"/>
          <w:kern w:val="2"/>
          <w:sz w:val="20"/>
          <w:lang w:val="en-US"/>
        </w:rPr>
        <w:t>977</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20B05DC7" w:rsidR="00753252" w:rsidRPr="00314DC7" w:rsidRDefault="00F1319B">
            <w:pPr>
              <w:jc w:val="both"/>
              <w:rPr>
                <w:rFonts w:ascii="Cambria" w:hAnsi="Cambria"/>
                <w:b/>
                <w:kern w:val="2"/>
                <w:sz w:val="20"/>
              </w:rPr>
            </w:pPr>
            <w:r w:rsidRPr="00F1319B">
              <w:rPr>
                <w:rFonts w:ascii="Cambria" w:hAnsi="Cambria" w:cstheme="minorHAnsi"/>
                <w:kern w:val="2"/>
                <w:sz w:val="20"/>
              </w:rPr>
              <w:t>Automatinė kaulų amžiaus nustatymo programa</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8D6412" w:rsidRPr="00314DC7" w14:paraId="20D1E3ED" w14:textId="77777777" w:rsidTr="00925F52">
        <w:tc>
          <w:tcPr>
            <w:tcW w:w="2689" w:type="dxa"/>
            <w:vMerge/>
          </w:tcPr>
          <w:p w14:paraId="60723170" w14:textId="77777777" w:rsidR="008D6412" w:rsidRPr="00314DC7" w:rsidRDefault="008D6412" w:rsidP="008D6412">
            <w:pPr>
              <w:rPr>
                <w:rFonts w:ascii="Cambria" w:hAnsi="Cambria"/>
                <w:kern w:val="2"/>
                <w:sz w:val="20"/>
              </w:rPr>
            </w:pPr>
          </w:p>
        </w:tc>
        <w:tc>
          <w:tcPr>
            <w:tcW w:w="3118" w:type="dxa"/>
          </w:tcPr>
          <w:p w14:paraId="17DF8419" w14:textId="77777777" w:rsidR="008D6412" w:rsidRPr="00314DC7" w:rsidRDefault="008D6412" w:rsidP="008D6412">
            <w:pPr>
              <w:rPr>
                <w:rFonts w:ascii="Cambria" w:hAnsi="Cambria"/>
                <w:kern w:val="2"/>
                <w:sz w:val="20"/>
              </w:rPr>
            </w:pPr>
            <w:r w:rsidRPr="00314DC7">
              <w:rPr>
                <w:rFonts w:ascii="Cambria" w:hAnsi="Cambria"/>
                <w:kern w:val="2"/>
                <w:sz w:val="20"/>
              </w:rPr>
              <w:t>1.1.9. Šalies atstovas</w:t>
            </w:r>
          </w:p>
        </w:tc>
        <w:tc>
          <w:tcPr>
            <w:tcW w:w="3751" w:type="dxa"/>
          </w:tcPr>
          <w:p w14:paraId="74DB6C2D" w14:textId="353C68A6" w:rsidR="008D6412" w:rsidRPr="00314DC7" w:rsidRDefault="008D6412" w:rsidP="008D6412">
            <w:pPr>
              <w:rPr>
                <w:rFonts w:ascii="Cambria" w:hAnsi="Cambria"/>
                <w:kern w:val="2"/>
                <w:sz w:val="20"/>
              </w:rPr>
            </w:pPr>
            <w:r w:rsidRPr="00E80CDE">
              <w:rPr>
                <w:rFonts w:ascii="Cambria" w:hAnsi="Cambria" w:cstheme="minorHAnsi"/>
                <w:kern w:val="2"/>
                <w:sz w:val="20"/>
              </w:rPr>
              <w:t>Generalinis direktorius prof. habil. dr. Renaldas Jurkevičius</w:t>
            </w:r>
          </w:p>
        </w:tc>
      </w:tr>
      <w:tr w:rsidR="008D6412" w:rsidRPr="00314DC7" w14:paraId="693ED593" w14:textId="77777777" w:rsidTr="00925F52">
        <w:tc>
          <w:tcPr>
            <w:tcW w:w="2689" w:type="dxa"/>
            <w:vMerge/>
          </w:tcPr>
          <w:p w14:paraId="2F21AC07" w14:textId="77777777" w:rsidR="008D6412" w:rsidRPr="00314DC7" w:rsidRDefault="008D6412" w:rsidP="008D6412">
            <w:pPr>
              <w:rPr>
                <w:rFonts w:ascii="Cambria" w:hAnsi="Cambria"/>
                <w:kern w:val="2"/>
                <w:sz w:val="20"/>
              </w:rPr>
            </w:pPr>
          </w:p>
        </w:tc>
        <w:tc>
          <w:tcPr>
            <w:tcW w:w="3118" w:type="dxa"/>
          </w:tcPr>
          <w:p w14:paraId="39D15379" w14:textId="77777777" w:rsidR="008D6412" w:rsidRPr="00314DC7" w:rsidRDefault="008D6412" w:rsidP="008D6412">
            <w:pPr>
              <w:rPr>
                <w:rFonts w:ascii="Cambria" w:hAnsi="Cambria"/>
                <w:kern w:val="2"/>
                <w:sz w:val="20"/>
              </w:rPr>
            </w:pPr>
            <w:r w:rsidRPr="00314DC7">
              <w:rPr>
                <w:rFonts w:ascii="Cambria" w:hAnsi="Cambria"/>
                <w:kern w:val="2"/>
                <w:sz w:val="20"/>
              </w:rPr>
              <w:t>1.1.10. Atstovavimo pagrindas</w:t>
            </w:r>
          </w:p>
        </w:tc>
        <w:tc>
          <w:tcPr>
            <w:tcW w:w="3751" w:type="dxa"/>
          </w:tcPr>
          <w:p w14:paraId="2E7C1503" w14:textId="0EE353C1" w:rsidR="008D6412" w:rsidRPr="00314DC7" w:rsidRDefault="008D6412" w:rsidP="008D6412">
            <w:pPr>
              <w:rPr>
                <w:rFonts w:ascii="Cambria" w:hAnsi="Cambria"/>
                <w:kern w:val="2"/>
                <w:sz w:val="20"/>
              </w:rPr>
            </w:pPr>
            <w:r w:rsidRPr="00E80CDE">
              <w:rPr>
                <w:rFonts w:ascii="Cambria" w:hAnsi="Cambria" w:cstheme="minorHAnsi"/>
                <w:kern w:val="2"/>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A913B59"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F1319B" w:rsidRPr="00F1319B">
              <w:rPr>
                <w:rFonts w:ascii="Cambria" w:hAnsi="Cambria" w:cstheme="minorHAnsi"/>
                <w:kern w:val="2"/>
                <w:sz w:val="20"/>
              </w:rPr>
              <w:t>Automatin</w:t>
            </w:r>
            <w:r w:rsidR="00F1319B">
              <w:rPr>
                <w:rFonts w:ascii="Cambria" w:hAnsi="Cambria" w:cstheme="minorHAnsi"/>
                <w:kern w:val="2"/>
                <w:sz w:val="20"/>
              </w:rPr>
              <w:t>ę</w:t>
            </w:r>
            <w:r w:rsidR="00F1319B" w:rsidRPr="00F1319B">
              <w:rPr>
                <w:rFonts w:ascii="Cambria" w:hAnsi="Cambria" w:cstheme="minorHAnsi"/>
                <w:kern w:val="2"/>
                <w:sz w:val="20"/>
              </w:rPr>
              <w:t xml:space="preserve"> kaulų amžiaus nustatymo program</w:t>
            </w:r>
            <w:r w:rsidR="00F1319B">
              <w:rPr>
                <w:rFonts w:ascii="Cambria" w:hAnsi="Cambria" w:cstheme="minorHAnsi"/>
                <w:kern w:val="2"/>
                <w:sz w:val="20"/>
              </w:rPr>
              <w:t>ą</w:t>
            </w:r>
            <w:r w:rsidR="00F1319B" w:rsidRPr="00F1319B">
              <w:rPr>
                <w:rFonts w:ascii="Cambria" w:hAnsi="Cambria" w:cstheme="minorHAnsi"/>
                <w:kern w:val="2"/>
                <w:sz w:val="20"/>
              </w:rPr>
              <w:t xml:space="preserve">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1D2AFF84" w:rsidR="00451CB8" w:rsidRDefault="00F1319B">
            <w:pPr>
              <w:rPr>
                <w:rFonts w:ascii="Cambria" w:hAnsi="Cambria" w:cstheme="minorHAnsi"/>
                <w:kern w:val="2"/>
                <w:sz w:val="20"/>
              </w:rPr>
            </w:pPr>
            <w:r w:rsidRPr="00F1319B">
              <w:rPr>
                <w:rFonts w:ascii="Cambria" w:hAnsi="Cambria" w:cstheme="minorHAnsi"/>
                <w:kern w:val="2"/>
                <w:sz w:val="20"/>
              </w:rPr>
              <w:t>Automatinė kaulų amžiaus nustatymo programa</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C96FA51"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F1319B">
              <w:rPr>
                <w:rFonts w:ascii="Cambria" w:hAnsi="Cambria" w:cstheme="minorHAnsi"/>
                <w:kern w:val="2"/>
                <w:sz w:val="20"/>
              </w:rPr>
              <w:t>a</w:t>
            </w:r>
            <w:r w:rsidR="00F1319B" w:rsidRPr="00F1319B">
              <w:rPr>
                <w:rFonts w:ascii="Cambria" w:hAnsi="Cambria" w:cstheme="minorHAnsi"/>
                <w:kern w:val="2"/>
                <w:sz w:val="20"/>
              </w:rPr>
              <w:t>utomatin</w:t>
            </w:r>
            <w:r w:rsidR="00F1319B">
              <w:rPr>
                <w:rFonts w:ascii="Cambria" w:hAnsi="Cambria" w:cstheme="minorHAnsi"/>
                <w:kern w:val="2"/>
                <w:sz w:val="20"/>
              </w:rPr>
              <w:t>ę</w:t>
            </w:r>
            <w:r w:rsidR="00F1319B" w:rsidRPr="00F1319B">
              <w:rPr>
                <w:rFonts w:ascii="Cambria" w:hAnsi="Cambria" w:cstheme="minorHAnsi"/>
                <w:kern w:val="2"/>
                <w:sz w:val="20"/>
              </w:rPr>
              <w:t xml:space="preserve"> kaulų amžiaus nustatymo program</w:t>
            </w:r>
            <w:r w:rsidR="00F1319B">
              <w:rPr>
                <w:rFonts w:ascii="Cambria" w:hAnsi="Cambria" w:cstheme="minorHAnsi"/>
                <w:kern w:val="2"/>
                <w:sz w:val="20"/>
              </w:rPr>
              <w:t>ą</w:t>
            </w:r>
            <w:r w:rsidR="00F1319B" w:rsidRPr="00F1319B">
              <w:rPr>
                <w:rFonts w:ascii="Cambria" w:hAnsi="Cambria" w:cstheme="minorHAnsi"/>
                <w:kern w:val="2"/>
                <w:sz w:val="20"/>
              </w:rPr>
              <w:t xml:space="preserve"> </w:t>
            </w:r>
            <w:r w:rsidR="001904FB">
              <w:rPr>
                <w:rFonts w:ascii="Cambria" w:hAnsi="Cambria" w:cstheme="minorHAnsi"/>
                <w:kern w:val="2"/>
                <w:sz w:val="20"/>
              </w:rPr>
              <w:t xml:space="preserve">turi </w:t>
            </w:r>
            <w:r w:rsidRPr="00314DC7">
              <w:rPr>
                <w:rFonts w:ascii="Cambria" w:hAnsi="Cambria" w:cstheme="minorHAnsi"/>
                <w:kern w:val="2"/>
                <w:sz w:val="20"/>
              </w:rPr>
              <w:t>pristatyti</w:t>
            </w:r>
            <w:r w:rsidR="001904FB">
              <w:rPr>
                <w:rFonts w:ascii="Cambria" w:hAnsi="Cambria" w:cstheme="minorHAnsi"/>
                <w:kern w:val="2"/>
                <w:sz w:val="20"/>
              </w:rPr>
              <w:t xml:space="preserve"> </w:t>
            </w:r>
            <w:r w:rsidRPr="00314DC7">
              <w:rPr>
                <w:rFonts w:ascii="Cambria" w:hAnsi="Cambria" w:cstheme="minorHAnsi"/>
                <w:b/>
                <w:bCs/>
                <w:kern w:val="2"/>
                <w:sz w:val="20"/>
              </w:rPr>
              <w:t>ne vėliau kaip per</w:t>
            </w:r>
            <w:r w:rsidR="008D6412">
              <w:rPr>
                <w:rFonts w:ascii="Cambria" w:hAnsi="Cambria" w:cstheme="minorHAnsi"/>
                <w:b/>
                <w:bCs/>
                <w:kern w:val="2"/>
                <w:sz w:val="20"/>
              </w:rPr>
              <w:t xml:space="preserve"> </w:t>
            </w:r>
            <w:r w:rsidR="001904FB">
              <w:rPr>
                <w:rFonts w:ascii="Cambria" w:hAnsi="Cambria" w:cstheme="minorHAnsi"/>
                <w:kern w:val="2"/>
                <w:sz w:val="20"/>
              </w:rPr>
              <w:t>15</w:t>
            </w:r>
            <w:r w:rsidRPr="00314DC7">
              <w:rPr>
                <w:rFonts w:ascii="Cambria" w:hAnsi="Cambria" w:cstheme="minorHAnsi"/>
                <w:kern w:val="2"/>
                <w:sz w:val="20"/>
              </w:rPr>
              <w:t xml:space="preserve"> (</w:t>
            </w:r>
            <w:r w:rsidR="001904FB">
              <w:rPr>
                <w:rFonts w:ascii="Cambria" w:hAnsi="Cambria" w:cstheme="minorHAnsi"/>
                <w:kern w:val="2"/>
                <w:sz w:val="20"/>
              </w:rPr>
              <w:t>penkiolika</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44399208" w:rsidR="00753252" w:rsidRPr="00314DC7" w:rsidRDefault="008A5D42">
            <w:pPr>
              <w:rPr>
                <w:rFonts w:ascii="Cambria" w:hAnsi="Cambria"/>
                <w:kern w:val="2"/>
                <w:sz w:val="20"/>
              </w:rPr>
            </w:pPr>
            <w:r w:rsidRPr="00314DC7">
              <w:rPr>
                <w:rFonts w:ascii="Cambria" w:hAnsi="Cambria"/>
                <w:kern w:val="2"/>
                <w:sz w:val="20"/>
              </w:rPr>
              <w:t>Kartu su Prekėmis (</w:t>
            </w:r>
            <w:r w:rsidR="001904FB" w:rsidRPr="001904FB">
              <w:rPr>
                <w:rFonts w:ascii="Cambria" w:hAnsi="Cambria" w:cstheme="minorHAnsi"/>
                <w:kern w:val="2"/>
                <w:sz w:val="20"/>
              </w:rPr>
              <w:t>Automatinė kaulų amžiaus nustatymo programa</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lastRenderedPageBreak/>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483210"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3AD7674" w:rsidR="00753252" w:rsidRPr="00314DC7" w:rsidRDefault="00182C20">
            <w:pPr>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451CB8">
              <w:rPr>
                <w:rFonts w:ascii="Cambria" w:hAnsi="Cambria"/>
                <w:kern w:val="2"/>
                <w:sz w:val="20"/>
                <w:u w:val="single"/>
              </w:rPr>
              <w:t xml:space="preserve">ne </w:t>
            </w:r>
            <w:r w:rsidR="008D6412">
              <w:rPr>
                <w:rFonts w:ascii="Cambria" w:hAnsi="Cambria"/>
                <w:kern w:val="2"/>
                <w:sz w:val="20"/>
                <w:u w:val="single"/>
              </w:rPr>
              <w:t xml:space="preserve">trumpesnis kaip </w:t>
            </w:r>
            <w:r w:rsidR="001904FB">
              <w:rPr>
                <w:rFonts w:ascii="Cambria" w:hAnsi="Cambria"/>
                <w:kern w:val="2"/>
                <w:sz w:val="20"/>
                <w:u w:val="single"/>
              </w:rPr>
              <w:t>24</w:t>
            </w:r>
            <w:r w:rsidR="008D6412">
              <w:rPr>
                <w:rFonts w:ascii="Cambria" w:hAnsi="Cambria"/>
                <w:kern w:val="2"/>
                <w:sz w:val="20"/>
                <w:u w:val="single"/>
              </w:rPr>
              <w:t xml:space="preserve"> (</w:t>
            </w:r>
            <w:r w:rsidR="001904FB">
              <w:rPr>
                <w:rFonts w:ascii="Cambria" w:hAnsi="Cambria"/>
                <w:kern w:val="2"/>
                <w:sz w:val="20"/>
                <w:u w:val="single"/>
              </w:rPr>
              <w:t>dvidešimt keturi</w:t>
            </w:r>
            <w:r w:rsidR="008D6412">
              <w:rPr>
                <w:rFonts w:ascii="Cambria" w:hAnsi="Cambria"/>
                <w:kern w:val="2"/>
                <w:sz w:val="20"/>
                <w:u w:val="single"/>
              </w:rPr>
              <w:t xml:space="preserve">) </w:t>
            </w:r>
            <w:r w:rsidR="001904FB">
              <w:rPr>
                <w:rFonts w:ascii="Cambria" w:hAnsi="Cambria"/>
                <w:kern w:val="2"/>
                <w:sz w:val="20"/>
                <w:u w:val="single"/>
              </w:rPr>
              <w:t>mėnesiai</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DE9355" w14:textId="77777777" w:rsidR="008D6412" w:rsidRPr="00314DC7" w:rsidRDefault="008D6412" w:rsidP="008D6412">
            <w:pPr>
              <w:rPr>
                <w:rFonts w:ascii="Cambria" w:hAnsi="Cambria"/>
                <w:kern w:val="2"/>
                <w:sz w:val="20"/>
              </w:rPr>
            </w:pPr>
            <w:r w:rsidRPr="00314DC7">
              <w:rPr>
                <w:rFonts w:ascii="Cambria" w:hAnsi="Cambria"/>
                <w:kern w:val="2"/>
                <w:sz w:val="20"/>
              </w:rPr>
              <w:t xml:space="preserve">Netaikoma </w:t>
            </w:r>
          </w:p>
          <w:p w14:paraId="004934D1" w14:textId="0D3A8A76" w:rsidR="00753252" w:rsidRPr="00314DC7" w:rsidRDefault="00753252">
            <w:pPr>
              <w:rPr>
                <w:rFonts w:ascii="Cambria" w:hAnsi="Cambria"/>
                <w:sz w:val="20"/>
              </w:rPr>
            </w:pP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lastRenderedPageBreak/>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12F9D240"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8E2070">
              <w:rPr>
                <w:rFonts w:ascii="Cambria" w:hAnsi="Cambria" w:cstheme="minorHAnsi"/>
                <w:color w:val="000000"/>
                <w:kern w:val="2"/>
                <w:sz w:val="20"/>
              </w:rPr>
              <w:t>24</w:t>
            </w:r>
            <w:r w:rsidRPr="00314DC7">
              <w:rPr>
                <w:rFonts w:ascii="Cambria" w:hAnsi="Cambria" w:cstheme="minorHAnsi"/>
                <w:color w:val="000000"/>
                <w:kern w:val="2"/>
                <w:sz w:val="20"/>
              </w:rPr>
              <w:t xml:space="preserve"> (</w:t>
            </w:r>
            <w:r w:rsidR="008E2070">
              <w:rPr>
                <w:rFonts w:ascii="Cambria" w:hAnsi="Cambria" w:cstheme="minorHAnsi"/>
                <w:color w:val="000000"/>
                <w:kern w:val="2"/>
                <w:sz w:val="20"/>
              </w:rPr>
              <w:t>dvidešimt keturi</w:t>
            </w:r>
            <w:bookmarkStart w:id="0" w:name="_GoBack"/>
            <w:bookmarkEnd w:id="0"/>
            <w:r w:rsidRPr="00314DC7">
              <w:rPr>
                <w:rFonts w:ascii="Cambria" w:hAnsi="Cambria" w:cstheme="minorHAnsi"/>
                <w:color w:val="000000"/>
                <w:kern w:val="2"/>
                <w:sz w:val="20"/>
              </w:rPr>
              <w:t>)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lastRenderedPageBreak/>
              <w:t>12.2.8. Tiekėjas 2 (du) kartus pažeidžia esminę Sutarties sąlygą.</w:t>
            </w:r>
          </w:p>
        </w:tc>
      </w:tr>
      <w:tr w:rsidR="00753252" w:rsidRPr="00314DC7" w14:paraId="0D694DC5" w14:textId="77777777">
        <w:trPr>
          <w:trHeight w:val="300"/>
        </w:trPr>
        <w:tc>
          <w:tcPr>
            <w:tcW w:w="9535" w:type="dxa"/>
            <w:gridSpan w:val="5"/>
          </w:tcPr>
          <w:p w14:paraId="635D4D3F" w14:textId="35F0CAE0"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B210BA"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E7E3CB4" w14:textId="77777777" w:rsidR="00B210BA" w:rsidRPr="00E80CDE" w:rsidRDefault="00B210BA" w:rsidP="00B210BA">
            <w:pPr>
              <w:jc w:val="center"/>
              <w:rPr>
                <w:rFonts w:ascii="Cambria" w:hAnsi="Cambria"/>
                <w:kern w:val="2"/>
                <w:sz w:val="20"/>
              </w:rPr>
            </w:pPr>
            <w:r w:rsidRPr="00E80CDE">
              <w:rPr>
                <w:rFonts w:ascii="Cambria" w:hAnsi="Cambria"/>
                <w:kern w:val="2"/>
                <w:sz w:val="20"/>
              </w:rPr>
              <w:t xml:space="preserve">Generalinis direktorius </w:t>
            </w:r>
          </w:p>
          <w:p w14:paraId="3F5EBA6D" w14:textId="6BEB8C7F" w:rsidR="00B210BA" w:rsidRPr="00314DC7" w:rsidRDefault="00B210BA" w:rsidP="00B210BA">
            <w:pPr>
              <w:jc w:val="center"/>
              <w:rPr>
                <w:rFonts w:ascii="Cambria" w:hAnsi="Cambria"/>
                <w:color w:val="4472C4"/>
                <w:kern w:val="2"/>
                <w:sz w:val="20"/>
              </w:rPr>
            </w:pPr>
            <w:r w:rsidRPr="00E80CDE">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B210BA" w:rsidRPr="00B210BA" w:rsidRDefault="00B210BA" w:rsidP="00B210BA">
            <w:pPr>
              <w:jc w:val="center"/>
              <w:rPr>
                <w:rFonts w:ascii="Cambria" w:hAnsi="Cambria"/>
                <w:b/>
                <w:bCs/>
                <w:kern w:val="2"/>
                <w:sz w:val="20"/>
              </w:rPr>
            </w:pPr>
            <w:r w:rsidRPr="00B210BA">
              <w:rPr>
                <w:rFonts w:ascii="Cambria" w:hAnsi="Cambria"/>
                <w:kern w:val="2"/>
                <w:sz w:val="20"/>
              </w:rPr>
              <w:t>(nurodomos atstovo pareigos, vardas, pavardė)</w:t>
            </w:r>
          </w:p>
        </w:tc>
      </w:tr>
      <w:tr w:rsidR="00B210BA"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4679CC70" w:rsidR="00B210BA" w:rsidRPr="00314DC7" w:rsidRDefault="00B210BA" w:rsidP="00B210BA">
            <w:pPr>
              <w:jc w:val="center"/>
              <w:rPr>
                <w:rFonts w:ascii="Cambria" w:hAnsi="Cambria"/>
                <w:b/>
                <w:bCs/>
                <w:color w:val="4472C4"/>
                <w:kern w:val="2"/>
                <w:sz w:val="20"/>
              </w:rPr>
            </w:pPr>
            <w:r w:rsidRPr="00E80CDE">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0D56DE0E" w14:textId="3C834E98" w:rsidR="00B210BA" w:rsidRPr="00B210BA" w:rsidRDefault="00B210BA" w:rsidP="00B210BA">
            <w:pPr>
              <w:jc w:val="center"/>
              <w:rPr>
                <w:rFonts w:ascii="Cambria" w:hAnsi="Cambria"/>
                <w:b/>
                <w:bCs/>
                <w:kern w:val="2"/>
                <w:sz w:val="20"/>
              </w:rPr>
            </w:pPr>
            <w:r w:rsidRPr="00B210BA">
              <w:rPr>
                <w:rFonts w:ascii="Cambria" w:hAnsi="Cambria"/>
                <w:b/>
                <w:bCs/>
                <w:kern w:val="2"/>
                <w:sz w:val="20"/>
              </w:rPr>
              <w:t xml:space="preserve"> (parašas)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C92BA" w14:textId="77777777" w:rsidR="00483210" w:rsidRDefault="00483210">
      <w:r>
        <w:separator/>
      </w:r>
    </w:p>
  </w:endnote>
  <w:endnote w:type="continuationSeparator" w:id="0">
    <w:p w14:paraId="75728908" w14:textId="77777777" w:rsidR="00483210" w:rsidRDefault="0048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7D64" w14:textId="77777777" w:rsidR="00483210" w:rsidRDefault="00483210">
      <w:r>
        <w:separator/>
      </w:r>
    </w:p>
  </w:footnote>
  <w:footnote w:type="continuationSeparator" w:id="0">
    <w:p w14:paraId="20A54FCB" w14:textId="77777777" w:rsidR="00483210" w:rsidRDefault="0048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62911"/>
    <w:rsid w:val="00167435"/>
    <w:rsid w:val="00182C20"/>
    <w:rsid w:val="001904FB"/>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61665"/>
    <w:rsid w:val="00470289"/>
    <w:rsid w:val="00483210"/>
    <w:rsid w:val="00484049"/>
    <w:rsid w:val="004C6BBB"/>
    <w:rsid w:val="004F7483"/>
    <w:rsid w:val="00503E1E"/>
    <w:rsid w:val="005126F5"/>
    <w:rsid w:val="005A214C"/>
    <w:rsid w:val="00611F32"/>
    <w:rsid w:val="0066127A"/>
    <w:rsid w:val="00682208"/>
    <w:rsid w:val="00695F89"/>
    <w:rsid w:val="006A125C"/>
    <w:rsid w:val="006A7571"/>
    <w:rsid w:val="006B5470"/>
    <w:rsid w:val="006F425C"/>
    <w:rsid w:val="007254AB"/>
    <w:rsid w:val="0074292D"/>
    <w:rsid w:val="00753252"/>
    <w:rsid w:val="007657FE"/>
    <w:rsid w:val="00776ACD"/>
    <w:rsid w:val="007E5253"/>
    <w:rsid w:val="00801C7A"/>
    <w:rsid w:val="00864275"/>
    <w:rsid w:val="00870F05"/>
    <w:rsid w:val="008A5D42"/>
    <w:rsid w:val="008B685F"/>
    <w:rsid w:val="008D6412"/>
    <w:rsid w:val="008E2070"/>
    <w:rsid w:val="00925F52"/>
    <w:rsid w:val="009444A1"/>
    <w:rsid w:val="0098281F"/>
    <w:rsid w:val="009C5284"/>
    <w:rsid w:val="00A07208"/>
    <w:rsid w:val="00A14D45"/>
    <w:rsid w:val="00A82974"/>
    <w:rsid w:val="00AF5185"/>
    <w:rsid w:val="00B05395"/>
    <w:rsid w:val="00B210BA"/>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 w:val="00F13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11224</Words>
  <Characters>6398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14</cp:revision>
  <dcterms:created xsi:type="dcterms:W3CDTF">2025-05-27T07:57:00Z</dcterms:created>
  <dcterms:modified xsi:type="dcterms:W3CDTF">2026-03-25T10:52:00Z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