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047ED" w14:textId="37ED84AF" w:rsidR="009E6CBB" w:rsidRPr="00857BF3" w:rsidRDefault="3DBF0BBC" w:rsidP="009E6CBB">
      <w:pPr>
        <w:pStyle w:val="Antrat1"/>
      </w:pPr>
      <w:bookmarkStart w:id="0" w:name="_Toc130158112"/>
      <w:bookmarkStart w:id="1" w:name="Judėjimo_negalia"/>
      <w:r>
        <w:t xml:space="preserve">EKSPERTO DĖL INFORMACIJOS PRIEINAMUMO UŽTIKRINIMO ASMENIMS SU REGOS NEGALIA KONSULTACIJŲ PASLAUGŲ TECHNINĖ SPECIFIKACIJA </w:t>
      </w:r>
      <w:bookmarkEnd w:id="0"/>
    </w:p>
    <w:bookmarkEnd w:id="1"/>
    <w:p w14:paraId="4A7B8D97" w14:textId="77777777" w:rsidR="00255C50" w:rsidRPr="00501007" w:rsidRDefault="00255C50" w:rsidP="002F0F50">
      <w:pPr>
        <w:pStyle w:val="Antrat2"/>
      </w:pPr>
      <w:r w:rsidRPr="00501007">
        <w:t>1. PIRKIMO OBJEKTAS</w:t>
      </w:r>
    </w:p>
    <w:p w14:paraId="74202D1F" w14:textId="6ED8EA53" w:rsidR="005866EF" w:rsidRPr="00B94CC7" w:rsidRDefault="3DBF0BBC" w:rsidP="3DBF0BBC">
      <w:pPr>
        <w:spacing w:after="120" w:line="276" w:lineRule="auto"/>
        <w:rPr>
          <w:rFonts w:asciiTheme="minorHAnsi" w:hAnsiTheme="minorHAnsi" w:cstheme="minorBidi"/>
          <w:sz w:val="24"/>
          <w:szCs w:val="24"/>
        </w:rPr>
      </w:pPr>
      <w:r w:rsidRPr="3DBF0BBC">
        <w:rPr>
          <w:rFonts w:asciiTheme="minorHAnsi" w:hAnsiTheme="minorHAnsi" w:cstheme="minorBidi"/>
          <w:sz w:val="24"/>
          <w:szCs w:val="24"/>
        </w:rPr>
        <w:t>1.1. Asmens su negalia teisių apsaugos agentūra prie Lietuvos Respublikos socialinės apsaugos ir darbo ministerijos (toliau – Perkančioji organizacija arba Užsakovas), įgyvendin</w:t>
      </w:r>
      <w:r w:rsidR="00DA1701">
        <w:rPr>
          <w:rFonts w:asciiTheme="minorHAnsi" w:hAnsiTheme="minorHAnsi" w:cstheme="minorBidi"/>
          <w:sz w:val="24"/>
          <w:szCs w:val="24"/>
        </w:rPr>
        <w:t>dam</w:t>
      </w:r>
      <w:r w:rsidRPr="3DBF0BBC">
        <w:rPr>
          <w:rFonts w:asciiTheme="minorHAnsi" w:hAnsiTheme="minorHAnsi" w:cstheme="minorBidi"/>
          <w:sz w:val="24"/>
          <w:szCs w:val="24"/>
        </w:rPr>
        <w:t>a:</w:t>
      </w:r>
    </w:p>
    <w:p w14:paraId="00F3B114" w14:textId="5C9F975D" w:rsidR="00255C50" w:rsidRPr="00B94CC7" w:rsidRDefault="3DBF0BBC" w:rsidP="3DBF0BBC">
      <w:pPr>
        <w:spacing w:line="276" w:lineRule="auto"/>
        <w:contextualSpacing/>
        <w:rPr>
          <w:rFonts w:asciiTheme="minorHAnsi" w:hAnsiTheme="minorHAnsi" w:cstheme="minorBidi"/>
          <w:sz w:val="24"/>
          <w:szCs w:val="24"/>
        </w:rPr>
      </w:pPr>
      <w:r w:rsidRPr="3DBF0BBC">
        <w:rPr>
          <w:rFonts w:asciiTheme="minorHAnsi" w:hAnsiTheme="minorHAnsi" w:cstheme="minorBidi"/>
          <w:sz w:val="24"/>
          <w:szCs w:val="24"/>
        </w:rPr>
        <w:t xml:space="preserve">1.1.1.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patvirtinto Lietuvos Respublikos Socialinės apsaugos ir darbo ministro 2022 m. balandžio 12 d. įsakymu Nr. A1-273 „Dėl 2021–2030 metų plėtros programos valdytojos Lietuvos Respublikos socialinės apsaugos ir darbo ministerijos neįgaliesiems tinkamos aplinkos visose gyvenimo srityse plėtros programos pažangos priemonės Nr. 09-005-02-06-10" Užtikrinti fizinės ir informacinės infrastruktūros prieinamumo asmenims su negalia tęstinumą”, numato pirkti ekspertų konsultavimo paslaugas dėl informacinės infrastruktūros ir informacijos pritaikymo asmenų su regos negalia poreikiams, atitinkančias Europos Parlamento ir Tarybos direktyvos (ES) 2016/2102 dėl viešojo sektoriaus institucijų interneto svetainių ir mobiliųjų programų prieinamumo (toliau – Direktyva) reikalavimus </w:t>
      </w:r>
      <w:r w:rsidR="006C069E">
        <w:rPr>
          <w:rFonts w:asciiTheme="minorHAnsi" w:hAnsiTheme="minorHAnsi" w:cstheme="minorBidi"/>
          <w:sz w:val="24"/>
          <w:szCs w:val="24"/>
        </w:rPr>
        <w:t xml:space="preserve">ir užtikrinti informacijos prieinamumą asmenims su negalia </w:t>
      </w:r>
      <w:r w:rsidRPr="3DBF0BBC">
        <w:rPr>
          <w:rFonts w:asciiTheme="minorHAnsi" w:hAnsiTheme="minorHAnsi" w:cstheme="minorBidi"/>
          <w:sz w:val="24"/>
          <w:szCs w:val="24"/>
        </w:rPr>
        <w:t>(toliau –  Paslaugos). Asmenys, vykdantys konsultacijas, toliau tekste vadinami Ekspertais arba Teikėjais.</w:t>
      </w:r>
    </w:p>
    <w:p w14:paraId="39B80E6D" w14:textId="44FAB24A" w:rsidR="00B94CC7" w:rsidRPr="00B94CC7" w:rsidRDefault="0061143F" w:rsidP="00B94CC7">
      <w:pPr>
        <w:spacing w:before="120" w:after="120" w:line="276" w:lineRule="auto"/>
        <w:rPr>
          <w:rFonts w:asciiTheme="minorHAnsi" w:hAnsiTheme="minorHAnsi" w:cstheme="minorHAnsi"/>
          <w:sz w:val="24"/>
          <w:szCs w:val="24"/>
        </w:rPr>
      </w:pPr>
      <w:r w:rsidRPr="00B94CC7">
        <w:rPr>
          <w:rFonts w:asciiTheme="minorHAnsi" w:hAnsiTheme="minorHAnsi" w:cstheme="minorHAnsi"/>
          <w:sz w:val="24"/>
          <w:szCs w:val="24"/>
        </w:rPr>
        <w:t>Pirkimas vykdomas siekiant suteikti išsamias ir konkrečias praktines konsultacijas informacijos prieinamumo</w:t>
      </w:r>
      <w:r w:rsidR="009E6B09">
        <w:rPr>
          <w:rFonts w:asciiTheme="minorHAnsi" w:hAnsiTheme="minorHAnsi" w:cstheme="minorHAnsi"/>
          <w:sz w:val="24"/>
          <w:szCs w:val="24"/>
        </w:rPr>
        <w:t xml:space="preserve"> </w:t>
      </w:r>
      <w:r w:rsidR="009A3F3C">
        <w:rPr>
          <w:rFonts w:asciiTheme="minorHAnsi" w:hAnsiTheme="minorHAnsi" w:cstheme="minorHAnsi"/>
          <w:sz w:val="24"/>
          <w:szCs w:val="24"/>
        </w:rPr>
        <w:t xml:space="preserve">užtikrinimo </w:t>
      </w:r>
      <w:r w:rsidR="009E6B09">
        <w:rPr>
          <w:rFonts w:asciiTheme="minorHAnsi" w:hAnsiTheme="minorHAnsi" w:cstheme="minorHAnsi"/>
          <w:sz w:val="24"/>
          <w:szCs w:val="24"/>
        </w:rPr>
        <w:t>asmenims, turintiems</w:t>
      </w:r>
      <w:r w:rsidRPr="00B94CC7">
        <w:rPr>
          <w:rFonts w:asciiTheme="minorHAnsi" w:hAnsiTheme="minorHAnsi" w:cstheme="minorHAnsi"/>
          <w:sz w:val="24"/>
          <w:szCs w:val="24"/>
        </w:rPr>
        <w:t xml:space="preserve"> regos negalią</w:t>
      </w:r>
      <w:r w:rsidR="009A3F3C">
        <w:rPr>
          <w:rFonts w:asciiTheme="minorHAnsi" w:hAnsiTheme="minorHAnsi" w:cstheme="minorHAnsi"/>
          <w:sz w:val="24"/>
          <w:szCs w:val="24"/>
        </w:rPr>
        <w:t>, srityje.</w:t>
      </w:r>
    </w:p>
    <w:p w14:paraId="120BB773" w14:textId="7690526A" w:rsidR="00763587" w:rsidRPr="00B94CC7" w:rsidRDefault="00B94CC7" w:rsidP="3DBF0BBC">
      <w:pPr>
        <w:spacing w:before="120" w:after="120" w:line="276" w:lineRule="auto"/>
        <w:rPr>
          <w:rFonts w:asciiTheme="minorHAnsi" w:hAnsiTheme="minorHAnsi" w:cstheme="minorBidi"/>
          <w:strike/>
          <w:sz w:val="24"/>
          <w:szCs w:val="24"/>
        </w:rPr>
      </w:pPr>
      <w:r w:rsidRPr="3DBF0BBC">
        <w:rPr>
          <w:rFonts w:asciiTheme="minorHAnsi" w:hAnsiTheme="minorHAnsi" w:cstheme="minorBidi"/>
          <w:b/>
          <w:bCs/>
          <w:spacing w:val="-3"/>
          <w:sz w:val="24"/>
          <w:szCs w:val="24"/>
        </w:rPr>
        <w:t xml:space="preserve">1.2. </w:t>
      </w:r>
      <w:r w:rsidR="00255C50" w:rsidRPr="3DBF0BBC">
        <w:rPr>
          <w:rFonts w:asciiTheme="minorHAnsi" w:hAnsiTheme="minorHAnsi" w:cstheme="minorBidi"/>
          <w:b/>
          <w:bCs/>
          <w:spacing w:val="-3"/>
          <w:sz w:val="24"/>
          <w:szCs w:val="24"/>
        </w:rPr>
        <w:t>P</w:t>
      </w:r>
      <w:r w:rsidR="00255C50" w:rsidRPr="3DBF0BBC">
        <w:rPr>
          <w:rFonts w:asciiTheme="minorHAnsi" w:hAnsiTheme="minorHAnsi" w:cstheme="minorBidi"/>
          <w:b/>
          <w:bCs/>
          <w:sz w:val="24"/>
          <w:szCs w:val="24"/>
        </w:rPr>
        <w:t>irk</w:t>
      </w:r>
      <w:r w:rsidR="00255C50" w:rsidRPr="3DBF0BBC">
        <w:rPr>
          <w:rFonts w:asciiTheme="minorHAnsi" w:hAnsiTheme="minorHAnsi" w:cstheme="minorBidi"/>
          <w:b/>
          <w:bCs/>
          <w:spacing w:val="3"/>
          <w:sz w:val="24"/>
          <w:szCs w:val="24"/>
        </w:rPr>
        <w:t>i</w:t>
      </w:r>
      <w:r w:rsidR="00255C50" w:rsidRPr="3DBF0BBC">
        <w:rPr>
          <w:rFonts w:asciiTheme="minorHAnsi" w:hAnsiTheme="minorHAnsi" w:cstheme="minorBidi"/>
          <w:b/>
          <w:bCs/>
          <w:spacing w:val="-3"/>
          <w:sz w:val="24"/>
          <w:szCs w:val="24"/>
        </w:rPr>
        <w:t>m</w:t>
      </w:r>
      <w:r w:rsidR="00255C50" w:rsidRPr="3DBF0BBC">
        <w:rPr>
          <w:rFonts w:asciiTheme="minorHAnsi" w:hAnsiTheme="minorHAnsi" w:cstheme="minorBidi"/>
          <w:b/>
          <w:bCs/>
          <w:sz w:val="24"/>
          <w:szCs w:val="24"/>
        </w:rPr>
        <w:t>o o</w:t>
      </w:r>
      <w:r w:rsidR="00255C50" w:rsidRPr="3DBF0BBC">
        <w:rPr>
          <w:rFonts w:asciiTheme="minorHAnsi" w:hAnsiTheme="minorHAnsi" w:cstheme="minorBidi"/>
          <w:b/>
          <w:bCs/>
          <w:spacing w:val="1"/>
          <w:sz w:val="24"/>
          <w:szCs w:val="24"/>
        </w:rPr>
        <w:t>b</w:t>
      </w:r>
      <w:r w:rsidR="00255C50" w:rsidRPr="3DBF0BBC">
        <w:rPr>
          <w:rFonts w:asciiTheme="minorHAnsi" w:hAnsiTheme="minorHAnsi" w:cstheme="minorBidi"/>
          <w:b/>
          <w:bCs/>
          <w:sz w:val="24"/>
          <w:szCs w:val="24"/>
        </w:rPr>
        <w:t>j</w:t>
      </w:r>
      <w:r w:rsidR="00255C50" w:rsidRPr="3DBF0BBC">
        <w:rPr>
          <w:rFonts w:asciiTheme="minorHAnsi" w:hAnsiTheme="minorHAnsi" w:cstheme="minorBidi"/>
          <w:b/>
          <w:bCs/>
          <w:spacing w:val="-2"/>
          <w:sz w:val="24"/>
          <w:szCs w:val="24"/>
        </w:rPr>
        <w:t>e</w:t>
      </w:r>
      <w:r w:rsidR="00255C50" w:rsidRPr="3DBF0BBC">
        <w:rPr>
          <w:rFonts w:asciiTheme="minorHAnsi" w:hAnsiTheme="minorHAnsi" w:cstheme="minorBidi"/>
          <w:b/>
          <w:bCs/>
          <w:spacing w:val="1"/>
          <w:sz w:val="24"/>
          <w:szCs w:val="24"/>
        </w:rPr>
        <w:t>k</w:t>
      </w:r>
      <w:r w:rsidR="00255C50" w:rsidRPr="3DBF0BBC">
        <w:rPr>
          <w:rFonts w:asciiTheme="minorHAnsi" w:hAnsiTheme="minorHAnsi" w:cstheme="minorBidi"/>
          <w:b/>
          <w:bCs/>
          <w:sz w:val="24"/>
          <w:szCs w:val="24"/>
        </w:rPr>
        <w:t>tas</w:t>
      </w:r>
      <w:r w:rsidR="00255C50" w:rsidRPr="3DBF0BBC">
        <w:rPr>
          <w:rFonts w:asciiTheme="minorHAnsi" w:hAnsiTheme="minorHAnsi" w:cstheme="minorBidi"/>
          <w:b/>
          <w:bCs/>
          <w:spacing w:val="3"/>
          <w:sz w:val="24"/>
          <w:szCs w:val="24"/>
        </w:rPr>
        <w:t xml:space="preserve"> </w:t>
      </w:r>
      <w:r w:rsidR="00255C50" w:rsidRPr="3DBF0BBC">
        <w:rPr>
          <w:rFonts w:asciiTheme="minorHAnsi" w:hAnsiTheme="minorHAnsi" w:cstheme="minorBidi"/>
          <w:sz w:val="24"/>
          <w:szCs w:val="24"/>
        </w:rPr>
        <w:t>–</w:t>
      </w:r>
      <w:r w:rsidR="001E3525" w:rsidRPr="3DBF0BBC">
        <w:rPr>
          <w:rFonts w:asciiTheme="minorHAnsi" w:hAnsiTheme="minorHAnsi" w:cstheme="minorBidi"/>
          <w:sz w:val="24"/>
          <w:szCs w:val="24"/>
        </w:rPr>
        <w:t xml:space="preserve"> </w:t>
      </w:r>
      <w:r w:rsidR="00A64B05" w:rsidRPr="3DBF0BBC">
        <w:rPr>
          <w:rFonts w:asciiTheme="minorHAnsi" w:hAnsiTheme="minorHAnsi" w:cstheme="minorBidi"/>
          <w:sz w:val="24"/>
          <w:szCs w:val="24"/>
        </w:rPr>
        <w:t>E</w:t>
      </w:r>
      <w:r w:rsidR="001F4E7F" w:rsidRPr="3DBF0BBC">
        <w:rPr>
          <w:rFonts w:asciiTheme="minorHAnsi" w:hAnsiTheme="minorHAnsi" w:cstheme="minorBidi"/>
          <w:sz w:val="24"/>
          <w:szCs w:val="24"/>
        </w:rPr>
        <w:t>kspertų konsultavimo</w:t>
      </w:r>
      <w:r w:rsidR="00952FD0" w:rsidRPr="3DBF0BBC">
        <w:rPr>
          <w:rFonts w:asciiTheme="minorHAnsi" w:hAnsiTheme="minorHAnsi" w:cstheme="minorBidi"/>
          <w:sz w:val="24"/>
          <w:szCs w:val="24"/>
        </w:rPr>
        <w:t xml:space="preserve"> </w:t>
      </w:r>
      <w:r w:rsidR="001F4E7F" w:rsidRPr="3DBF0BBC">
        <w:rPr>
          <w:rFonts w:asciiTheme="minorHAnsi" w:hAnsiTheme="minorHAnsi" w:cstheme="minorBidi"/>
          <w:sz w:val="24"/>
          <w:szCs w:val="24"/>
        </w:rPr>
        <w:t>dėl informacijos infrastruktūros ir informacijos prieinamumo asmenims su regos negalia užtikrinimo</w:t>
      </w:r>
      <w:r w:rsidR="009A3F3C" w:rsidRPr="3DBF0BBC">
        <w:rPr>
          <w:rFonts w:asciiTheme="minorHAnsi" w:hAnsiTheme="minorHAnsi" w:cstheme="minorBidi"/>
          <w:sz w:val="24"/>
          <w:szCs w:val="24"/>
        </w:rPr>
        <w:t>,</w:t>
      </w:r>
      <w:r w:rsidR="001F4E7F" w:rsidRPr="3DBF0BBC">
        <w:rPr>
          <w:rFonts w:asciiTheme="minorHAnsi" w:hAnsiTheme="minorHAnsi" w:cstheme="minorBidi"/>
          <w:sz w:val="24"/>
          <w:szCs w:val="24"/>
        </w:rPr>
        <w:t xml:space="preserve"> praktinių aspektų ir sprendinių paslaugos.</w:t>
      </w:r>
    </w:p>
    <w:p w14:paraId="341C57C6" w14:textId="1151175D" w:rsidR="00763587" w:rsidRPr="00B94CC7" w:rsidRDefault="3DBF0BBC" w:rsidP="3DBF0BBC">
      <w:pPr>
        <w:spacing w:after="120" w:line="276" w:lineRule="auto"/>
        <w:rPr>
          <w:rFonts w:asciiTheme="minorHAnsi" w:hAnsiTheme="minorHAnsi" w:cstheme="minorBidi"/>
          <w:strike/>
          <w:sz w:val="24"/>
          <w:szCs w:val="24"/>
        </w:rPr>
      </w:pPr>
      <w:r w:rsidRPr="3DBF0BBC">
        <w:rPr>
          <w:rFonts w:asciiTheme="minorHAnsi" w:hAnsiTheme="minorHAnsi" w:cstheme="minorBidi"/>
          <w:b/>
          <w:bCs/>
          <w:sz w:val="24"/>
          <w:szCs w:val="24"/>
        </w:rPr>
        <w:t>1.3. Tikslinė grupė</w:t>
      </w:r>
      <w:r w:rsidRPr="3DBF0BBC">
        <w:rPr>
          <w:rFonts w:asciiTheme="minorHAnsi" w:hAnsiTheme="minorHAnsi" w:cstheme="minorBidi"/>
          <w:sz w:val="24"/>
          <w:szCs w:val="24"/>
        </w:rPr>
        <w:t xml:space="preserve"> – plačioji visuomenė, asmenys, susiję su interneto sistemų, tinklalapių kūrimu, dizainu ir administravimu, valstybės ir savivaldybių, viešojo sektoriaus darbuotojai, rengiantys informaciją arba atsakingi už informacijos pateikimą piliečiams ir visuomenei, privačios institucijos suinteresuotos informacijos prieinamumo užtikrinimu, LR socialinės apsaugos ir darbo ministerija, kiti suinteresuotieji asmenys. </w:t>
      </w:r>
    </w:p>
    <w:p w14:paraId="3F99E27B" w14:textId="69C1C26A" w:rsidR="00255C50" w:rsidRPr="00B94CC7" w:rsidRDefault="00B94CC7" w:rsidP="004E7322">
      <w:pPr>
        <w:spacing w:after="120" w:line="276" w:lineRule="auto"/>
        <w:rPr>
          <w:rFonts w:asciiTheme="minorHAnsi" w:hAnsiTheme="minorHAnsi" w:cstheme="minorHAnsi"/>
          <w:strike/>
          <w:sz w:val="24"/>
          <w:szCs w:val="24"/>
        </w:rPr>
      </w:pPr>
      <w:r w:rsidRPr="00B94CC7">
        <w:rPr>
          <w:rFonts w:asciiTheme="minorHAnsi" w:hAnsiTheme="minorHAnsi" w:cstheme="minorHAnsi"/>
          <w:b/>
          <w:bCs/>
          <w:color w:val="000000" w:themeColor="text1"/>
          <w:sz w:val="24"/>
          <w:szCs w:val="24"/>
        </w:rPr>
        <w:t xml:space="preserve">1.4. </w:t>
      </w:r>
      <w:r w:rsidR="00255C50" w:rsidRPr="00B94CC7">
        <w:rPr>
          <w:rFonts w:asciiTheme="minorHAnsi" w:hAnsiTheme="minorHAnsi" w:cstheme="minorHAnsi"/>
          <w:b/>
          <w:bCs/>
          <w:color w:val="000000" w:themeColor="text1"/>
          <w:sz w:val="24"/>
          <w:szCs w:val="24"/>
        </w:rPr>
        <w:t>Pirkimo tikslas</w:t>
      </w:r>
      <w:r w:rsidR="00255C50" w:rsidRPr="00B94CC7">
        <w:rPr>
          <w:rFonts w:asciiTheme="minorHAnsi" w:hAnsiTheme="minorHAnsi" w:cstheme="minorHAnsi"/>
          <w:color w:val="000000" w:themeColor="text1"/>
          <w:sz w:val="24"/>
          <w:szCs w:val="24"/>
        </w:rPr>
        <w:t xml:space="preserve"> – </w:t>
      </w:r>
      <w:r w:rsidR="00EA33AF" w:rsidRPr="00B94CC7">
        <w:rPr>
          <w:rFonts w:asciiTheme="minorHAnsi" w:hAnsiTheme="minorHAnsi" w:cstheme="minorHAnsi"/>
          <w:sz w:val="24"/>
          <w:szCs w:val="24"/>
        </w:rPr>
        <w:t>suteikti trūkstamų specifinių kompetencijų asmenims, susijusiems su interneto sistemų, tinklalapių kūrimu, dizainu ir administravimu, informacijos rengimu ir visuomenės informavimu</w:t>
      </w:r>
      <w:r w:rsidR="006F66A4" w:rsidRPr="00B94CC7">
        <w:rPr>
          <w:rFonts w:asciiTheme="minorHAnsi" w:hAnsiTheme="minorHAnsi" w:cstheme="minorHAnsi"/>
          <w:sz w:val="24"/>
          <w:szCs w:val="24"/>
        </w:rPr>
        <w:t>.</w:t>
      </w:r>
    </w:p>
    <w:p w14:paraId="3F7F4E9F" w14:textId="2A284A14" w:rsidR="00763587" w:rsidRPr="00B94CC7" w:rsidRDefault="3DBF0BBC" w:rsidP="3DBF0BBC">
      <w:pPr>
        <w:spacing w:after="120"/>
        <w:rPr>
          <w:rFonts w:asciiTheme="minorHAnsi" w:hAnsiTheme="minorHAnsi" w:cstheme="minorBidi"/>
          <w:sz w:val="24"/>
          <w:szCs w:val="24"/>
        </w:rPr>
      </w:pPr>
      <w:r w:rsidRPr="3DBF0BBC">
        <w:rPr>
          <w:rFonts w:asciiTheme="minorHAnsi" w:hAnsiTheme="minorHAnsi" w:cstheme="minorBidi"/>
          <w:b/>
          <w:bCs/>
          <w:sz w:val="24"/>
          <w:szCs w:val="24"/>
        </w:rPr>
        <w:lastRenderedPageBreak/>
        <w:t>1.5. Eksperto paslaugų teikimo laikotarpis:</w:t>
      </w:r>
      <w:r w:rsidR="00B94CC7">
        <w:br/>
      </w:r>
      <w:r w:rsidRPr="3DBF0BBC">
        <w:rPr>
          <w:rFonts w:asciiTheme="minorHAnsi" w:hAnsiTheme="minorHAnsi" w:cstheme="minorBidi"/>
          <w:sz w:val="24"/>
          <w:szCs w:val="24"/>
        </w:rPr>
        <w:t>1.5.1. Ekspertų konsultacijos – nuo paslaugų teikimo sutarties pasirašymo dienos iki 202</w:t>
      </w:r>
      <w:r w:rsidR="00855D2A">
        <w:rPr>
          <w:rFonts w:asciiTheme="minorHAnsi" w:hAnsiTheme="minorHAnsi" w:cstheme="minorBidi"/>
          <w:sz w:val="24"/>
          <w:szCs w:val="24"/>
        </w:rPr>
        <w:t>7</w:t>
      </w:r>
      <w:r w:rsidRPr="3DBF0BBC">
        <w:rPr>
          <w:rFonts w:asciiTheme="minorHAnsi" w:hAnsiTheme="minorHAnsi" w:cstheme="minorBidi"/>
          <w:sz w:val="24"/>
          <w:szCs w:val="24"/>
        </w:rPr>
        <w:t xml:space="preserve"> m. </w:t>
      </w:r>
      <w:r w:rsidR="00855D2A">
        <w:rPr>
          <w:rFonts w:asciiTheme="minorHAnsi" w:hAnsiTheme="minorHAnsi" w:cstheme="minorBidi"/>
          <w:sz w:val="24"/>
          <w:szCs w:val="24"/>
        </w:rPr>
        <w:t>balandžio 1</w:t>
      </w:r>
      <w:r w:rsidRPr="3DBF0BBC">
        <w:rPr>
          <w:rFonts w:asciiTheme="minorHAnsi" w:hAnsiTheme="minorHAnsi" w:cstheme="minorBidi"/>
          <w:sz w:val="24"/>
          <w:szCs w:val="24"/>
        </w:rPr>
        <w:t xml:space="preserve"> d.</w:t>
      </w:r>
    </w:p>
    <w:p w14:paraId="19818698" w14:textId="77777777" w:rsidR="009B099D" w:rsidRDefault="00B94CC7" w:rsidP="004E7322">
      <w:pPr>
        <w:spacing w:line="276" w:lineRule="auto"/>
        <w:rPr>
          <w:rFonts w:asciiTheme="minorHAnsi" w:hAnsiTheme="minorHAnsi" w:cstheme="minorHAnsi"/>
          <w:sz w:val="24"/>
          <w:szCs w:val="24"/>
        </w:rPr>
      </w:pPr>
      <w:r w:rsidRPr="00B94CC7">
        <w:rPr>
          <w:rFonts w:asciiTheme="minorHAnsi" w:hAnsiTheme="minorHAnsi" w:cstheme="minorHAnsi"/>
          <w:b/>
          <w:bCs/>
          <w:sz w:val="24"/>
          <w:szCs w:val="24"/>
        </w:rPr>
        <w:t xml:space="preserve">1.6. </w:t>
      </w:r>
      <w:r w:rsidR="00C4598B" w:rsidRPr="00B94CC7">
        <w:rPr>
          <w:rFonts w:asciiTheme="minorHAnsi" w:hAnsiTheme="minorHAnsi" w:cstheme="minorHAnsi"/>
          <w:b/>
          <w:bCs/>
          <w:sz w:val="24"/>
          <w:szCs w:val="24"/>
        </w:rPr>
        <w:t>Planuojamos Eksperto paslaugų apimtys</w:t>
      </w:r>
      <w:r w:rsidR="009B099D">
        <w:rPr>
          <w:rFonts w:asciiTheme="minorHAnsi" w:hAnsiTheme="minorHAnsi" w:cstheme="minorHAnsi"/>
          <w:sz w:val="24"/>
          <w:szCs w:val="24"/>
        </w:rPr>
        <w:t>:</w:t>
      </w:r>
    </w:p>
    <w:p w14:paraId="2C2E1E14" w14:textId="66AEA560" w:rsidR="00155A43" w:rsidRPr="00CA31C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 xml:space="preserve">1.6.1. </w:t>
      </w:r>
      <w:r w:rsidR="00855D2A">
        <w:rPr>
          <w:rFonts w:asciiTheme="minorHAnsi" w:hAnsiTheme="minorHAnsi" w:cstheme="minorBidi"/>
          <w:sz w:val="24"/>
          <w:szCs w:val="24"/>
        </w:rPr>
        <w:t>1160</w:t>
      </w:r>
      <w:r w:rsidRPr="3DBF0BBC">
        <w:rPr>
          <w:rFonts w:asciiTheme="minorHAnsi" w:hAnsiTheme="minorHAnsi" w:cstheme="minorBidi"/>
          <w:sz w:val="24"/>
          <w:szCs w:val="24"/>
        </w:rPr>
        <w:t xml:space="preserve"> valandų konsultacijoms</w:t>
      </w:r>
      <w:r w:rsidR="00947DA4">
        <w:rPr>
          <w:rFonts w:asciiTheme="minorHAnsi" w:hAnsiTheme="minorHAnsi" w:cstheme="minorBidi"/>
          <w:sz w:val="24"/>
          <w:szCs w:val="24"/>
        </w:rPr>
        <w:t xml:space="preserve">. </w:t>
      </w:r>
      <w:r w:rsidRPr="3DBF0BBC">
        <w:rPr>
          <w:rFonts w:asciiTheme="minorHAnsi" w:hAnsiTheme="minorHAnsi" w:cstheme="minorBidi"/>
          <w:sz w:val="24"/>
          <w:szCs w:val="24"/>
        </w:rPr>
        <w:t>Perkančioji organizacija apmoka tik už faktiškai suteiktas Paslaugas (išdirbtas Ekspertų darbo valandas), atsižvelgdama į T</w:t>
      </w:r>
      <w:r w:rsidR="00D23A05">
        <w:rPr>
          <w:rFonts w:asciiTheme="minorHAnsi" w:hAnsiTheme="minorHAnsi" w:cstheme="minorBidi"/>
          <w:sz w:val="24"/>
          <w:szCs w:val="24"/>
        </w:rPr>
        <w:t>ei</w:t>
      </w:r>
      <w:r w:rsidRPr="3DBF0BBC">
        <w:rPr>
          <w:rFonts w:asciiTheme="minorHAnsi" w:hAnsiTheme="minorHAnsi" w:cstheme="minorBidi"/>
          <w:sz w:val="24"/>
          <w:szCs w:val="24"/>
        </w:rPr>
        <w:t>kėjo pasiūlymo kainą ir turimas lėšas.</w:t>
      </w:r>
    </w:p>
    <w:p w14:paraId="7EDC168C" w14:textId="33E894D3" w:rsidR="001E0438" w:rsidRDefault="00A56E20" w:rsidP="00C4650D">
      <w:pPr>
        <w:pStyle w:val="Antrat2"/>
      </w:pPr>
      <w:r w:rsidRPr="00501007">
        <w:t xml:space="preserve">2. </w:t>
      </w:r>
      <w:bookmarkStart w:id="2" w:name="_Toc130158115"/>
      <w:r w:rsidR="00C4650D" w:rsidRPr="00857BF3">
        <w:t>REIKALAVIMAI EKSPERTO PASLAUGOMS</w:t>
      </w:r>
      <w:bookmarkEnd w:id="2"/>
    </w:p>
    <w:p w14:paraId="5EEB4A90" w14:textId="37C39EDF" w:rsidR="00B15225" w:rsidRPr="00B2560E" w:rsidRDefault="00B2560E" w:rsidP="00B2560E">
      <w:pPr>
        <w:spacing w:line="276" w:lineRule="auto"/>
        <w:rPr>
          <w:rFonts w:ascii="Calibri" w:hAnsi="Calibri" w:cs="Calibri"/>
          <w:b/>
          <w:bCs/>
          <w:sz w:val="24"/>
          <w:szCs w:val="24"/>
        </w:rPr>
      </w:pPr>
      <w:r w:rsidRPr="00B2560E">
        <w:rPr>
          <w:rFonts w:ascii="Calibri" w:hAnsi="Calibri" w:cs="Calibri"/>
          <w:b/>
          <w:bCs/>
          <w:sz w:val="24"/>
          <w:szCs w:val="24"/>
        </w:rPr>
        <w:t xml:space="preserve">2.1. </w:t>
      </w:r>
      <w:r w:rsidR="00735431" w:rsidRPr="00B2560E">
        <w:rPr>
          <w:rFonts w:ascii="Calibri" w:hAnsi="Calibri" w:cs="Calibri"/>
          <w:b/>
          <w:bCs/>
          <w:sz w:val="24"/>
          <w:szCs w:val="24"/>
        </w:rPr>
        <w:t>Eksperto paslaugų sudėtinės dalys:</w:t>
      </w:r>
    </w:p>
    <w:p w14:paraId="664217BB" w14:textId="5D35A4A2" w:rsidR="00B2560E" w:rsidRPr="00B2560E" w:rsidRDefault="3DBF0BBC" w:rsidP="00B2560E">
      <w:pPr>
        <w:spacing w:line="276" w:lineRule="auto"/>
        <w:rPr>
          <w:rFonts w:ascii="Calibri" w:hAnsi="Calibri" w:cs="Calibri"/>
          <w:sz w:val="24"/>
          <w:szCs w:val="24"/>
        </w:rPr>
      </w:pPr>
      <w:r w:rsidRPr="3DBF0BBC">
        <w:rPr>
          <w:rFonts w:ascii="Calibri" w:hAnsi="Calibri" w:cs="Calibri"/>
          <w:sz w:val="24"/>
          <w:szCs w:val="24"/>
        </w:rPr>
        <w:t>2.1.1. rašytinių Eksperto konsultacijų, rekomendacijų parengimas pagal šioje techninėje specifikacijoje nurodytas Eksperto paslaugų sritis;</w:t>
      </w:r>
    </w:p>
    <w:p w14:paraId="75A299E7" w14:textId="5131E2E7" w:rsidR="00B70E9C" w:rsidRPr="00B2560E" w:rsidRDefault="00B2560E" w:rsidP="00B70E9C">
      <w:pPr>
        <w:spacing w:after="120" w:line="276" w:lineRule="auto"/>
        <w:rPr>
          <w:rFonts w:ascii="Calibri" w:hAnsi="Calibri" w:cs="Calibri"/>
          <w:sz w:val="24"/>
          <w:szCs w:val="24"/>
        </w:rPr>
      </w:pPr>
      <w:r w:rsidRPr="00B2560E">
        <w:rPr>
          <w:rFonts w:ascii="Calibri" w:hAnsi="Calibri" w:cs="Calibri"/>
          <w:sz w:val="24"/>
          <w:szCs w:val="24"/>
        </w:rPr>
        <w:t xml:space="preserve">2.1.2. </w:t>
      </w:r>
      <w:r w:rsidR="00AB5464" w:rsidRPr="00B2560E">
        <w:rPr>
          <w:rFonts w:ascii="Calibri" w:hAnsi="Calibri" w:cs="Calibri"/>
          <w:sz w:val="24"/>
          <w:szCs w:val="24"/>
        </w:rPr>
        <w:t>konsultacijų ir rekomendacijų žodinis suteikimas Eksperto paslaugų tikslinei (-</w:t>
      </w:r>
      <w:proofErr w:type="spellStart"/>
      <w:r w:rsidR="00AB5464" w:rsidRPr="00B2560E">
        <w:rPr>
          <w:rFonts w:ascii="Calibri" w:hAnsi="Calibri" w:cs="Calibri"/>
          <w:sz w:val="24"/>
          <w:szCs w:val="24"/>
        </w:rPr>
        <w:t>ėms</w:t>
      </w:r>
      <w:proofErr w:type="spellEnd"/>
      <w:r w:rsidR="00AB5464" w:rsidRPr="00B2560E">
        <w:rPr>
          <w:rFonts w:ascii="Calibri" w:hAnsi="Calibri" w:cs="Calibri"/>
          <w:sz w:val="24"/>
          <w:szCs w:val="24"/>
        </w:rPr>
        <w:t>) grupei (-</w:t>
      </w:r>
      <w:proofErr w:type="spellStart"/>
      <w:r w:rsidR="00AB5464" w:rsidRPr="00B2560E">
        <w:rPr>
          <w:rFonts w:ascii="Calibri" w:hAnsi="Calibri" w:cs="Calibri"/>
          <w:sz w:val="24"/>
          <w:szCs w:val="24"/>
        </w:rPr>
        <w:t>ėms</w:t>
      </w:r>
      <w:proofErr w:type="spellEnd"/>
      <w:r w:rsidR="00AB5464" w:rsidRPr="00B2560E">
        <w:rPr>
          <w:rFonts w:ascii="Calibri" w:hAnsi="Calibri" w:cs="Calibri"/>
          <w:sz w:val="24"/>
          <w:szCs w:val="24"/>
        </w:rPr>
        <w:t>)</w:t>
      </w:r>
      <w:r w:rsidR="00B70E9C">
        <w:rPr>
          <w:rFonts w:ascii="Calibri" w:hAnsi="Calibri" w:cs="Calibri"/>
          <w:sz w:val="24"/>
          <w:szCs w:val="24"/>
        </w:rPr>
        <w:t>.</w:t>
      </w:r>
    </w:p>
    <w:p w14:paraId="54833B15" w14:textId="6D618C0F" w:rsidR="00E73D8D" w:rsidRPr="006B56FE" w:rsidRDefault="00E73D8D" w:rsidP="00E73D8D">
      <w:pPr>
        <w:ind w:left="431" w:hanging="431"/>
        <w:rPr>
          <w:rFonts w:asciiTheme="minorHAnsi" w:hAnsiTheme="minorHAnsi" w:cstheme="minorHAnsi"/>
          <w:b/>
          <w:bCs/>
          <w:sz w:val="24"/>
          <w:szCs w:val="24"/>
        </w:rPr>
      </w:pPr>
      <w:r w:rsidRPr="006B56FE">
        <w:rPr>
          <w:rFonts w:asciiTheme="minorHAnsi" w:hAnsiTheme="minorHAnsi" w:cstheme="minorHAnsi"/>
          <w:b/>
          <w:bCs/>
          <w:sz w:val="24"/>
          <w:szCs w:val="24"/>
        </w:rPr>
        <w:t>2.2. Perkamų Eksperto paslaugų sritys:</w:t>
      </w:r>
    </w:p>
    <w:p w14:paraId="09C32F59" w14:textId="25DDB846" w:rsidR="0011464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2.2.1. praktinis Europos Parlamento ir Tarybos direktyvos (ES) 2016/2102 dėl viešojo sektoriaus institucijų interneto svetainių ir mobiliųjų programų prieinamumo ir su šios direktyvos įgyvendinimu susijusių dokumentų taikymas;</w:t>
      </w:r>
    </w:p>
    <w:p w14:paraId="220D7A2C" w14:textId="48CBF600" w:rsidR="00017F74" w:rsidRPr="0011464E" w:rsidRDefault="3DBF0BBC" w:rsidP="3DBF0BBC">
      <w:pPr>
        <w:spacing w:line="276" w:lineRule="auto"/>
        <w:rPr>
          <w:rFonts w:asciiTheme="minorHAnsi" w:hAnsiTheme="minorHAnsi" w:cstheme="minorBidi"/>
          <w:sz w:val="24"/>
          <w:szCs w:val="24"/>
        </w:rPr>
      </w:pPr>
      <w:r w:rsidRPr="3DBF0BBC">
        <w:rPr>
          <w:rFonts w:ascii="Calibri" w:hAnsi="Calibri" w:cs="Calibri"/>
          <w:sz w:val="24"/>
          <w:szCs w:val="24"/>
        </w:rPr>
        <w:t>2.2.2. praktinis Lietuvos Respublikos socialinės apsaugos ir darbo ministro 2023 m. lapkričio 29 d. įsakymo Nr. A1-784 „Dėl informacijos teikimo asmenims su negalia jų pasirinktais prieinamais bendravimo būdais rekomendacijų patvirtinimo“ taikymas;</w:t>
      </w:r>
    </w:p>
    <w:p w14:paraId="487FBAD0" w14:textId="77777777" w:rsidR="00250EC6" w:rsidRDefault="3DBF0BBC" w:rsidP="3DBF0BBC">
      <w:pPr>
        <w:spacing w:line="276" w:lineRule="auto"/>
        <w:ind w:left="432" w:hanging="432"/>
        <w:rPr>
          <w:rFonts w:asciiTheme="minorHAnsi" w:hAnsiTheme="minorHAnsi" w:cstheme="minorBidi"/>
          <w:sz w:val="24"/>
          <w:szCs w:val="24"/>
        </w:rPr>
      </w:pPr>
      <w:r w:rsidRPr="3DBF0BBC">
        <w:rPr>
          <w:rFonts w:asciiTheme="minorHAnsi" w:hAnsiTheme="minorHAnsi" w:cstheme="minorBidi"/>
          <w:sz w:val="24"/>
          <w:szCs w:val="24"/>
        </w:rPr>
        <w:t>2.2.3. Lietuvos Respublikos Lietuvos nacionalinio radijo ir televizijos įstatymo taikymas;</w:t>
      </w:r>
    </w:p>
    <w:p w14:paraId="7908F443" w14:textId="1B09D8C2" w:rsidR="00CD3420" w:rsidRDefault="3DBF0BBC" w:rsidP="00CD3420">
      <w:pPr>
        <w:spacing w:line="276" w:lineRule="auto"/>
        <w:rPr>
          <w:rFonts w:ascii="Calibri" w:hAnsi="Calibri" w:cs="Calibri"/>
          <w:sz w:val="24"/>
          <w:szCs w:val="24"/>
        </w:rPr>
      </w:pPr>
      <w:r w:rsidRPr="3DBF0BBC">
        <w:rPr>
          <w:rFonts w:ascii="Calibri" w:hAnsi="Calibri" w:cs="Calibri"/>
          <w:sz w:val="24"/>
          <w:szCs w:val="24"/>
        </w:rPr>
        <w:t>2.2.4. praktinis Lietuvos Respublikos Vyriausybės 2003 m. balandžio 18 d. nutarimo Nr. 480 "Dėl bendrųjų reikalavimų valstybės ir savivaldybių institucijų ir įstaigų interneto svetainėms aprašo patvirtinimo" taikymas;</w:t>
      </w:r>
    </w:p>
    <w:p w14:paraId="2AFF53F1" w14:textId="57DDED61" w:rsidR="00325FF5"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2.2.5. praktinis Interneto svetainių ir mobiliųjų programų darniojo standarto</w:t>
      </w:r>
      <w:r w:rsidR="00D23A05">
        <w:rPr>
          <w:rFonts w:asciiTheme="minorHAnsi" w:hAnsiTheme="minorHAnsi" w:cstheme="minorBidi"/>
          <w:sz w:val="24"/>
          <w:szCs w:val="24"/>
        </w:rPr>
        <w:t xml:space="preserve"> </w:t>
      </w:r>
      <w:r w:rsidR="00D23A05" w:rsidRPr="00862875">
        <w:rPr>
          <w:rFonts w:asciiTheme="minorHAnsi" w:hAnsiTheme="minorHAnsi" w:cstheme="minorBidi"/>
          <w:sz w:val="24"/>
          <w:szCs w:val="24"/>
        </w:rPr>
        <w:t>LST EN 301549</w:t>
      </w:r>
      <w:r w:rsidR="00D23A05">
        <w:rPr>
          <w:rFonts w:asciiTheme="minorHAnsi" w:hAnsiTheme="minorHAnsi" w:cstheme="minorBidi"/>
          <w:sz w:val="24"/>
          <w:szCs w:val="24"/>
        </w:rPr>
        <w:t xml:space="preserve"> (galiojančios versijos)</w:t>
      </w:r>
      <w:r w:rsidR="00E03A63">
        <w:rPr>
          <w:rFonts w:asciiTheme="minorHAnsi" w:hAnsiTheme="minorHAnsi" w:cstheme="minorBidi"/>
          <w:sz w:val="24"/>
          <w:szCs w:val="24"/>
        </w:rPr>
        <w:t xml:space="preserve"> (toliau </w:t>
      </w:r>
      <w:r w:rsidR="00E03A63" w:rsidRPr="3DBF0BBC">
        <w:rPr>
          <w:rFonts w:ascii="Calibri" w:hAnsi="Calibri" w:cs="Calibri"/>
          <w:sz w:val="24"/>
          <w:szCs w:val="24"/>
        </w:rPr>
        <w:t>–</w:t>
      </w:r>
      <w:r w:rsidR="00E03A63">
        <w:rPr>
          <w:rFonts w:asciiTheme="minorHAnsi" w:hAnsiTheme="minorHAnsi" w:cstheme="minorBidi"/>
          <w:sz w:val="24"/>
          <w:szCs w:val="24"/>
        </w:rPr>
        <w:t xml:space="preserve"> </w:t>
      </w:r>
      <w:r w:rsidR="00E03A63" w:rsidRPr="00862875">
        <w:rPr>
          <w:rFonts w:asciiTheme="minorHAnsi" w:hAnsiTheme="minorHAnsi" w:cstheme="minorBidi"/>
          <w:sz w:val="24"/>
          <w:szCs w:val="24"/>
        </w:rPr>
        <w:t>EN 301549</w:t>
      </w:r>
      <w:r w:rsidR="00E03A63">
        <w:rPr>
          <w:rFonts w:asciiTheme="minorHAnsi" w:hAnsiTheme="minorHAnsi" w:cstheme="minorBidi"/>
          <w:sz w:val="24"/>
          <w:szCs w:val="24"/>
        </w:rPr>
        <w:t>)</w:t>
      </w:r>
      <w:r w:rsidRPr="3DBF0BBC">
        <w:rPr>
          <w:rFonts w:asciiTheme="minorHAnsi" w:hAnsiTheme="minorHAnsi" w:cstheme="minorBidi"/>
          <w:sz w:val="24"/>
          <w:szCs w:val="24"/>
        </w:rPr>
        <w:t>, parengto siekiant užtikrinti Europos Parlamento ir Tarybos direktyvos (ES) 2016/2102 įgyvendinimą</w:t>
      </w:r>
      <w:r w:rsidR="00D23A05">
        <w:rPr>
          <w:rFonts w:asciiTheme="minorHAnsi" w:hAnsiTheme="minorHAnsi" w:cstheme="minorBidi"/>
          <w:sz w:val="24"/>
          <w:szCs w:val="24"/>
        </w:rPr>
        <w:t>,</w:t>
      </w:r>
      <w:r w:rsidRPr="3DBF0BBC">
        <w:rPr>
          <w:rFonts w:asciiTheme="minorHAnsi" w:hAnsiTheme="minorHAnsi" w:cstheme="minorBidi"/>
          <w:sz w:val="24"/>
          <w:szCs w:val="24"/>
        </w:rPr>
        <w:t xml:space="preserve"> taikymas;</w:t>
      </w:r>
    </w:p>
    <w:p w14:paraId="1582BCD7" w14:textId="380565E6" w:rsidR="00CF078D" w:rsidRPr="00CF078D" w:rsidRDefault="00CF078D" w:rsidP="00947DA4">
      <w:pPr>
        <w:spacing w:line="276" w:lineRule="auto"/>
        <w:rPr>
          <w:rFonts w:asciiTheme="minorHAnsi" w:hAnsiTheme="minorHAnsi" w:cstheme="minorHAnsi"/>
          <w:sz w:val="24"/>
          <w:szCs w:val="24"/>
        </w:rPr>
      </w:pPr>
      <w:r w:rsidRPr="00CF078D">
        <w:rPr>
          <w:rFonts w:asciiTheme="minorHAnsi" w:hAnsiTheme="minorHAnsi" w:cstheme="minorHAnsi"/>
          <w:sz w:val="24"/>
          <w:szCs w:val="24"/>
        </w:rPr>
        <w:t>2.2.</w:t>
      </w:r>
      <w:r w:rsidR="00D23A05">
        <w:rPr>
          <w:rFonts w:asciiTheme="minorHAnsi" w:hAnsiTheme="minorHAnsi" w:cstheme="minorHAnsi"/>
          <w:sz w:val="24"/>
          <w:szCs w:val="24"/>
        </w:rPr>
        <w:t>6</w:t>
      </w:r>
      <w:r w:rsidRPr="00CF078D">
        <w:rPr>
          <w:rFonts w:asciiTheme="minorHAnsi" w:hAnsiTheme="minorHAnsi" w:cstheme="minorHAnsi"/>
          <w:sz w:val="24"/>
          <w:szCs w:val="24"/>
        </w:rPr>
        <w:t>. Kiti su aukščiau išvardintais teisės aktais susiję teisės aktai</w:t>
      </w:r>
      <w:r w:rsidR="00D23A05">
        <w:rPr>
          <w:rFonts w:asciiTheme="minorHAnsi" w:hAnsiTheme="minorHAnsi" w:cstheme="minorHAnsi"/>
          <w:sz w:val="24"/>
          <w:szCs w:val="24"/>
        </w:rPr>
        <w:t>,</w:t>
      </w:r>
      <w:r w:rsidR="00D23A05" w:rsidRPr="00D23A05">
        <w:rPr>
          <w:rFonts w:asciiTheme="minorHAnsi" w:hAnsiTheme="minorHAnsi" w:cstheme="minorHAnsi"/>
          <w:sz w:val="24"/>
          <w:szCs w:val="24"/>
        </w:rPr>
        <w:t xml:space="preserve"> atsižvelgiant į jų naujausias galiojančias redakcijas ir pakeitimus, taip pat atsižvelgiant į svarbius naujus teisės aktus, reglamentus ar standartus, kurie atsirado po šio dokumento parengimo</w:t>
      </w:r>
      <w:r w:rsidRPr="00CF078D">
        <w:rPr>
          <w:rFonts w:asciiTheme="minorHAnsi" w:hAnsiTheme="minorHAnsi" w:cstheme="minorHAnsi"/>
          <w:sz w:val="24"/>
          <w:szCs w:val="24"/>
        </w:rPr>
        <w:t>.</w:t>
      </w:r>
    </w:p>
    <w:p w14:paraId="46C2CE12" w14:textId="42230744" w:rsidR="001F4560" w:rsidRPr="00C14649" w:rsidRDefault="001F4560" w:rsidP="00740DA6">
      <w:pPr>
        <w:spacing w:line="276" w:lineRule="auto"/>
        <w:ind w:left="426" w:hanging="432"/>
        <w:rPr>
          <w:rFonts w:ascii="Calibri" w:hAnsi="Calibri" w:cs="Calibri"/>
          <w:b/>
          <w:bCs/>
          <w:sz w:val="24"/>
          <w:szCs w:val="24"/>
        </w:rPr>
      </w:pPr>
      <w:r w:rsidRPr="00C14649">
        <w:rPr>
          <w:rFonts w:ascii="Calibri" w:hAnsi="Calibri" w:cs="Calibri"/>
          <w:b/>
          <w:bCs/>
          <w:sz w:val="24"/>
          <w:szCs w:val="24"/>
        </w:rPr>
        <w:t>2.3. Paslaug</w:t>
      </w:r>
      <w:r w:rsidR="00D23A05">
        <w:rPr>
          <w:rFonts w:ascii="Calibri" w:hAnsi="Calibri" w:cs="Calibri"/>
          <w:b/>
          <w:bCs/>
          <w:sz w:val="24"/>
          <w:szCs w:val="24"/>
        </w:rPr>
        <w:t>ų</w:t>
      </w:r>
      <w:r w:rsidRPr="00C14649">
        <w:rPr>
          <w:rFonts w:ascii="Calibri" w:hAnsi="Calibri" w:cs="Calibri"/>
          <w:b/>
          <w:bCs/>
          <w:sz w:val="24"/>
          <w:szCs w:val="24"/>
        </w:rPr>
        <w:t xml:space="preserve"> atlikimo tvarka</w:t>
      </w:r>
    </w:p>
    <w:p w14:paraId="06B7E4FB" w14:textId="54DA85F5" w:rsidR="00C14649" w:rsidRDefault="00C14649" w:rsidP="00541444">
      <w:pPr>
        <w:spacing w:line="276" w:lineRule="auto"/>
        <w:rPr>
          <w:rFonts w:ascii="Calibri" w:hAnsi="Calibri" w:cs="Calibri"/>
          <w:sz w:val="24"/>
        </w:rPr>
      </w:pPr>
      <w:r>
        <w:rPr>
          <w:rFonts w:ascii="Calibri" w:hAnsi="Calibri" w:cs="Calibri"/>
          <w:sz w:val="24"/>
        </w:rPr>
        <w:t>2.3.1.</w:t>
      </w:r>
      <w:r w:rsidR="00040360" w:rsidRPr="00C14649">
        <w:rPr>
          <w:rFonts w:ascii="Calibri" w:hAnsi="Calibri" w:cs="Calibri"/>
          <w:sz w:val="24"/>
        </w:rPr>
        <w:t>Sutarties įgyvendinimo metu Perkančioji organizacija pagal poreikį suformuluos konkrečias užduotis pagal šioje techninėje specifikacijoje nurodytas Eksperto paslaugų sritis</w:t>
      </w:r>
      <w:r w:rsidR="00D23A05">
        <w:rPr>
          <w:rFonts w:ascii="Calibri" w:hAnsi="Calibri" w:cs="Calibri"/>
          <w:sz w:val="24"/>
        </w:rPr>
        <w:t xml:space="preserve"> </w:t>
      </w:r>
      <w:r w:rsidR="00D23A05" w:rsidRPr="00D23A05">
        <w:rPr>
          <w:rFonts w:ascii="Calibri" w:hAnsi="Calibri" w:cs="Calibri"/>
          <w:sz w:val="24"/>
        </w:rPr>
        <w:t xml:space="preserve">ir pateiks </w:t>
      </w:r>
      <w:r w:rsidR="00D23A05">
        <w:rPr>
          <w:rFonts w:ascii="Calibri" w:hAnsi="Calibri" w:cs="Calibri"/>
          <w:sz w:val="24"/>
        </w:rPr>
        <w:t xml:space="preserve">jas </w:t>
      </w:r>
      <w:r w:rsidR="00D23A05" w:rsidRPr="00D23A05">
        <w:rPr>
          <w:rFonts w:ascii="Calibri" w:hAnsi="Calibri" w:cs="Calibri"/>
          <w:sz w:val="24"/>
        </w:rPr>
        <w:t>elektroniniu paštu</w:t>
      </w:r>
      <w:r w:rsidR="0079679E">
        <w:rPr>
          <w:rFonts w:ascii="Calibri" w:hAnsi="Calibri" w:cs="Calibri"/>
          <w:sz w:val="24"/>
        </w:rPr>
        <w:t>.</w:t>
      </w:r>
    </w:p>
    <w:p w14:paraId="773CC304" w14:textId="4FCD968B" w:rsidR="00E03A63" w:rsidRDefault="3DBF0BBC" w:rsidP="3DBF0BBC">
      <w:pPr>
        <w:spacing w:line="276" w:lineRule="auto"/>
        <w:rPr>
          <w:rFonts w:ascii="Calibri" w:hAnsi="Calibri" w:cs="Calibri"/>
          <w:sz w:val="24"/>
          <w:szCs w:val="24"/>
        </w:rPr>
      </w:pPr>
      <w:r w:rsidRPr="3DBF0BBC">
        <w:rPr>
          <w:rFonts w:ascii="Calibri" w:hAnsi="Calibri" w:cs="Calibri"/>
          <w:sz w:val="24"/>
          <w:szCs w:val="24"/>
        </w:rPr>
        <w:t>2.3.2. T</w:t>
      </w:r>
      <w:r w:rsidR="00E03A63">
        <w:rPr>
          <w:rFonts w:ascii="Calibri" w:hAnsi="Calibri" w:cs="Calibri"/>
          <w:sz w:val="24"/>
          <w:szCs w:val="24"/>
        </w:rPr>
        <w:t>ei</w:t>
      </w:r>
      <w:r w:rsidRPr="3DBF0BBC">
        <w:rPr>
          <w:rFonts w:ascii="Calibri" w:hAnsi="Calibri" w:cs="Calibri"/>
          <w:sz w:val="24"/>
          <w:szCs w:val="24"/>
        </w:rPr>
        <w:t>kėjas</w:t>
      </w:r>
      <w:r w:rsidR="00E03A63">
        <w:rPr>
          <w:rFonts w:ascii="Calibri" w:hAnsi="Calibri" w:cs="Calibri"/>
          <w:sz w:val="24"/>
          <w:szCs w:val="24"/>
        </w:rPr>
        <w:t>, kilus neaiškumams</w:t>
      </w:r>
      <w:r w:rsidRPr="3DBF0BBC">
        <w:rPr>
          <w:rFonts w:ascii="Calibri" w:hAnsi="Calibri" w:cs="Calibri"/>
          <w:sz w:val="24"/>
          <w:szCs w:val="24"/>
        </w:rPr>
        <w:t xml:space="preserve"> susisiekia su </w:t>
      </w:r>
      <w:r w:rsidR="00E03A63">
        <w:rPr>
          <w:rFonts w:ascii="Calibri" w:hAnsi="Calibri" w:cs="Calibri"/>
          <w:sz w:val="24"/>
          <w:szCs w:val="24"/>
        </w:rPr>
        <w:t>Perkančiosios organizacijos atstovu</w:t>
      </w:r>
      <w:r w:rsidRPr="3DBF0BBC">
        <w:rPr>
          <w:rFonts w:ascii="Calibri" w:hAnsi="Calibri" w:cs="Calibri"/>
          <w:sz w:val="24"/>
          <w:szCs w:val="24"/>
        </w:rPr>
        <w:t xml:space="preserve"> išsamiau išsiaiškinti situaciją. Jei įmanoma, iš karto suteikia konsultaciją ar rekomendaciją</w:t>
      </w:r>
      <w:r w:rsidR="00E03A63">
        <w:rPr>
          <w:rFonts w:ascii="Calibri" w:hAnsi="Calibri" w:cs="Calibri"/>
          <w:sz w:val="24"/>
          <w:szCs w:val="24"/>
        </w:rPr>
        <w:t xml:space="preserve">, pateikdamas ją el. </w:t>
      </w:r>
      <w:r w:rsidR="00E03A63">
        <w:rPr>
          <w:rFonts w:ascii="Calibri" w:hAnsi="Calibri" w:cs="Calibri"/>
          <w:sz w:val="24"/>
          <w:szCs w:val="24"/>
        </w:rPr>
        <w:lastRenderedPageBreak/>
        <w:t xml:space="preserve">paštu </w:t>
      </w:r>
      <w:hyperlink r:id="rId8" w:history="1">
        <w:r w:rsidR="00E03A63" w:rsidRPr="00450C6C">
          <w:rPr>
            <w:rStyle w:val="Hipersaitas"/>
            <w:rFonts w:ascii="Calibri" w:hAnsi="Calibri" w:cs="Calibri"/>
            <w:sz w:val="24"/>
            <w:szCs w:val="24"/>
          </w:rPr>
          <w:t>kc@anta.lt</w:t>
        </w:r>
      </w:hyperlink>
      <w:r w:rsidR="00E03A63">
        <w:rPr>
          <w:rFonts w:ascii="Calibri" w:hAnsi="Calibri" w:cs="Calibri"/>
          <w:sz w:val="24"/>
          <w:szCs w:val="24"/>
        </w:rPr>
        <w:t xml:space="preserve">. </w:t>
      </w:r>
      <w:r w:rsidR="00E03A63" w:rsidRPr="00E03A63">
        <w:rPr>
          <w:rFonts w:ascii="Calibri" w:hAnsi="Calibri" w:cs="Calibri"/>
          <w:sz w:val="24"/>
          <w:szCs w:val="24"/>
        </w:rPr>
        <w:t>T</w:t>
      </w:r>
      <w:r w:rsidR="0079679E">
        <w:rPr>
          <w:rFonts w:ascii="Calibri" w:hAnsi="Calibri" w:cs="Calibri"/>
          <w:sz w:val="24"/>
          <w:szCs w:val="24"/>
        </w:rPr>
        <w:t>ei</w:t>
      </w:r>
      <w:r w:rsidR="00E03A63" w:rsidRPr="00E03A63">
        <w:rPr>
          <w:rFonts w:ascii="Calibri" w:hAnsi="Calibri" w:cs="Calibri"/>
          <w:sz w:val="24"/>
          <w:szCs w:val="24"/>
        </w:rPr>
        <w:t>kėjas atsakymo tekstą persiunčia Perkančiajai organizacijai, o ne užklausą pateikusiam asmeniui</w:t>
      </w:r>
      <w:r w:rsidR="00E03A63">
        <w:rPr>
          <w:rFonts w:ascii="Calibri" w:hAnsi="Calibri" w:cs="Calibri"/>
          <w:sz w:val="24"/>
          <w:szCs w:val="24"/>
        </w:rPr>
        <w:t>.</w:t>
      </w:r>
      <w:r w:rsidRPr="3DBF0BBC">
        <w:rPr>
          <w:rFonts w:ascii="Calibri" w:hAnsi="Calibri" w:cs="Calibri"/>
          <w:sz w:val="24"/>
          <w:szCs w:val="24"/>
        </w:rPr>
        <w:t xml:space="preserve"> Jei konsultacijos ar rekomendacijos suteikti iš karto neįmanoma, T</w:t>
      </w:r>
      <w:r w:rsidR="0079679E">
        <w:rPr>
          <w:rFonts w:ascii="Calibri" w:hAnsi="Calibri" w:cs="Calibri"/>
          <w:sz w:val="24"/>
          <w:szCs w:val="24"/>
        </w:rPr>
        <w:t>ei</w:t>
      </w:r>
      <w:r w:rsidRPr="3DBF0BBC">
        <w:rPr>
          <w:rFonts w:ascii="Calibri" w:hAnsi="Calibri" w:cs="Calibri"/>
          <w:sz w:val="24"/>
          <w:szCs w:val="24"/>
        </w:rPr>
        <w:t xml:space="preserve">kėjas informuoja </w:t>
      </w:r>
      <w:r w:rsidR="00E03A63">
        <w:rPr>
          <w:rFonts w:ascii="Calibri" w:hAnsi="Calibri" w:cs="Calibri"/>
          <w:sz w:val="24"/>
          <w:szCs w:val="24"/>
        </w:rPr>
        <w:t>Perkančiosios organizacijos atstovą</w:t>
      </w:r>
      <w:r w:rsidRPr="3DBF0BBC">
        <w:rPr>
          <w:rFonts w:ascii="Calibri" w:hAnsi="Calibri" w:cs="Calibri"/>
          <w:sz w:val="24"/>
          <w:szCs w:val="24"/>
        </w:rPr>
        <w:t xml:space="preserve"> iki kada pateiks atsakymą, bet ne vėliau nei per </w:t>
      </w:r>
      <w:r w:rsidR="00610C0B">
        <w:rPr>
          <w:rFonts w:ascii="Calibri" w:hAnsi="Calibri" w:cs="Calibri"/>
          <w:sz w:val="24"/>
          <w:szCs w:val="24"/>
        </w:rPr>
        <w:t>3</w:t>
      </w:r>
      <w:r w:rsidRPr="3DBF0BBC">
        <w:rPr>
          <w:rFonts w:ascii="Calibri" w:hAnsi="Calibri" w:cs="Calibri"/>
          <w:sz w:val="24"/>
          <w:szCs w:val="24"/>
        </w:rPr>
        <w:t xml:space="preserve">0 kalendorinių dienų nuo užklausos gavimo datos. </w:t>
      </w:r>
    </w:p>
    <w:p w14:paraId="28CE6E6C" w14:textId="51DF7612" w:rsidR="00040360" w:rsidRDefault="00E03A63" w:rsidP="3DBF0BBC">
      <w:pPr>
        <w:spacing w:line="276" w:lineRule="auto"/>
        <w:rPr>
          <w:rFonts w:ascii="Calibri" w:hAnsi="Calibri" w:cs="Calibri"/>
          <w:sz w:val="24"/>
          <w:szCs w:val="24"/>
        </w:rPr>
      </w:pPr>
      <w:r>
        <w:rPr>
          <w:rFonts w:ascii="Calibri" w:hAnsi="Calibri" w:cs="Calibri"/>
          <w:sz w:val="24"/>
          <w:szCs w:val="24"/>
        </w:rPr>
        <w:t xml:space="preserve">2.3.3. </w:t>
      </w:r>
      <w:r w:rsidR="3DBF0BBC" w:rsidRPr="3DBF0BBC">
        <w:rPr>
          <w:rFonts w:ascii="Calibri" w:hAnsi="Calibri" w:cs="Calibri"/>
          <w:sz w:val="24"/>
          <w:szCs w:val="24"/>
        </w:rPr>
        <w:t>T</w:t>
      </w:r>
      <w:r w:rsidR="0079679E">
        <w:rPr>
          <w:rFonts w:ascii="Calibri" w:hAnsi="Calibri" w:cs="Calibri"/>
          <w:sz w:val="24"/>
          <w:szCs w:val="24"/>
        </w:rPr>
        <w:t>ei</w:t>
      </w:r>
      <w:r w:rsidR="3DBF0BBC" w:rsidRPr="3DBF0BBC">
        <w:rPr>
          <w:rFonts w:ascii="Calibri" w:hAnsi="Calibri" w:cs="Calibri"/>
          <w:sz w:val="24"/>
          <w:szCs w:val="24"/>
        </w:rPr>
        <w:t>kėjas, atsižvelgdamas į gautas užklausas ir preliminariai planuodamas, kad bus pasiektas šios techninės specifikacijos 1.6.1. punkte nurodytas paslaugų skaičius (valandomis), įsipareigoja nedelsiant raštu ar el. paštu informuoti Perkančiąją organizaciją apie planuojamą pasiekti paslaugų apimtį</w:t>
      </w:r>
      <w:r w:rsidR="0079679E">
        <w:rPr>
          <w:rFonts w:ascii="Calibri" w:hAnsi="Calibri" w:cs="Calibri"/>
          <w:sz w:val="24"/>
          <w:szCs w:val="24"/>
        </w:rPr>
        <w:t>.</w:t>
      </w:r>
    </w:p>
    <w:p w14:paraId="0D24D1FC" w14:textId="77777777" w:rsidR="00947DA4" w:rsidRDefault="0079679E" w:rsidP="3DBF0BBC">
      <w:pPr>
        <w:spacing w:line="276" w:lineRule="auto"/>
        <w:rPr>
          <w:rFonts w:ascii="Calibri" w:hAnsi="Calibri" w:cs="Calibri"/>
          <w:sz w:val="24"/>
          <w:szCs w:val="24"/>
        </w:rPr>
      </w:pPr>
      <w:r>
        <w:rPr>
          <w:rFonts w:ascii="Calibri" w:hAnsi="Calibri" w:cs="Calibri"/>
          <w:sz w:val="24"/>
          <w:szCs w:val="24"/>
        </w:rPr>
        <w:t xml:space="preserve">2.3.4. </w:t>
      </w:r>
      <w:r w:rsidRPr="0079679E">
        <w:rPr>
          <w:rFonts w:ascii="Calibri" w:hAnsi="Calibri" w:cs="Calibri"/>
          <w:sz w:val="24"/>
          <w:szCs w:val="24"/>
        </w:rPr>
        <w:t>T</w:t>
      </w:r>
      <w:r>
        <w:rPr>
          <w:rFonts w:ascii="Calibri" w:hAnsi="Calibri" w:cs="Calibri"/>
          <w:sz w:val="24"/>
          <w:szCs w:val="24"/>
        </w:rPr>
        <w:t>ei</w:t>
      </w:r>
      <w:r w:rsidRPr="0079679E">
        <w:rPr>
          <w:rFonts w:ascii="Calibri" w:hAnsi="Calibri" w:cs="Calibri"/>
          <w:sz w:val="24"/>
          <w:szCs w:val="24"/>
        </w:rPr>
        <w:t>kėjas privalo turėti galimybę suteikti reikiamas paslaugas per įmanomai trumpiausius terminus, kuriuos nurodys Perkančioji organizacija. Te</w:t>
      </w:r>
      <w:r>
        <w:rPr>
          <w:rFonts w:ascii="Calibri" w:hAnsi="Calibri" w:cs="Calibri"/>
          <w:sz w:val="24"/>
          <w:szCs w:val="24"/>
        </w:rPr>
        <w:t>i</w:t>
      </w:r>
      <w:r w:rsidRPr="0079679E">
        <w:rPr>
          <w:rFonts w:ascii="Calibri" w:hAnsi="Calibri" w:cs="Calibri"/>
          <w:sz w:val="24"/>
          <w:szCs w:val="24"/>
        </w:rPr>
        <w:t>kėjas turi turėti galimybę atlikti pavestas užduotis skubos tvarka – per 1-3 darbo dienas</w:t>
      </w:r>
      <w:r>
        <w:rPr>
          <w:rFonts w:ascii="Calibri" w:hAnsi="Calibri" w:cs="Calibri"/>
          <w:sz w:val="24"/>
          <w:szCs w:val="24"/>
        </w:rPr>
        <w:t>.</w:t>
      </w:r>
    </w:p>
    <w:p w14:paraId="46F750AE" w14:textId="00E931B6" w:rsidR="00040360" w:rsidRPr="00C14649"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5</w:t>
      </w:r>
      <w:r w:rsidRPr="3DBF0BBC">
        <w:rPr>
          <w:rFonts w:asciiTheme="minorHAnsi" w:hAnsiTheme="minorHAnsi" w:cstheme="minorBidi"/>
          <w:sz w:val="24"/>
          <w:szCs w:val="24"/>
        </w:rPr>
        <w:t>. Teikėjas fiksuoja užklausos gavimo ir suteikimo datas, informaciją apie užklausą pateikusį asmenį (kontaktinė informacija), Eksperto paslaugos suteikimo trukmę</w:t>
      </w:r>
      <w:r w:rsidR="0079679E">
        <w:rPr>
          <w:rFonts w:asciiTheme="minorHAnsi" w:hAnsiTheme="minorHAnsi" w:cstheme="minorBidi"/>
          <w:sz w:val="24"/>
          <w:szCs w:val="24"/>
        </w:rPr>
        <w:t>.</w:t>
      </w:r>
    </w:p>
    <w:p w14:paraId="18DEEC6B" w14:textId="736A0E3C" w:rsidR="00040360" w:rsidRPr="00C14649"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6</w:t>
      </w:r>
      <w:r w:rsidRPr="3DBF0BBC">
        <w:rPr>
          <w:rFonts w:asciiTheme="minorHAnsi" w:hAnsiTheme="minorHAnsi" w:cstheme="minorBidi"/>
          <w:sz w:val="24"/>
          <w:szCs w:val="24"/>
        </w:rPr>
        <w:t>. Konsultacijos ir rekomendacijos gali būti suteiktos naudojantis informacinėmis komunikacinėmis technologijomis – telefonu, internetinėmis bendradarbiavimo ir komunikacijos programomis, el. paštu, bei tiesioginių susitikimų su Perkančiosios organizacijos atstovais metu. Teikiant konsultacijas ir rekomendacijas el. paštu, atsakymas persiunčiamas Perkančiajai organizacijai el. paštu (</w:t>
      </w:r>
      <w:proofErr w:type="spellStart"/>
      <w:r w:rsidRPr="3DBF0BBC">
        <w:rPr>
          <w:rFonts w:asciiTheme="minorHAnsi" w:hAnsiTheme="minorHAnsi" w:cstheme="minorBidi"/>
          <w:sz w:val="24"/>
          <w:szCs w:val="24"/>
        </w:rPr>
        <w:t>kc@anta.lt</w:t>
      </w:r>
      <w:proofErr w:type="spellEnd"/>
      <w:r w:rsidRPr="3DBF0BBC">
        <w:rPr>
          <w:rFonts w:asciiTheme="minorHAnsi" w:hAnsiTheme="minorHAnsi" w:cstheme="minorBidi"/>
          <w:sz w:val="24"/>
          <w:szCs w:val="24"/>
        </w:rPr>
        <w:t xml:space="preserve">). Teikiant konsultacijas internetinėmis bendradarbiavimo ir komunikacijos programomis, atsakymas įrašomas ir pateikiamas Perkančiajai organizacijai. </w:t>
      </w:r>
    </w:p>
    <w:p w14:paraId="1F3C53BA" w14:textId="57157B15" w:rsidR="3DBF0BBC" w:rsidRDefault="3DBF0BBC">
      <w:pPr>
        <w:spacing w:line="276" w:lineRule="auto"/>
        <w:rPr>
          <w:rFonts w:ascii="Calibri" w:eastAsia="Calibri" w:hAnsi="Calibri" w:cs="Calibr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7</w:t>
      </w:r>
      <w:r w:rsidRPr="3DBF0BBC">
        <w:rPr>
          <w:rFonts w:asciiTheme="minorHAnsi" w:hAnsiTheme="minorHAnsi" w:cstheme="minorBidi"/>
          <w:sz w:val="24"/>
          <w:szCs w:val="24"/>
        </w:rPr>
        <w:t>.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w:t>
      </w:r>
      <w:r w:rsidRPr="3DBF0BBC">
        <w:rPr>
          <w:rFonts w:ascii="Calibri" w:eastAsia="Calibri" w:hAnsi="Calibri" w:cs="Calibri"/>
          <w:sz w:val="24"/>
          <w:szCs w:val="24"/>
        </w:rPr>
        <w:t>turi geb</w:t>
      </w:r>
      <w:r w:rsidR="00BA1E62">
        <w:rPr>
          <w:rFonts w:ascii="Calibri" w:eastAsia="Calibri" w:hAnsi="Calibri" w:cs="Calibri"/>
          <w:sz w:val="24"/>
          <w:szCs w:val="24"/>
        </w:rPr>
        <w:t>ėti</w:t>
      </w:r>
      <w:r w:rsidRPr="3DBF0BBC">
        <w:rPr>
          <w:rFonts w:ascii="Calibri" w:eastAsia="Calibri" w:hAnsi="Calibri" w:cs="Calibri"/>
          <w:sz w:val="24"/>
          <w:szCs w:val="24"/>
        </w:rPr>
        <w:t xml:space="preserve"> naudotis ekrano skaitymo programomis ir atlikti rankinį</w:t>
      </w:r>
      <w:r w:rsidR="00BA1E62">
        <w:rPr>
          <w:rFonts w:ascii="Calibri" w:eastAsia="Calibri" w:hAnsi="Calibri" w:cs="Calibri"/>
          <w:sz w:val="24"/>
          <w:szCs w:val="24"/>
        </w:rPr>
        <w:t xml:space="preserve"> ir automatinį</w:t>
      </w:r>
      <w:r w:rsidRPr="3DBF0BBC">
        <w:rPr>
          <w:rFonts w:ascii="Calibri" w:eastAsia="Calibri" w:hAnsi="Calibri" w:cs="Calibri"/>
          <w:sz w:val="24"/>
          <w:szCs w:val="24"/>
        </w:rPr>
        <w:t xml:space="preserve"> interneto svetainių prieinamumo vertinimą pagal galiojančios Europos Parlamento ir Tarybos Direktyvos (ES) 2016/2102 dėl viešojo sektoriaus subjektų interneto svetainių ir mobiliųjų programų prieinamumo reikalavimus. T</w:t>
      </w:r>
      <w:r w:rsidR="0079679E">
        <w:rPr>
          <w:rFonts w:ascii="Calibri" w:eastAsia="Calibri" w:hAnsi="Calibri" w:cs="Calibri"/>
          <w:sz w:val="24"/>
          <w:szCs w:val="24"/>
        </w:rPr>
        <w:t>ei</w:t>
      </w:r>
      <w:r w:rsidRPr="3DBF0BBC">
        <w:rPr>
          <w:rFonts w:ascii="Calibri" w:eastAsia="Calibri" w:hAnsi="Calibri" w:cs="Calibri"/>
          <w:sz w:val="24"/>
          <w:szCs w:val="24"/>
        </w:rPr>
        <w:t xml:space="preserve">kėjas turi turėti įgūdžių ir patirties vertinant skaitmeninį prieinamumą pagal </w:t>
      </w:r>
      <w:r w:rsidR="00862875" w:rsidRPr="00862875">
        <w:rPr>
          <w:rFonts w:ascii="Calibri" w:eastAsia="Calibri" w:hAnsi="Calibri" w:cs="Calibri"/>
          <w:sz w:val="24"/>
          <w:szCs w:val="24"/>
        </w:rPr>
        <w:t>LST EN 301549</w:t>
      </w:r>
      <w:r w:rsidRPr="3DBF0BBC">
        <w:rPr>
          <w:rFonts w:ascii="Calibri" w:eastAsia="Calibri" w:hAnsi="Calibri" w:cs="Calibri"/>
          <w:sz w:val="24"/>
          <w:szCs w:val="24"/>
        </w:rPr>
        <w:t>.</w:t>
      </w:r>
    </w:p>
    <w:p w14:paraId="31489D43" w14:textId="462F2F91" w:rsidR="00862875"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2.3.</w:t>
      </w:r>
      <w:r w:rsidR="0079679E">
        <w:rPr>
          <w:rFonts w:ascii="Calibri" w:eastAsia="Calibri" w:hAnsi="Calibri" w:cs="Calibri"/>
          <w:sz w:val="24"/>
          <w:szCs w:val="24"/>
        </w:rPr>
        <w:t>8</w:t>
      </w:r>
      <w:r w:rsidRPr="3DBF0BBC">
        <w:rPr>
          <w:rFonts w:ascii="Calibri" w:eastAsia="Calibri" w:hAnsi="Calibri" w:cs="Calibri"/>
          <w:sz w:val="24"/>
          <w:szCs w:val="24"/>
        </w:rPr>
        <w:t>. T</w:t>
      </w:r>
      <w:r w:rsidR="00E03A63">
        <w:rPr>
          <w:rFonts w:ascii="Calibri" w:eastAsia="Calibri" w:hAnsi="Calibri" w:cs="Calibri"/>
          <w:sz w:val="24"/>
          <w:szCs w:val="24"/>
        </w:rPr>
        <w:t>ei</w:t>
      </w:r>
      <w:r w:rsidRPr="3DBF0BBC">
        <w:rPr>
          <w:rFonts w:ascii="Calibri" w:eastAsia="Calibri" w:hAnsi="Calibri" w:cs="Calibri"/>
          <w:sz w:val="24"/>
          <w:szCs w:val="24"/>
        </w:rPr>
        <w:t>kėjas, pastebėjęs teisės aktuose, kuriais remiantis teikiamos Paslaugos, netikslumų, neatitikimų ar dviprasmybių, privalo informuoti Perkančiąją organizaciją ir pateikti pagrįstus siūlymus dėl teisės aktų koregavimo inicijavimo. T</w:t>
      </w:r>
      <w:r w:rsidR="0079679E">
        <w:rPr>
          <w:rFonts w:ascii="Calibri" w:eastAsia="Calibri" w:hAnsi="Calibri" w:cs="Calibri"/>
          <w:sz w:val="24"/>
          <w:szCs w:val="24"/>
        </w:rPr>
        <w:t>ei</w:t>
      </w:r>
      <w:r w:rsidRPr="3DBF0BBC">
        <w:rPr>
          <w:rFonts w:ascii="Calibri" w:eastAsia="Calibri" w:hAnsi="Calibri" w:cs="Calibri"/>
          <w:sz w:val="24"/>
          <w:szCs w:val="24"/>
        </w:rPr>
        <w:t>kėjo teikiami siūlymai turi būti argumentuoti.</w:t>
      </w:r>
    </w:p>
    <w:p w14:paraId="0036A7BB" w14:textId="1AB4E123" w:rsidR="0079679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9</w:t>
      </w:r>
      <w:r w:rsidRPr="3DBF0BBC">
        <w:rPr>
          <w:rFonts w:asciiTheme="minorHAnsi" w:hAnsiTheme="minorHAnsi" w:cstheme="minorBidi"/>
          <w:sz w:val="24"/>
          <w:szCs w:val="24"/>
        </w:rPr>
        <w:t>. T</w:t>
      </w:r>
      <w:r w:rsidR="00E03A63">
        <w:rPr>
          <w:rFonts w:asciiTheme="minorHAnsi" w:hAnsiTheme="minorHAnsi" w:cstheme="minorBidi"/>
          <w:sz w:val="24"/>
          <w:szCs w:val="24"/>
        </w:rPr>
        <w:t>ei</w:t>
      </w:r>
      <w:r w:rsidRPr="3DBF0BBC">
        <w:rPr>
          <w:rFonts w:asciiTheme="minorHAnsi" w:hAnsiTheme="minorHAnsi" w:cstheme="minorBidi"/>
          <w:sz w:val="24"/>
          <w:szCs w:val="24"/>
        </w:rPr>
        <w:t>kėjas kas mėnesį per 10 dienų, pasibaigus ataskaitiniam kalendoriniam mėnesiui, per kurį buvo suteiktos Eksperto paslaugos, pateikia Užsakovui per tą ataskaitinį mėnesį pilnai atsakytų užklausų ataskaitą</w:t>
      </w:r>
      <w:r w:rsidR="0079679E">
        <w:rPr>
          <w:rFonts w:asciiTheme="minorHAnsi" w:hAnsiTheme="minorHAnsi" w:cstheme="minorBidi"/>
          <w:sz w:val="24"/>
          <w:szCs w:val="24"/>
        </w:rPr>
        <w:t xml:space="preserve"> </w:t>
      </w:r>
      <w:r w:rsidR="0079679E" w:rsidRPr="0079679E">
        <w:rPr>
          <w:rFonts w:asciiTheme="minorHAnsi" w:hAnsiTheme="minorHAnsi" w:cstheme="minorBidi"/>
          <w:sz w:val="24"/>
          <w:szCs w:val="24"/>
        </w:rPr>
        <w:t>(su Perkančiąja organizacija suderintu formatu, pvz., Word, Excel dokumentu, lentele, sąrašu)</w:t>
      </w:r>
      <w:r w:rsidRPr="3DBF0BBC">
        <w:rPr>
          <w:rFonts w:asciiTheme="minorHAnsi" w:hAnsiTheme="minorHAnsi" w:cstheme="minorBidi"/>
          <w:sz w:val="24"/>
          <w:szCs w:val="24"/>
        </w:rPr>
        <w:t xml:space="preserve"> kartu su Paslaugų perdavimo-priėmimo aktu</w:t>
      </w:r>
      <w:r w:rsidR="0079679E">
        <w:rPr>
          <w:rFonts w:asciiTheme="minorHAnsi" w:hAnsiTheme="minorHAnsi" w:cstheme="minorBidi"/>
          <w:sz w:val="24"/>
          <w:szCs w:val="24"/>
        </w:rPr>
        <w:t xml:space="preserve">, </w:t>
      </w:r>
      <w:r w:rsidR="0079679E" w:rsidRPr="0079679E">
        <w:rPr>
          <w:rFonts w:asciiTheme="minorHAnsi" w:hAnsiTheme="minorHAnsi" w:cstheme="minorBidi"/>
          <w:sz w:val="24"/>
          <w:szCs w:val="24"/>
        </w:rPr>
        <w:t>jame nurodant per ataskaitinį kalendorinį mėnesį suteiktą valandų skaičių bei nurodant suteiktas paslaugas</w:t>
      </w:r>
      <w:r w:rsidR="0079679E">
        <w:rPr>
          <w:rFonts w:asciiTheme="minorHAnsi" w:hAnsiTheme="minorHAnsi" w:cstheme="minorBidi"/>
          <w:sz w:val="24"/>
          <w:szCs w:val="24"/>
        </w:rPr>
        <w:t>.</w:t>
      </w:r>
    </w:p>
    <w:p w14:paraId="3B208A1B" w14:textId="282DB290" w:rsidR="00040360" w:rsidRDefault="0079679E" w:rsidP="3DBF0BBC">
      <w:pPr>
        <w:spacing w:line="276" w:lineRule="auto"/>
        <w:rPr>
          <w:rFonts w:asciiTheme="minorHAnsi" w:hAnsiTheme="minorHAnsi" w:cstheme="minorBidi"/>
          <w:sz w:val="24"/>
          <w:szCs w:val="24"/>
        </w:rPr>
      </w:pPr>
      <w:r>
        <w:rPr>
          <w:rFonts w:asciiTheme="minorHAnsi" w:hAnsiTheme="minorHAnsi" w:cstheme="minorBidi"/>
          <w:sz w:val="24"/>
          <w:szCs w:val="24"/>
        </w:rPr>
        <w:t xml:space="preserve">2.3.10. </w:t>
      </w:r>
      <w:r w:rsidRPr="0079679E">
        <w:rPr>
          <w:rFonts w:asciiTheme="minorHAnsi" w:hAnsiTheme="minorHAnsi" w:cstheme="minorBidi"/>
          <w:sz w:val="24"/>
          <w:szCs w:val="24"/>
        </w:rPr>
        <w:t>Įgyvendinus paslaugas t</w:t>
      </w:r>
      <w:r>
        <w:rPr>
          <w:rFonts w:asciiTheme="minorHAnsi" w:hAnsiTheme="minorHAnsi" w:cstheme="minorBidi"/>
          <w:sz w:val="24"/>
          <w:szCs w:val="24"/>
        </w:rPr>
        <w:t>ei</w:t>
      </w:r>
      <w:r w:rsidRPr="0079679E">
        <w:rPr>
          <w:rFonts w:asciiTheme="minorHAnsi" w:hAnsiTheme="minorHAnsi" w:cstheme="minorBidi"/>
          <w:sz w:val="24"/>
          <w:szCs w:val="24"/>
        </w:rPr>
        <w:t xml:space="preserve">kėjas privalo pateikti Perkančiajai organizacijai </w:t>
      </w:r>
      <w:r>
        <w:rPr>
          <w:rFonts w:asciiTheme="minorHAnsi" w:hAnsiTheme="minorHAnsi" w:cstheme="minorBidi"/>
          <w:sz w:val="24"/>
          <w:szCs w:val="24"/>
        </w:rPr>
        <w:t>2.3.9</w:t>
      </w:r>
      <w:r w:rsidRPr="0079679E">
        <w:rPr>
          <w:rFonts w:asciiTheme="minorHAnsi" w:hAnsiTheme="minorHAnsi" w:cstheme="minorBidi"/>
          <w:sz w:val="24"/>
          <w:szCs w:val="24"/>
        </w:rPr>
        <w:t xml:space="preserve">. punkte, numatytą Perdavimo – priėmimo aktą pasirašymui. Elektroninę sąskaitą už suteiktas Eksperto paslaugas </w:t>
      </w:r>
      <w:r>
        <w:rPr>
          <w:rFonts w:asciiTheme="minorHAnsi" w:hAnsiTheme="minorHAnsi" w:cstheme="minorBidi"/>
          <w:sz w:val="24"/>
          <w:szCs w:val="24"/>
        </w:rPr>
        <w:t>Tei</w:t>
      </w:r>
      <w:r w:rsidRPr="0079679E">
        <w:rPr>
          <w:rFonts w:asciiTheme="minorHAnsi" w:hAnsiTheme="minorHAnsi" w:cstheme="minorBidi"/>
          <w:sz w:val="24"/>
          <w:szCs w:val="24"/>
        </w:rPr>
        <w:t>kėjas privalo įkelti į SABIS sistemą, ne vėliau kaip per 10 dienų pasibaigus ataskaitiniam kalendoriniam mėnesiui. Perkančioji organizacija su Paslaugų t</w:t>
      </w:r>
      <w:r>
        <w:rPr>
          <w:rFonts w:asciiTheme="minorHAnsi" w:hAnsiTheme="minorHAnsi" w:cstheme="minorBidi"/>
          <w:sz w:val="24"/>
          <w:szCs w:val="24"/>
        </w:rPr>
        <w:t>ei</w:t>
      </w:r>
      <w:r w:rsidRPr="0079679E">
        <w:rPr>
          <w:rFonts w:asciiTheme="minorHAnsi" w:hAnsiTheme="minorHAnsi" w:cstheme="minorBidi"/>
          <w:sz w:val="24"/>
          <w:szCs w:val="24"/>
        </w:rPr>
        <w:t>kėju atsiskaito ne vėliau kaip per 30 (trisdešimt) kalendorinių dienų nuo sąskaitos gavimo SABIS sistemoje dienos</w:t>
      </w:r>
      <w:r>
        <w:rPr>
          <w:rFonts w:asciiTheme="minorHAnsi" w:hAnsiTheme="minorHAnsi" w:cstheme="minorBidi"/>
          <w:sz w:val="24"/>
          <w:szCs w:val="24"/>
        </w:rPr>
        <w:t>.</w:t>
      </w:r>
      <w:r w:rsidR="3DBF0BBC" w:rsidRPr="3DBF0BBC">
        <w:rPr>
          <w:rFonts w:asciiTheme="minorHAnsi" w:hAnsiTheme="minorHAnsi" w:cstheme="minorBidi"/>
          <w:sz w:val="24"/>
          <w:szCs w:val="24"/>
        </w:rPr>
        <w:t xml:space="preserve"> </w:t>
      </w:r>
    </w:p>
    <w:p w14:paraId="3DAA0189" w14:textId="7C2816A6" w:rsidR="00C07782" w:rsidRDefault="3DBF0BBC" w:rsidP="00541444">
      <w:pPr>
        <w:spacing w:line="276" w:lineRule="auto"/>
        <w:rPr>
          <w:rFonts w:ascii="Calibri" w:hAnsi="Calibri" w:cs="Calibri"/>
          <w:sz w:val="24"/>
          <w:szCs w:val="24"/>
        </w:rPr>
      </w:pPr>
      <w:r w:rsidRPr="3DBF0BBC">
        <w:rPr>
          <w:rFonts w:ascii="Calibri" w:hAnsi="Calibri" w:cs="Calibri"/>
          <w:sz w:val="24"/>
          <w:szCs w:val="24"/>
        </w:rPr>
        <w:t>2.3.</w:t>
      </w:r>
      <w:r w:rsidR="0079679E">
        <w:rPr>
          <w:rFonts w:ascii="Calibri" w:hAnsi="Calibri" w:cs="Calibri"/>
          <w:sz w:val="24"/>
          <w:szCs w:val="24"/>
        </w:rPr>
        <w:t>11</w:t>
      </w:r>
      <w:r w:rsidRPr="3DBF0BBC">
        <w:rPr>
          <w:rFonts w:ascii="Calibri" w:hAnsi="Calibri" w:cs="Calibri"/>
          <w:sz w:val="24"/>
          <w:szCs w:val="24"/>
        </w:rPr>
        <w:t xml:space="preserve">. Teikėjas konsultacijas ir rekomendacijas teikia taisyklinga lietuvių kalba. </w:t>
      </w:r>
    </w:p>
    <w:p w14:paraId="220F9381" w14:textId="15BD08D6" w:rsidR="00621537" w:rsidRPr="00C07782" w:rsidRDefault="3DBF0BBC" w:rsidP="00541444">
      <w:pPr>
        <w:spacing w:line="276" w:lineRule="auto"/>
        <w:rPr>
          <w:rFonts w:ascii="Calibri" w:hAnsi="Calibri" w:cs="Calibri"/>
          <w:sz w:val="24"/>
          <w:szCs w:val="24"/>
        </w:rPr>
      </w:pPr>
      <w:r w:rsidRPr="3DBF0BBC">
        <w:rPr>
          <w:rFonts w:ascii="Calibri" w:hAnsi="Calibri" w:cs="Calibri"/>
          <w:sz w:val="24"/>
          <w:szCs w:val="24"/>
        </w:rPr>
        <w:lastRenderedPageBreak/>
        <w:t>2.3.</w:t>
      </w:r>
      <w:r w:rsidR="00E03A63">
        <w:rPr>
          <w:rFonts w:ascii="Calibri" w:hAnsi="Calibri" w:cs="Calibri"/>
          <w:sz w:val="24"/>
          <w:szCs w:val="24"/>
        </w:rPr>
        <w:t>1</w:t>
      </w:r>
      <w:r w:rsidR="0079679E">
        <w:rPr>
          <w:rFonts w:ascii="Calibri" w:hAnsi="Calibri" w:cs="Calibri"/>
          <w:sz w:val="24"/>
          <w:szCs w:val="24"/>
        </w:rPr>
        <w:t>2</w:t>
      </w:r>
      <w:r w:rsidRPr="3DBF0BBC">
        <w:rPr>
          <w:rFonts w:ascii="Calibri" w:hAnsi="Calibri" w:cs="Calibri"/>
          <w:sz w:val="24"/>
          <w:szCs w:val="24"/>
        </w:rPr>
        <w:t>. Teikiant Paslaugas, T</w:t>
      </w:r>
      <w:r w:rsidR="00E03A63">
        <w:rPr>
          <w:rFonts w:ascii="Calibri" w:hAnsi="Calibri" w:cs="Calibri"/>
          <w:sz w:val="24"/>
          <w:szCs w:val="24"/>
        </w:rPr>
        <w:t>ei</w:t>
      </w:r>
      <w:r w:rsidRPr="3DBF0BBC">
        <w:rPr>
          <w:rFonts w:ascii="Calibri" w:hAnsi="Calibri" w:cs="Calibri"/>
          <w:sz w:val="24"/>
          <w:szCs w:val="24"/>
        </w:rPr>
        <w:t>kėjas turi vadovautis „Negaliai jautrios kalbos gairėmis“ (</w:t>
      </w:r>
      <w:hyperlink r:id="rId9">
        <w:r w:rsidRPr="3DBF0BBC">
          <w:rPr>
            <w:rStyle w:val="Hipersaitas"/>
            <w:rFonts w:ascii="Calibri" w:hAnsi="Calibri" w:cs="Calibri"/>
            <w:sz w:val="24"/>
            <w:szCs w:val="24"/>
          </w:rPr>
          <w:t>https://anta.lrv.lt/public/canonical/1733739405/808/Negaliai%20jautrios%20kalbos%20gair%C4%97s_adaptuotos.pd.pdf</w:t>
        </w:r>
      </w:hyperlink>
      <w:r w:rsidRPr="3DBF0BBC">
        <w:rPr>
          <w:rFonts w:ascii="Calibri" w:hAnsi="Calibri" w:cs="Calibri"/>
          <w:sz w:val="24"/>
          <w:szCs w:val="24"/>
        </w:rPr>
        <w:t xml:space="preserve"> ).</w:t>
      </w:r>
    </w:p>
    <w:p w14:paraId="6A5F015A" w14:textId="1008A80D" w:rsidR="00040360"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E03A63">
        <w:rPr>
          <w:rFonts w:asciiTheme="minorHAnsi" w:hAnsiTheme="minorHAnsi" w:cstheme="minorBidi"/>
          <w:sz w:val="24"/>
          <w:szCs w:val="24"/>
        </w:rPr>
        <w:t>1</w:t>
      </w:r>
      <w:r w:rsidR="0079679E">
        <w:rPr>
          <w:rFonts w:asciiTheme="minorHAnsi" w:hAnsiTheme="minorHAnsi" w:cstheme="minorBidi"/>
          <w:sz w:val="24"/>
          <w:szCs w:val="24"/>
        </w:rPr>
        <w:t>3</w:t>
      </w:r>
      <w:r w:rsidRPr="3DBF0BBC">
        <w:rPr>
          <w:rFonts w:asciiTheme="minorHAnsi" w:hAnsiTheme="minorHAnsi" w:cstheme="minorBidi"/>
          <w:sz w:val="24"/>
          <w:szCs w:val="24"/>
        </w:rPr>
        <w:t xml:space="preserve">. Perkančioji organizacija neįsipareigoja pateikti užklausų pagal visas šioje techninėje specifikacijoje nurodytas Eksperto paslaugų sritis. </w:t>
      </w:r>
    </w:p>
    <w:p w14:paraId="4540D14B" w14:textId="70545B62" w:rsidR="00862875" w:rsidRDefault="00862875" w:rsidP="3DBF0BBC">
      <w:pPr>
        <w:spacing w:line="276" w:lineRule="auto"/>
        <w:rPr>
          <w:rFonts w:asciiTheme="minorHAnsi" w:hAnsiTheme="minorHAnsi" w:cstheme="minorBidi"/>
          <w:sz w:val="24"/>
          <w:szCs w:val="24"/>
        </w:rPr>
      </w:pPr>
      <w:r>
        <w:rPr>
          <w:rFonts w:asciiTheme="minorHAnsi" w:hAnsiTheme="minorHAnsi" w:cstheme="minorBidi"/>
          <w:sz w:val="24"/>
          <w:szCs w:val="24"/>
        </w:rPr>
        <w:t>2.3.1</w:t>
      </w:r>
      <w:r w:rsidR="0079679E">
        <w:rPr>
          <w:rFonts w:asciiTheme="minorHAnsi" w:hAnsiTheme="minorHAnsi" w:cstheme="minorBidi"/>
          <w:sz w:val="24"/>
          <w:szCs w:val="24"/>
        </w:rPr>
        <w:t>4</w:t>
      </w:r>
      <w:r>
        <w:rPr>
          <w:rFonts w:asciiTheme="minorHAnsi" w:hAnsiTheme="minorHAnsi" w:cstheme="minorBidi"/>
          <w:sz w:val="24"/>
          <w:szCs w:val="24"/>
        </w:rPr>
        <w:t>.</w:t>
      </w:r>
      <w:r w:rsidRPr="00862875">
        <w:rPr>
          <w:rFonts w:asciiTheme="minorHAnsi" w:hAnsiTheme="minorHAnsi" w:cstheme="minorBidi"/>
          <w:sz w:val="24"/>
          <w:szCs w:val="24"/>
        </w:rPr>
        <w:t>T</w:t>
      </w:r>
      <w:r w:rsidR="0079679E">
        <w:rPr>
          <w:rFonts w:asciiTheme="minorHAnsi" w:hAnsiTheme="minorHAnsi" w:cstheme="minorBidi"/>
          <w:sz w:val="24"/>
          <w:szCs w:val="24"/>
        </w:rPr>
        <w:t>ei</w:t>
      </w:r>
      <w:r w:rsidRPr="00862875">
        <w:rPr>
          <w:rFonts w:asciiTheme="minorHAnsi" w:hAnsiTheme="minorHAnsi" w:cstheme="minorBidi"/>
          <w:sz w:val="24"/>
          <w:szCs w:val="24"/>
        </w:rPr>
        <w:t>kėjas, gavęs užklausą iš Perkančiosios organizacijos, privalo per 3 darbo dienas patvirtinti užklausos gavimą</w:t>
      </w:r>
      <w:r>
        <w:rPr>
          <w:rFonts w:asciiTheme="minorHAnsi" w:hAnsiTheme="minorHAnsi" w:cstheme="minorBidi"/>
          <w:sz w:val="24"/>
          <w:szCs w:val="24"/>
        </w:rPr>
        <w:t>.</w:t>
      </w:r>
    </w:p>
    <w:p w14:paraId="24F94ACF" w14:textId="6EC13507" w:rsidR="00A57023" w:rsidRPr="00C80B79" w:rsidRDefault="00862875" w:rsidP="00A41B02">
      <w:pPr>
        <w:spacing w:line="276" w:lineRule="auto"/>
      </w:pPr>
      <w:r>
        <w:rPr>
          <w:rFonts w:asciiTheme="minorHAnsi" w:hAnsiTheme="minorHAnsi" w:cstheme="minorBidi"/>
          <w:sz w:val="24"/>
          <w:szCs w:val="24"/>
        </w:rPr>
        <w:t>2.3.1</w:t>
      </w:r>
      <w:r w:rsidR="0079679E">
        <w:rPr>
          <w:rFonts w:asciiTheme="minorHAnsi" w:hAnsiTheme="minorHAnsi" w:cstheme="minorBidi"/>
          <w:sz w:val="24"/>
          <w:szCs w:val="24"/>
        </w:rPr>
        <w:t>5</w:t>
      </w:r>
      <w:r>
        <w:rPr>
          <w:rFonts w:asciiTheme="minorHAnsi" w:hAnsiTheme="minorHAnsi" w:cstheme="minorBidi"/>
          <w:sz w:val="24"/>
          <w:szCs w:val="24"/>
        </w:rPr>
        <w:t xml:space="preserve">. </w:t>
      </w:r>
      <w:r w:rsidRPr="00862875">
        <w:rPr>
          <w:rFonts w:asciiTheme="minorHAnsi" w:hAnsiTheme="minorHAnsi" w:cstheme="minorBidi"/>
          <w:sz w:val="24"/>
          <w:szCs w:val="24"/>
        </w:rPr>
        <w:t>T</w:t>
      </w:r>
      <w:r w:rsidR="0079679E">
        <w:rPr>
          <w:rFonts w:asciiTheme="minorHAnsi" w:hAnsiTheme="minorHAnsi" w:cstheme="minorBidi"/>
          <w:sz w:val="24"/>
          <w:szCs w:val="24"/>
        </w:rPr>
        <w:t>ei</w:t>
      </w:r>
      <w:r w:rsidRPr="00862875">
        <w:rPr>
          <w:rFonts w:asciiTheme="minorHAnsi" w:hAnsiTheme="minorHAnsi" w:cstheme="minorBidi"/>
          <w:sz w:val="24"/>
          <w:szCs w:val="24"/>
        </w:rPr>
        <w:t>kėjas, gavęs užklausą iš Perkančiosios organizacijos ir žinodamas, kad negalės pateikti atsakymo per nustatytą terminą, privalo nedelsdamas, bet ne vėliau kaip per 3 darbo dienas, apie tai informuoti Perkančiąją organizaciją, nurodydamas vėlavimo priežastis ir numatomą atsakymo pateikimo terminą</w:t>
      </w:r>
      <w:r>
        <w:rPr>
          <w:rFonts w:asciiTheme="minorHAnsi" w:hAnsiTheme="minorHAnsi" w:cstheme="minorBidi"/>
          <w:sz w:val="24"/>
          <w:szCs w:val="24"/>
        </w:rPr>
        <w:t>.</w:t>
      </w:r>
    </w:p>
    <w:p w14:paraId="77F72E9F" w14:textId="051C4941" w:rsidR="009151F7" w:rsidRPr="00B20F32" w:rsidRDefault="00707111" w:rsidP="00B20F32">
      <w:pPr>
        <w:spacing w:line="276" w:lineRule="auto"/>
        <w:ind w:left="720" w:hanging="720"/>
        <w:rPr>
          <w:rFonts w:ascii="Calibri" w:hAnsi="Calibri" w:cs="Calibri"/>
          <w:b/>
          <w:bCs/>
          <w:sz w:val="24"/>
          <w:szCs w:val="24"/>
        </w:rPr>
      </w:pPr>
      <w:r w:rsidRPr="0094486D">
        <w:rPr>
          <w:rFonts w:ascii="Calibri" w:hAnsi="Calibri" w:cs="Calibri"/>
          <w:b/>
          <w:bCs/>
          <w:sz w:val="24"/>
          <w:szCs w:val="24"/>
        </w:rPr>
        <w:t>2.</w:t>
      </w:r>
      <w:r w:rsidR="006B6215">
        <w:rPr>
          <w:rFonts w:ascii="Calibri" w:hAnsi="Calibri" w:cs="Calibri"/>
          <w:b/>
          <w:bCs/>
          <w:sz w:val="24"/>
          <w:szCs w:val="24"/>
        </w:rPr>
        <w:t>4</w:t>
      </w:r>
      <w:r w:rsidRPr="0094486D">
        <w:rPr>
          <w:rFonts w:ascii="Calibri" w:hAnsi="Calibri" w:cs="Calibri"/>
          <w:b/>
          <w:bCs/>
          <w:sz w:val="24"/>
          <w:szCs w:val="24"/>
        </w:rPr>
        <w:t xml:space="preserve">. </w:t>
      </w:r>
      <w:r w:rsidR="009151F7" w:rsidRPr="0094486D">
        <w:rPr>
          <w:rFonts w:ascii="Calibri" w:hAnsi="Calibri" w:cs="Calibri"/>
          <w:b/>
          <w:bCs/>
          <w:sz w:val="24"/>
          <w:szCs w:val="24"/>
        </w:rPr>
        <w:t>Te</w:t>
      </w:r>
      <w:r w:rsidR="0079679E">
        <w:rPr>
          <w:rFonts w:ascii="Calibri" w:hAnsi="Calibri" w:cs="Calibri"/>
          <w:b/>
          <w:bCs/>
          <w:sz w:val="24"/>
          <w:szCs w:val="24"/>
        </w:rPr>
        <w:t>i</w:t>
      </w:r>
      <w:r w:rsidR="009151F7" w:rsidRPr="0094486D">
        <w:rPr>
          <w:rFonts w:ascii="Calibri" w:hAnsi="Calibri" w:cs="Calibri"/>
          <w:b/>
          <w:bCs/>
          <w:sz w:val="24"/>
          <w:szCs w:val="24"/>
        </w:rPr>
        <w:t>kėjo atskaitomybės reikalavimai:</w:t>
      </w:r>
    </w:p>
    <w:p w14:paraId="2F7BA09C" w14:textId="3D48960E" w:rsidR="00B95AEA" w:rsidRPr="00591F28"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 xml:space="preserve">2.4.1. Susitikimai dėl Eksperto paslaugų teikimo. Perkančiosios organizacijos ir Eksperto susitikimas dėl Teikėjo paslaugų teikimo sutarties vykdymo organizuojamas kartą per mėnesį, pradedant nuo paslaugų teikimo sutarties įsigaliojimo dienos, esant poreikiui. Susitikimai gali vykti </w:t>
      </w:r>
      <w:r w:rsidR="0079679E">
        <w:rPr>
          <w:rFonts w:asciiTheme="minorHAnsi" w:hAnsiTheme="minorHAnsi" w:cstheme="minorBidi"/>
          <w:sz w:val="24"/>
          <w:szCs w:val="24"/>
        </w:rPr>
        <w:t>P</w:t>
      </w:r>
      <w:r w:rsidRPr="3DBF0BBC">
        <w:rPr>
          <w:rFonts w:asciiTheme="minorHAnsi" w:hAnsiTheme="minorHAnsi" w:cstheme="minorBidi"/>
          <w:sz w:val="24"/>
          <w:szCs w:val="24"/>
        </w:rPr>
        <w:t>erkančiosios organizacijos atstovams ir Te</w:t>
      </w:r>
      <w:r w:rsidR="00E26FC7">
        <w:rPr>
          <w:rFonts w:asciiTheme="minorHAnsi" w:hAnsiTheme="minorHAnsi" w:cstheme="minorBidi"/>
          <w:sz w:val="24"/>
          <w:szCs w:val="24"/>
        </w:rPr>
        <w:t>i</w:t>
      </w:r>
      <w:r w:rsidRPr="3DBF0BBC">
        <w:rPr>
          <w:rFonts w:asciiTheme="minorHAnsi" w:hAnsiTheme="minorHAnsi" w:cstheme="minorBidi"/>
          <w:sz w:val="24"/>
          <w:szCs w:val="24"/>
        </w:rPr>
        <w:t>kėjui dalyvaujant fiziškai arba internetinėmis bendradarbiavimo ir komunikacijos programomis;</w:t>
      </w:r>
    </w:p>
    <w:p w14:paraId="5AB51C43" w14:textId="0240DFFD" w:rsidR="00493B53" w:rsidRPr="00591F28" w:rsidRDefault="00493B53" w:rsidP="3DBF0BBC">
      <w:pPr>
        <w:spacing w:line="276" w:lineRule="auto"/>
        <w:rPr>
          <w:rFonts w:asciiTheme="minorHAnsi" w:hAnsiTheme="minorHAnsi" w:cstheme="minorBidi"/>
          <w:sz w:val="24"/>
          <w:szCs w:val="24"/>
        </w:rPr>
      </w:pPr>
      <w:r>
        <w:rPr>
          <w:rFonts w:asciiTheme="minorHAnsi" w:hAnsiTheme="minorHAnsi" w:cstheme="minorBidi"/>
          <w:sz w:val="24"/>
          <w:szCs w:val="24"/>
        </w:rPr>
        <w:t>2.4.</w:t>
      </w:r>
      <w:r w:rsidR="0079679E">
        <w:rPr>
          <w:rFonts w:asciiTheme="minorHAnsi" w:hAnsiTheme="minorHAnsi" w:cstheme="minorBidi"/>
          <w:sz w:val="24"/>
          <w:szCs w:val="24"/>
        </w:rPr>
        <w:t>2</w:t>
      </w:r>
      <w:r>
        <w:rPr>
          <w:rFonts w:asciiTheme="minorHAnsi" w:hAnsiTheme="minorHAnsi" w:cstheme="minorBidi"/>
          <w:sz w:val="24"/>
          <w:szCs w:val="24"/>
        </w:rPr>
        <w:t xml:space="preserve">. </w:t>
      </w:r>
      <w:r w:rsidRPr="00493B53">
        <w:rPr>
          <w:rFonts w:asciiTheme="minorHAnsi" w:hAnsiTheme="minorHAnsi" w:cstheme="minorBidi"/>
          <w:sz w:val="24"/>
          <w:szCs w:val="24"/>
        </w:rPr>
        <w:t>Galutinė sutarties vykdymo ataskaita. Sutarties vykdymo pabaigoje Te</w:t>
      </w:r>
      <w:r w:rsidR="0079679E">
        <w:rPr>
          <w:rFonts w:asciiTheme="minorHAnsi" w:hAnsiTheme="minorHAnsi" w:cstheme="minorBidi"/>
          <w:sz w:val="24"/>
          <w:szCs w:val="24"/>
        </w:rPr>
        <w:t>i</w:t>
      </w:r>
      <w:r w:rsidRPr="00493B53">
        <w:rPr>
          <w:rFonts w:asciiTheme="minorHAnsi" w:hAnsiTheme="minorHAnsi" w:cstheme="minorBidi"/>
          <w:sz w:val="24"/>
          <w:szCs w:val="24"/>
        </w:rPr>
        <w:t>kėjas parengia galutinę sutarties vykdymo ataskaitą. Galutinės sutarties vykdymo ataskaitos projektas pateikiamas </w:t>
      </w:r>
      <w:r w:rsidR="0079679E">
        <w:rPr>
          <w:rFonts w:asciiTheme="minorHAnsi" w:hAnsiTheme="minorHAnsi" w:cstheme="minorBidi"/>
          <w:sz w:val="24"/>
          <w:szCs w:val="24"/>
        </w:rPr>
        <w:t>Perkančiajai organizacijai</w:t>
      </w:r>
      <w:r w:rsidR="0079679E" w:rsidRPr="00493B53">
        <w:rPr>
          <w:rFonts w:asciiTheme="minorHAnsi" w:hAnsiTheme="minorHAnsi" w:cstheme="minorBidi"/>
          <w:sz w:val="24"/>
          <w:szCs w:val="24"/>
        </w:rPr>
        <w:t xml:space="preserve"> </w:t>
      </w:r>
      <w:r w:rsidRPr="00493B53">
        <w:rPr>
          <w:rFonts w:asciiTheme="minorHAnsi" w:hAnsiTheme="minorHAnsi" w:cstheme="minorBidi"/>
          <w:sz w:val="24"/>
          <w:szCs w:val="24"/>
        </w:rPr>
        <w:t>tvirtinti likus ne mažiau kaip 5 kalendorinėms dienoms iki paslaugų teikimo sutarties galiojimo termino pabaigos. Galutinėje sutarties vykdymo ataskaitoje apibendrinami atliktų paslaugų rezultatai ir atsiskaitoma už visas suformuotas ir pateiktas užduotis, pateikiant informaciją apie ekspertų suteiktas paslaugas</w:t>
      </w:r>
      <w:r w:rsidR="00866836">
        <w:rPr>
          <w:rFonts w:asciiTheme="minorHAnsi" w:hAnsiTheme="minorHAnsi" w:cstheme="minorBidi"/>
          <w:sz w:val="24"/>
          <w:szCs w:val="24"/>
        </w:rPr>
        <w:t xml:space="preserve"> </w:t>
      </w:r>
      <w:r w:rsidR="00586616">
        <w:rPr>
          <w:rFonts w:asciiTheme="minorHAnsi" w:hAnsiTheme="minorHAnsi" w:cstheme="minorBidi"/>
          <w:sz w:val="24"/>
          <w:szCs w:val="24"/>
        </w:rPr>
        <w:t>(valandomis, konsultacijomis</w:t>
      </w:r>
      <w:r w:rsidR="001F5690">
        <w:rPr>
          <w:rFonts w:asciiTheme="minorHAnsi" w:hAnsiTheme="minorHAnsi" w:cstheme="minorBidi"/>
          <w:sz w:val="24"/>
          <w:szCs w:val="24"/>
        </w:rPr>
        <w:t xml:space="preserve"> raštu</w:t>
      </w:r>
      <w:r w:rsidR="00586616">
        <w:rPr>
          <w:rFonts w:asciiTheme="minorHAnsi" w:hAnsiTheme="minorHAnsi" w:cstheme="minorBidi"/>
          <w:sz w:val="24"/>
          <w:szCs w:val="24"/>
        </w:rPr>
        <w:t>, žodinių konsultacijų skaičiu</w:t>
      </w:r>
      <w:r w:rsidR="001F5690">
        <w:rPr>
          <w:rFonts w:asciiTheme="minorHAnsi" w:hAnsiTheme="minorHAnsi" w:cstheme="minorBidi"/>
          <w:sz w:val="24"/>
          <w:szCs w:val="24"/>
        </w:rPr>
        <w:t>mi</w:t>
      </w:r>
      <w:r w:rsidR="00586616">
        <w:rPr>
          <w:rFonts w:asciiTheme="minorHAnsi" w:hAnsiTheme="minorHAnsi" w:cstheme="minorBidi"/>
          <w:sz w:val="24"/>
          <w:szCs w:val="24"/>
        </w:rPr>
        <w:t>)</w:t>
      </w:r>
      <w:r w:rsidR="00586616" w:rsidRPr="3DBF0BBC">
        <w:rPr>
          <w:rFonts w:asciiTheme="minorHAnsi" w:hAnsiTheme="minorHAnsi" w:cstheme="minorBidi"/>
          <w:sz w:val="24"/>
          <w:szCs w:val="24"/>
        </w:rPr>
        <w:t>.</w:t>
      </w:r>
    </w:p>
    <w:p w14:paraId="30BAE3E5" w14:textId="099DBC45" w:rsidR="0053337B" w:rsidRPr="00501007" w:rsidRDefault="3DBF0BBC" w:rsidP="00114C19">
      <w:pPr>
        <w:pStyle w:val="Antrat2"/>
      </w:pPr>
      <w:r>
        <w:t xml:space="preserve">3. SU PASLAUGŲ ATLIKIMU SUSIJĘ TEISĖS AKTAI IR KITI DOKUMENTAI </w:t>
      </w:r>
    </w:p>
    <w:p w14:paraId="0CC58C4F" w14:textId="4FFD431E" w:rsidR="0053337B" w:rsidRPr="00501007"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3.1. Teikėjas prisiima atsakomybę susipažinti su Paslaugų teikimo metu galiojančiomis nurodytų teisės aktų redakcijomis (pateiktos nuorodos į galiojančias teisės aktų redakcijas):</w:t>
      </w:r>
    </w:p>
    <w:p w14:paraId="19173B80" w14:textId="51BE23F5" w:rsidR="3DBF0BBC"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 xml:space="preserve">3.1.1. išvardintomis šios Techninės specifikacijos 2.2. punkte; </w:t>
      </w:r>
    </w:p>
    <w:p w14:paraId="11A45B17" w14:textId="080BC26A" w:rsidR="0053337B" w:rsidRPr="00501007" w:rsidRDefault="3DBF0BBC" w:rsidP="3DBF0BBC">
      <w:pPr>
        <w:tabs>
          <w:tab w:val="left" w:pos="851"/>
        </w:tabs>
        <w:spacing w:line="276" w:lineRule="auto"/>
        <w:rPr>
          <w:rFonts w:ascii="Calibri" w:eastAsia="Calibri" w:hAnsi="Calibri" w:cs="Calibri"/>
          <w:sz w:val="24"/>
          <w:szCs w:val="24"/>
        </w:rPr>
      </w:pPr>
      <w:r w:rsidRPr="3DBF0BBC">
        <w:rPr>
          <w:rFonts w:ascii="Calibri" w:eastAsia="Calibri" w:hAnsi="Calibri" w:cs="Calibri"/>
          <w:sz w:val="24"/>
          <w:szCs w:val="24"/>
        </w:rPr>
        <w:t xml:space="preserve">3.1.2. </w:t>
      </w:r>
      <w:r w:rsidRPr="3DBF0BBC">
        <w:rPr>
          <w:rFonts w:ascii="Calibri" w:eastAsia="Calibri" w:hAnsi="Calibri" w:cs="Calibri"/>
          <w:color w:val="000000" w:themeColor="text1"/>
          <w:sz w:val="24"/>
          <w:szCs w:val="24"/>
        </w:rPr>
        <w:t>Jungtinių Tautų Asmenų su negalia teisių konvencijoje</w:t>
      </w:r>
      <w:r w:rsidRPr="3DBF0BBC">
        <w:rPr>
          <w:rFonts w:ascii="Calibri" w:eastAsia="Calibri" w:hAnsi="Calibri" w:cs="Calibri"/>
          <w:sz w:val="24"/>
          <w:szCs w:val="24"/>
        </w:rPr>
        <w:t xml:space="preserve"> ir jos Fakultatyvus protokolas (</w:t>
      </w:r>
      <w:hyperlink r:id="rId10" w:history="1">
        <w:r w:rsidRPr="3DBF0BBC">
          <w:rPr>
            <w:rStyle w:val="Hipersaitas"/>
            <w:rFonts w:asciiTheme="minorHAnsi" w:eastAsia="Calibri" w:hAnsiTheme="minorHAnsi" w:cstheme="minorBidi"/>
            <w:sz w:val="24"/>
            <w:szCs w:val="24"/>
          </w:rPr>
          <w:t>https://e-seimas.lrs.lt/portal/legalAct/lt/TAD/TAIS.335882</w:t>
        </w:r>
      </w:hyperlink>
      <w:r w:rsidRPr="3DBF0BBC">
        <w:rPr>
          <w:rFonts w:ascii="Calibri" w:eastAsia="Calibri" w:hAnsi="Calibri" w:cs="Calibri"/>
          <w:sz w:val="24"/>
          <w:szCs w:val="24"/>
        </w:rPr>
        <w:t xml:space="preserve"> );</w:t>
      </w:r>
    </w:p>
    <w:p w14:paraId="69473128" w14:textId="27F99BED" w:rsidR="0053337B" w:rsidRPr="00501007" w:rsidRDefault="3DBF0BBC" w:rsidP="3DBF0BBC">
      <w:pPr>
        <w:tabs>
          <w:tab w:val="left" w:pos="851"/>
        </w:tabs>
        <w:spacing w:line="276" w:lineRule="auto"/>
        <w:rPr>
          <w:rFonts w:asciiTheme="minorHAnsi" w:eastAsia="Calibri" w:hAnsiTheme="minorHAnsi" w:cstheme="minorBidi"/>
          <w:sz w:val="24"/>
          <w:szCs w:val="24"/>
        </w:rPr>
      </w:pPr>
      <w:r w:rsidRPr="3DBF0BBC">
        <w:rPr>
          <w:rFonts w:asciiTheme="minorHAnsi" w:eastAsia="Calibri" w:hAnsiTheme="minorHAnsi" w:cstheme="minorBidi"/>
          <w:sz w:val="24"/>
          <w:szCs w:val="24"/>
        </w:rPr>
        <w:t>3.1.3. Lietuvos Respublikos asmens su negalia teisių apsaugos pagrindų įstatymas (</w:t>
      </w:r>
      <w:hyperlink r:id="rId11">
        <w:r w:rsidRPr="3DBF0BBC">
          <w:rPr>
            <w:rStyle w:val="Hipersaitas"/>
            <w:rFonts w:asciiTheme="minorHAnsi" w:eastAsia="Calibri" w:hAnsiTheme="minorHAnsi" w:cstheme="minorBidi"/>
            <w:sz w:val="24"/>
            <w:szCs w:val="24"/>
          </w:rPr>
          <w:t>https://e-seimas.lrs.lt/portal/legalAct/lt/TAD/TAIS.2319/asr</w:t>
        </w:r>
      </w:hyperlink>
      <w:r w:rsidRPr="3DBF0BBC">
        <w:rPr>
          <w:rFonts w:asciiTheme="minorHAnsi" w:eastAsia="Calibri" w:hAnsiTheme="minorHAnsi" w:cstheme="minorBidi"/>
          <w:sz w:val="24"/>
          <w:szCs w:val="24"/>
        </w:rPr>
        <w:t>);</w:t>
      </w:r>
    </w:p>
    <w:p w14:paraId="6B35C763" w14:textId="77AABAED" w:rsidR="0053337B" w:rsidRPr="00501007" w:rsidRDefault="00E80616" w:rsidP="3DBF0BBC">
      <w:pPr>
        <w:tabs>
          <w:tab w:val="left" w:pos="851"/>
        </w:tabs>
        <w:spacing w:line="276" w:lineRule="auto"/>
        <w:rPr>
          <w:rFonts w:asciiTheme="minorHAnsi" w:hAnsiTheme="minorHAnsi" w:cstheme="minorBidi"/>
          <w:sz w:val="24"/>
          <w:szCs w:val="24"/>
          <w:shd w:val="clear" w:color="auto" w:fill="FFFFFF"/>
        </w:rPr>
      </w:pPr>
      <w:r w:rsidRPr="3DBF0BBC">
        <w:rPr>
          <w:rFonts w:asciiTheme="minorHAnsi" w:eastAsia="Calibri" w:hAnsiTheme="minorHAnsi" w:cstheme="minorBidi"/>
          <w:sz w:val="24"/>
          <w:szCs w:val="24"/>
        </w:rPr>
        <w:t>3</w:t>
      </w:r>
      <w:r w:rsidR="0053337B" w:rsidRPr="3DBF0BBC">
        <w:rPr>
          <w:rFonts w:asciiTheme="minorHAnsi" w:eastAsia="Calibri" w:hAnsiTheme="minorHAnsi" w:cstheme="minorBidi"/>
          <w:sz w:val="24"/>
          <w:szCs w:val="24"/>
        </w:rPr>
        <w:t xml:space="preserve">.1.4. </w:t>
      </w:r>
      <w:r w:rsidR="0053337B" w:rsidRPr="3DBF0BBC">
        <w:rPr>
          <w:rFonts w:asciiTheme="minorHAnsi" w:hAnsiTheme="minorHAnsi" w:cstheme="minorBidi"/>
          <w:sz w:val="24"/>
          <w:szCs w:val="24"/>
          <w:shd w:val="clear" w:color="auto" w:fill="FFFFFF"/>
        </w:rPr>
        <w:t>Lietuvos Respublikos lygių galimybių įstatymas (</w:t>
      </w:r>
      <w:hyperlink r:id="rId12" w:history="1">
        <w:r w:rsidR="0053337B" w:rsidRPr="3DBF0BBC">
          <w:rPr>
            <w:rStyle w:val="Hipersaitas"/>
            <w:rFonts w:asciiTheme="minorHAnsi" w:eastAsiaTheme="minorEastAsia" w:hAnsiTheme="minorHAnsi" w:cstheme="minorBidi"/>
            <w:sz w:val="24"/>
            <w:szCs w:val="24"/>
            <w:shd w:val="clear" w:color="auto" w:fill="FFFFFF"/>
          </w:rPr>
          <w:t>https://e-seimas.lrs.lt/portal/legalAct/lt/TAD/TAIS.222522/asr</w:t>
        </w:r>
      </w:hyperlink>
      <w:r w:rsidR="0053337B" w:rsidRPr="3DBF0BBC">
        <w:rPr>
          <w:rFonts w:asciiTheme="minorHAnsi" w:hAnsiTheme="minorHAnsi" w:cstheme="minorBidi"/>
          <w:sz w:val="24"/>
          <w:szCs w:val="24"/>
          <w:shd w:val="clear" w:color="auto" w:fill="FFFFFF"/>
        </w:rPr>
        <w:t>);</w:t>
      </w:r>
    </w:p>
    <w:p w14:paraId="092F0479" w14:textId="31EF97B9" w:rsidR="0053337B" w:rsidRPr="00501007" w:rsidRDefault="3DBF0BBC" w:rsidP="3DBF0BBC">
      <w:pPr>
        <w:tabs>
          <w:tab w:val="left" w:pos="851"/>
        </w:tabs>
        <w:spacing w:line="276" w:lineRule="auto"/>
        <w:rPr>
          <w:rFonts w:asciiTheme="minorHAnsi" w:hAnsiTheme="minorHAnsi" w:cstheme="minorBidi"/>
          <w:sz w:val="24"/>
          <w:szCs w:val="24"/>
        </w:rPr>
      </w:pPr>
      <w:r w:rsidRPr="3DBF0BBC">
        <w:rPr>
          <w:rFonts w:asciiTheme="minorHAnsi" w:eastAsia="Calibri" w:hAnsiTheme="minorHAnsi" w:cstheme="minorBidi"/>
          <w:sz w:val="24"/>
          <w:szCs w:val="24"/>
        </w:rPr>
        <w:t xml:space="preserve">3.1.5. </w:t>
      </w:r>
      <w:r w:rsidRPr="3DBF0BBC">
        <w:rPr>
          <w:rFonts w:ascii="Calibri" w:hAnsi="Calibri" w:cs="Calibri"/>
          <w:sz w:val="24"/>
          <w:szCs w:val="24"/>
        </w:rPr>
        <w:t xml:space="preserve">2021–2030 metų plėtros programos valdytojos Lietuvos Respublikos socialinės apsaugos ir darbo ministerijos neįgaliesiems tinkamos aplinkos visose gyvenimo srityse plėtros programos </w:t>
      </w:r>
      <w:r w:rsidRPr="3DBF0BBC">
        <w:rPr>
          <w:rFonts w:ascii="Calibri" w:hAnsi="Calibri" w:cs="Calibri"/>
          <w:sz w:val="24"/>
          <w:szCs w:val="24"/>
        </w:rPr>
        <w:lastRenderedPageBreak/>
        <w:t>pažangos priemonės Nr. 09-005-02-06-04 „Užtikrinti informacinės infrastruktūros ir informacijos pritaikymą neįgaliųjų poreikiams“ aprašo, patvirtinto Lietuvos Respublikos Socialinės apsaugos ir darbo ministro 2022 m. balandžio 12 d. įsakymu Nr. A1-273 „Dėl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patvirtinimo, 4 veiklą „Įsteigti konsultacijų centrą, kuris, atsižvelgdamas į informacinės infrastruktūros ir informacijos prieinamumo stebėsenos analizės rezultatus, vykdys konsultacines ir komunikacines veiklas, susijusias su informacijos prieinamumo užtikrinimu neįgaliesiems, užsiims inovacijų paieška ir finansavimo šaltinių paieška šioms inovacijoms įgyvendinti“</w:t>
      </w:r>
      <w:r w:rsidRPr="3DBF0BBC">
        <w:rPr>
          <w:rFonts w:asciiTheme="minorHAnsi" w:eastAsia="Calibri" w:hAnsiTheme="minorHAnsi" w:cstheme="minorBidi"/>
          <w:sz w:val="24"/>
          <w:szCs w:val="24"/>
        </w:rPr>
        <w:t xml:space="preserve"> (</w:t>
      </w:r>
      <w:hyperlink r:id="rId13">
        <w:r w:rsidRPr="3DBF0BBC">
          <w:rPr>
            <w:rStyle w:val="Hipersaitas"/>
            <w:rFonts w:asciiTheme="minorHAnsi" w:eastAsia="Calibri" w:hAnsiTheme="minorHAnsi" w:cstheme="minorBidi"/>
            <w:sz w:val="24"/>
            <w:szCs w:val="24"/>
          </w:rPr>
          <w:t>https://e-seimas.lrs.lt/portal/legalAct/lt/TAD/74136962ba9711ec9f0095b4d96fd400?jfwid=rivwzvpvg</w:t>
        </w:r>
      </w:hyperlink>
      <w:r w:rsidRPr="3DBF0BBC">
        <w:rPr>
          <w:rFonts w:asciiTheme="minorHAnsi" w:eastAsia="Calibri" w:hAnsiTheme="minorHAnsi" w:cstheme="minorBidi"/>
          <w:sz w:val="24"/>
          <w:szCs w:val="24"/>
        </w:rPr>
        <w:t xml:space="preserve"> ).</w:t>
      </w:r>
    </w:p>
    <w:p w14:paraId="6BCB51D3" w14:textId="362AE3FF" w:rsidR="0053337B" w:rsidRPr="00501007" w:rsidRDefault="3DBF0BBC" w:rsidP="3DBF0BBC">
      <w:pPr>
        <w:tabs>
          <w:tab w:val="left" w:pos="851"/>
        </w:tabs>
        <w:spacing w:line="276" w:lineRule="auto"/>
        <w:rPr>
          <w:rFonts w:asciiTheme="minorHAnsi" w:hAnsiTheme="minorHAnsi" w:cstheme="minorBidi"/>
          <w:sz w:val="24"/>
          <w:szCs w:val="24"/>
        </w:rPr>
      </w:pPr>
      <w:r w:rsidRPr="3DBF0BBC">
        <w:rPr>
          <w:rFonts w:asciiTheme="minorHAnsi" w:hAnsiTheme="minorHAnsi" w:cstheme="minorBidi"/>
          <w:sz w:val="24"/>
          <w:szCs w:val="24"/>
        </w:rPr>
        <w:t>3.1.6. Europos Parlamento ir Tarybos direktyvos (ES) 2016/2102 dėl viešojo sektoriaus institucijų interneto svetainių ir mobiliųjų programų prieinamumo (</w:t>
      </w:r>
      <w:hyperlink r:id="rId14">
        <w:r w:rsidRPr="3DBF0BBC">
          <w:rPr>
            <w:rStyle w:val="Hipersaitas"/>
            <w:rFonts w:asciiTheme="minorHAnsi" w:hAnsiTheme="minorHAnsi" w:cstheme="minorBidi"/>
            <w:sz w:val="24"/>
            <w:szCs w:val="24"/>
          </w:rPr>
          <w:t>https://eur-lex.europa.eu/LT/legal-content/summary/accessibility-of-public-sector-websites-and-mobile-apps.html</w:t>
        </w:r>
      </w:hyperlink>
      <w:r w:rsidRPr="3DBF0BBC">
        <w:rPr>
          <w:rFonts w:asciiTheme="minorHAnsi" w:hAnsiTheme="minorHAnsi" w:cstheme="minorBidi"/>
          <w:sz w:val="24"/>
          <w:szCs w:val="24"/>
        </w:rPr>
        <w:t xml:space="preserve"> );</w:t>
      </w:r>
    </w:p>
    <w:p w14:paraId="62AA3424" w14:textId="6BDAF5D0" w:rsidR="0053337B" w:rsidRPr="00501007" w:rsidRDefault="3DBF0BBC" w:rsidP="3DBF0BBC">
      <w:pPr>
        <w:widowControl w:val="0"/>
        <w:tabs>
          <w:tab w:val="left" w:pos="360"/>
        </w:tabs>
        <w:autoSpaceDE w:val="0"/>
        <w:autoSpaceDN w:val="0"/>
        <w:adjustRightInd w:val="0"/>
        <w:spacing w:line="276" w:lineRule="auto"/>
        <w:jc w:val="both"/>
        <w:rPr>
          <w:rFonts w:asciiTheme="minorHAnsi" w:hAnsiTheme="minorHAnsi" w:cstheme="minorBidi"/>
          <w:sz w:val="24"/>
          <w:szCs w:val="24"/>
        </w:rPr>
      </w:pPr>
      <w:r w:rsidRPr="3DBF0BBC">
        <w:rPr>
          <w:rFonts w:asciiTheme="minorHAnsi" w:hAnsiTheme="minorHAnsi" w:cstheme="minorBidi"/>
          <w:sz w:val="24"/>
          <w:szCs w:val="24"/>
        </w:rPr>
        <w:t>3.1.7. Kiti su aukščiau išvardintais teisės aktais susiję teisės aktai.</w:t>
      </w:r>
    </w:p>
    <w:p w14:paraId="369F2CBC" w14:textId="020AB7A9" w:rsidR="0053337B" w:rsidRPr="00501007" w:rsidRDefault="00622306" w:rsidP="00114C19">
      <w:pPr>
        <w:pStyle w:val="Antrat2"/>
      </w:pPr>
      <w:r>
        <w:t>4</w:t>
      </w:r>
      <w:r w:rsidR="0053337B" w:rsidRPr="00501007">
        <w:t>. APLINKOSAUGINIAI REIKALAVIMAI</w:t>
      </w:r>
    </w:p>
    <w:p w14:paraId="720C9699" w14:textId="462E093D" w:rsidR="008D21D1" w:rsidRPr="00501007" w:rsidRDefault="00E80616" w:rsidP="0027603F">
      <w:pPr>
        <w:spacing w:line="276" w:lineRule="auto"/>
        <w:rPr>
          <w:rFonts w:ascii="Calibri" w:hAnsi="Calibri" w:cs="Calibri"/>
          <w:color w:val="000000" w:themeColor="text1"/>
          <w:sz w:val="24"/>
          <w:szCs w:val="24"/>
          <w:lang w:eastAsia="lt-LT"/>
        </w:rPr>
      </w:pPr>
      <w:r>
        <w:rPr>
          <w:rFonts w:ascii="Calibri" w:hAnsi="Calibri" w:cs="Calibri"/>
          <w:color w:val="000000" w:themeColor="text1"/>
          <w:sz w:val="24"/>
          <w:szCs w:val="24"/>
        </w:rPr>
        <w:t>4</w:t>
      </w:r>
      <w:r w:rsidR="008D21D1" w:rsidRPr="00501007">
        <w:rPr>
          <w:rFonts w:ascii="Calibri" w:hAnsi="Calibri" w:cs="Calibri"/>
          <w:color w:val="000000" w:themeColor="text1"/>
          <w:sz w:val="24"/>
          <w:szCs w:val="24"/>
        </w:rPr>
        <w:t xml:space="preserve">.1. Atliekamas žaliasis pirkimas. Pirkimas vykdomas vadovaujantis </w:t>
      </w:r>
      <w:hyperlink r:id="rId15" w:history="1">
        <w:r w:rsidR="008D21D1" w:rsidRPr="007B02F4">
          <w:rPr>
            <w:rStyle w:val="Hipersaitas"/>
            <w:rFonts w:ascii="Calibri" w:eastAsiaTheme="majorEastAsia" w:hAnsi="Calibri" w:cs="Calibri"/>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D21D1" w:rsidRPr="007B02F4">
        <w:rPr>
          <w:rFonts w:ascii="Calibri" w:hAnsi="Calibri" w:cs="Calibri"/>
          <w:color w:val="000000" w:themeColor="text1"/>
          <w:sz w:val="24"/>
          <w:szCs w:val="24"/>
        </w:rPr>
        <w:t>“</w:t>
      </w:r>
      <w:r w:rsidR="008D21D1" w:rsidRPr="00501007">
        <w:rPr>
          <w:rFonts w:ascii="Calibri" w:hAnsi="Calibri" w:cs="Calibri"/>
          <w:color w:val="000000" w:themeColor="text1"/>
          <w:sz w:val="24"/>
          <w:szCs w:val="24"/>
        </w:rPr>
        <w:t xml:space="preserve"> 4.4.4.3. punktu. </w:t>
      </w:r>
    </w:p>
    <w:p w14:paraId="0C1903A1" w14:textId="7FED776E" w:rsidR="0053337B" w:rsidRPr="00501007" w:rsidRDefault="3DBF0BBC" w:rsidP="00114C19">
      <w:pPr>
        <w:pStyle w:val="Antrat2"/>
      </w:pPr>
      <w:r>
        <w:t>5. SPECIALIEJI REIKALAVIMAI</w:t>
      </w:r>
    </w:p>
    <w:p w14:paraId="36ACDBFB" w14:textId="67A80DEE" w:rsidR="0053337B" w:rsidRPr="0050100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caps/>
          <w:sz w:val="24"/>
          <w:szCs w:val="24"/>
        </w:rPr>
        <w:t>5.1.</w:t>
      </w:r>
      <w:r w:rsidRPr="3DBF0BBC">
        <w:rPr>
          <w:rFonts w:asciiTheme="minorHAnsi" w:hAnsiTheme="minorHAnsi" w:cstheme="minorBidi"/>
          <w:sz w:val="24"/>
          <w:szCs w:val="24"/>
        </w:rPr>
        <w:t xml:space="preserve"> Visus Paslaugų atlikimo sprendinių projektus Teikėjas turi suderinti su Perkančiąja organizacija ir juos įgyvendinti, tik gavęs Perkančiosios organizacijos sutikimą (leidimą) raštu. Paslaugos, atliktos Teikėjo iniciatyva, negavus rašytinio Perkančiosios organizacijos leidimo, taip pat nesuderintos su Perkančiąja organizacija Paslaugos, nelaikomos sutarties objektu, nebus apmokamos ir tai nebus laikoma sutarties sąlygų pažeidimu.</w:t>
      </w:r>
    </w:p>
    <w:p w14:paraId="48D9D1FE" w14:textId="0570395A" w:rsidR="00F36EF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5.2. T</w:t>
      </w:r>
      <w:r w:rsidR="0079679E">
        <w:rPr>
          <w:rFonts w:asciiTheme="minorHAnsi" w:hAnsiTheme="minorHAnsi" w:cstheme="minorBidi"/>
          <w:sz w:val="24"/>
          <w:szCs w:val="24"/>
        </w:rPr>
        <w:t>ei</w:t>
      </w:r>
      <w:r w:rsidRPr="3DBF0BBC">
        <w:rPr>
          <w:rFonts w:asciiTheme="minorHAnsi" w:hAnsiTheme="minorHAnsi" w:cstheme="minorBidi"/>
          <w:sz w:val="24"/>
          <w:szCs w:val="24"/>
        </w:rPr>
        <w:t>kėjas privalo pateikti savo atvaizdą (portretinę nuotrauką) ir gyvenimo aprašymą (CV), kuriuose atsispindėtų jo kvalifikacija, profesinė patirtis ir kompetencijos, susijusios su teikiamomis paslaugomis.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pateikdamas šiuos duomenis, sutinka ir patvirtina, kad Perkančioji organizacija, esant poreikiui, gali naudoti pateiktą atvaizdą ir gyvenimo aprašymą savo reikmėms pristatant Teikėją, įskaitant, bet neapsiribojant, informacijos sklaidai, viešinimui, vidinei ir išorinei komunikacijai, laikantis </w:t>
      </w:r>
      <w:r w:rsidRPr="3DBF0BBC">
        <w:rPr>
          <w:rFonts w:asciiTheme="minorHAnsi" w:hAnsiTheme="minorHAnsi" w:cstheme="minorBidi"/>
          <w:sz w:val="24"/>
          <w:szCs w:val="24"/>
        </w:rPr>
        <w:lastRenderedPageBreak/>
        <w:t>asmens duomenų apsaugos teisės aktų reikalavimų.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taip pat užtikrina, kad pateikti duomenys yra tikslūs, teisingi ir pateikti teisėti. </w:t>
      </w:r>
    </w:p>
    <w:p w14:paraId="298B1106" w14:textId="6F14C9A5" w:rsidR="00F36EF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5.3. Teikėjas</w:t>
      </w:r>
      <w:r w:rsidRPr="3DBF0BBC">
        <w:rPr>
          <w:rFonts w:asciiTheme="minorHAnsi" w:eastAsia="Calibri" w:hAnsiTheme="minorHAnsi" w:cstheme="minorBidi"/>
          <w:sz w:val="24"/>
          <w:szCs w:val="24"/>
        </w:rPr>
        <w:t xml:space="preserve"> perduoda nuosavybės teises ir visas autoriaus turtines teises į Teikėjo (įskaitant jo subtiekėjų / subteikėjų) sukurtus Paslaugų rezultatus nuo Perdavimo-priėmimo akto pasirašymo momento neribotą laiką, neapsiribojant kurios nors valstybės teritorija. </w:t>
      </w:r>
      <w:r w:rsidRPr="3DBF0BBC">
        <w:rPr>
          <w:rFonts w:asciiTheme="minorHAnsi" w:hAnsiTheme="minorHAnsi" w:cstheme="minorBidi"/>
          <w:sz w:val="24"/>
          <w:szCs w:val="24"/>
        </w:rPr>
        <w:t>Perdavimo-priėmimo aktu perduoti atliktų Paslaugų galutiniai sprendiniai, su jais susijusi medžiaga yra Perkančiosios organizacijos nuosavybė, įskaitant autorines turtines ir kitas intelektinės nuosavybės teises, kurią Perkančioji organizacija gali naudoti, publikuoti, disponuoti kaip mano esant tinkama ir be jokių apribojimų. Teikėjas galės naudoti Perkančiajai organizacijai priklausančius visus rezultatus ir su jais susijusią medžiagą, tik gavęs raštišką Perkančiosios organizacijos leidimą.</w:t>
      </w:r>
    </w:p>
    <w:p w14:paraId="0AE06BCA" w14:textId="77777777" w:rsidR="00EB6AE3" w:rsidRDefault="00EB6AE3" w:rsidP="3DBF0BBC">
      <w:pPr>
        <w:spacing w:line="276" w:lineRule="auto"/>
        <w:rPr>
          <w:rFonts w:asciiTheme="minorHAnsi" w:hAnsiTheme="minorHAnsi" w:cstheme="minorBidi"/>
          <w:sz w:val="24"/>
          <w:szCs w:val="24"/>
        </w:rPr>
      </w:pPr>
    </w:p>
    <w:p w14:paraId="34E5804A" w14:textId="77777777" w:rsidR="00EB6AE3" w:rsidRDefault="00EB6AE3" w:rsidP="3DBF0BBC">
      <w:pPr>
        <w:spacing w:line="276" w:lineRule="auto"/>
        <w:rPr>
          <w:rFonts w:asciiTheme="minorHAnsi" w:hAnsiTheme="minorHAnsi" w:cstheme="minorBidi"/>
          <w:sz w:val="24"/>
          <w:szCs w:val="24"/>
        </w:rPr>
      </w:pPr>
    </w:p>
    <w:p w14:paraId="0EF9A11B" w14:textId="77777777" w:rsidR="00EB6AE3" w:rsidRDefault="00EB6AE3" w:rsidP="3DBF0BBC">
      <w:pPr>
        <w:spacing w:line="276" w:lineRule="auto"/>
        <w:rPr>
          <w:rFonts w:asciiTheme="minorHAnsi" w:hAnsiTheme="minorHAnsi" w:cstheme="minorBidi"/>
          <w:sz w:val="24"/>
          <w:szCs w:val="24"/>
        </w:rPr>
      </w:pPr>
    </w:p>
    <w:p w14:paraId="21DE784D" w14:textId="77777777" w:rsidR="00EB6AE3" w:rsidRDefault="00EB6AE3" w:rsidP="3DBF0BBC">
      <w:pPr>
        <w:spacing w:line="276" w:lineRule="auto"/>
        <w:rPr>
          <w:rFonts w:asciiTheme="minorHAnsi" w:hAnsiTheme="minorHAnsi" w:cstheme="minorBidi"/>
          <w:sz w:val="24"/>
          <w:szCs w:val="24"/>
        </w:rPr>
      </w:pPr>
    </w:p>
    <w:p w14:paraId="398378DC" w14:textId="77777777" w:rsidR="00EB6AE3" w:rsidRDefault="00EB6AE3" w:rsidP="3DBF0BBC">
      <w:pPr>
        <w:spacing w:line="276" w:lineRule="auto"/>
        <w:rPr>
          <w:rFonts w:asciiTheme="minorHAnsi" w:hAnsiTheme="minorHAnsi" w:cstheme="minorBidi"/>
          <w:sz w:val="24"/>
          <w:szCs w:val="24"/>
        </w:rPr>
      </w:pPr>
    </w:p>
    <w:p w14:paraId="4BF9FD29" w14:textId="77777777" w:rsidR="00C5049E" w:rsidRPr="00ED64DC" w:rsidRDefault="00C5049E" w:rsidP="00B7436F">
      <w:pPr>
        <w:spacing w:line="360" w:lineRule="auto"/>
        <w:ind w:firstLine="851"/>
        <w:rPr>
          <w:rFonts w:asciiTheme="minorHAnsi" w:hAnsiTheme="minorHAnsi" w:cstheme="minorHAnsi"/>
          <w:sz w:val="24"/>
          <w:szCs w:val="24"/>
        </w:rPr>
      </w:pPr>
    </w:p>
    <w:sectPr w:rsidR="00C5049E" w:rsidRPr="00ED64DC">
      <w:footerReference w:type="even" r:id="rId16"/>
      <w:footerReference w:type="default" r:id="rId17"/>
      <w:footerReference w:type="first" r:id="rId1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92F0C" w14:textId="77777777" w:rsidR="003F3C80" w:rsidRDefault="003F3C80" w:rsidP="00A41B02">
      <w:r>
        <w:separator/>
      </w:r>
    </w:p>
  </w:endnote>
  <w:endnote w:type="continuationSeparator" w:id="0">
    <w:p w14:paraId="37865528" w14:textId="77777777" w:rsidR="003F3C80" w:rsidRDefault="003F3C80" w:rsidP="00A4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410D" w14:textId="38B8AE33" w:rsidR="00A41B02" w:rsidRDefault="00A41B02">
    <w:pPr>
      <w:pStyle w:val="Porat"/>
    </w:pPr>
    <w:r>
      <w:rPr>
        <w:noProof/>
        <w14:ligatures w14:val="standardContextual"/>
      </w:rPr>
      <mc:AlternateContent>
        <mc:Choice Requires="wps">
          <w:drawing>
            <wp:anchor distT="0" distB="0" distL="0" distR="0" simplePos="0" relativeHeight="251659264" behindDoc="0" locked="0" layoutInCell="1" allowOverlap="1" wp14:anchorId="1FFF9E7D" wp14:editId="47F8109A">
              <wp:simplePos x="635" y="635"/>
              <wp:positionH relativeFrom="page">
                <wp:align>left</wp:align>
              </wp:positionH>
              <wp:positionV relativeFrom="page">
                <wp:align>bottom</wp:align>
              </wp:positionV>
              <wp:extent cx="4638040" cy="345440"/>
              <wp:effectExtent l="0" t="0" r="10160" b="0"/>
              <wp:wrapNone/>
              <wp:docPr id="1389999617"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0983B63B" w14:textId="1CF2B9B2"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F9E7D"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0983B63B" w14:textId="1CF2B9B2"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AD30" w14:textId="60E6A61B" w:rsidR="00A41B02" w:rsidRDefault="00A41B02">
    <w:pPr>
      <w:pStyle w:val="Porat"/>
    </w:pPr>
    <w:r>
      <w:rPr>
        <w:noProof/>
        <w14:ligatures w14:val="standardContextual"/>
      </w:rPr>
      <mc:AlternateContent>
        <mc:Choice Requires="wps">
          <w:drawing>
            <wp:anchor distT="0" distB="0" distL="0" distR="0" simplePos="0" relativeHeight="251660288" behindDoc="0" locked="0" layoutInCell="1" allowOverlap="1" wp14:anchorId="0B7F3F31" wp14:editId="3B4996DE">
              <wp:simplePos x="1082040" y="9456420"/>
              <wp:positionH relativeFrom="page">
                <wp:align>left</wp:align>
              </wp:positionH>
              <wp:positionV relativeFrom="page">
                <wp:align>bottom</wp:align>
              </wp:positionV>
              <wp:extent cx="4638040" cy="345440"/>
              <wp:effectExtent l="0" t="0" r="10160" b="0"/>
              <wp:wrapNone/>
              <wp:docPr id="17797964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5BD2D11" w14:textId="0576D20D"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7F3F31"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45BD2D11" w14:textId="0576D20D"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E701" w14:textId="5D2B89E0" w:rsidR="00A41B02" w:rsidRDefault="00A41B02">
    <w:pPr>
      <w:pStyle w:val="Porat"/>
    </w:pPr>
    <w:r>
      <w:rPr>
        <w:noProof/>
        <w14:ligatures w14:val="standardContextual"/>
      </w:rPr>
      <mc:AlternateContent>
        <mc:Choice Requires="wps">
          <w:drawing>
            <wp:anchor distT="0" distB="0" distL="0" distR="0" simplePos="0" relativeHeight="251658240" behindDoc="0" locked="0" layoutInCell="1" allowOverlap="1" wp14:anchorId="6A554E1C" wp14:editId="66B38FF4">
              <wp:simplePos x="635" y="635"/>
              <wp:positionH relativeFrom="page">
                <wp:align>left</wp:align>
              </wp:positionH>
              <wp:positionV relativeFrom="page">
                <wp:align>bottom</wp:align>
              </wp:positionV>
              <wp:extent cx="4638040" cy="345440"/>
              <wp:effectExtent l="0" t="0" r="10160" b="0"/>
              <wp:wrapNone/>
              <wp:docPr id="272533894"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6CC82593" w14:textId="555678D4"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54E1C"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6CC82593" w14:textId="555678D4"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EAC47" w14:textId="77777777" w:rsidR="003F3C80" w:rsidRDefault="003F3C80" w:rsidP="00A41B02">
      <w:r>
        <w:separator/>
      </w:r>
    </w:p>
  </w:footnote>
  <w:footnote w:type="continuationSeparator" w:id="0">
    <w:p w14:paraId="71745FE3" w14:textId="77777777" w:rsidR="003F3C80" w:rsidRDefault="003F3C80" w:rsidP="00A4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2B"/>
    <w:multiLevelType w:val="multilevel"/>
    <w:tmpl w:val="1CA4356C"/>
    <w:lvl w:ilvl="0">
      <w:start w:val="1"/>
      <w:numFmt w:val="none"/>
      <w:lvlText w:val="2.1."/>
      <w:lvlJc w:val="left"/>
      <w:pPr>
        <w:ind w:left="0" w:firstLine="0"/>
      </w:pPr>
      <w:rPr>
        <w:rFonts w:hint="default"/>
      </w:rPr>
    </w:lvl>
    <w:lvl w:ilvl="1">
      <w:start w:val="1"/>
      <w:numFmt w:val="none"/>
      <w:lvlText w:val="2.1.1."/>
      <w:lvlJc w:val="left"/>
      <w:pPr>
        <w:ind w:left="0" w:firstLine="0"/>
      </w:pPr>
      <w:rPr>
        <w:rFonts w:hint="default"/>
        <w:b w:val="0"/>
        <w:bCs w:val="0"/>
      </w:rPr>
    </w:lvl>
    <w:lvl w:ilvl="2">
      <w:start w:val="1"/>
      <w:numFmt w:val="none"/>
      <w:lvlText w:val="2.1.2."/>
      <w:lvlJc w:val="left"/>
      <w:pPr>
        <w:ind w:left="0" w:firstLine="0"/>
      </w:pPr>
      <w:rPr>
        <w:rFonts w:hint="default"/>
        <w:b w:val="0"/>
        <w:bCs w:val="0"/>
      </w:rPr>
    </w:lvl>
    <w:lvl w:ilvl="3">
      <w:start w:val="1"/>
      <w:numFmt w:val="none"/>
      <w:lvlText w:val="2.1.3."/>
      <w:lvlJc w:val="left"/>
      <w:pPr>
        <w:ind w:left="0" w:firstLine="0"/>
      </w:pPr>
      <w:rPr>
        <w:rFonts w:hint="default"/>
      </w:rPr>
    </w:lvl>
    <w:lvl w:ilvl="4">
      <w:start w:val="1"/>
      <w:numFmt w:val="none"/>
      <w:lvlText w:val="2.1.4."/>
      <w:lvlJc w:val="left"/>
      <w:pPr>
        <w:ind w:left="0" w:firstLine="0"/>
      </w:pPr>
      <w:rPr>
        <w:rFonts w:hint="default"/>
      </w:rPr>
    </w:lvl>
    <w:lvl w:ilvl="5">
      <w:start w:val="1"/>
      <w:numFmt w:val="none"/>
      <w:lvlText w:val="2.1.5."/>
      <w:lvlJc w:val="left"/>
      <w:pPr>
        <w:ind w:left="0" w:firstLine="0"/>
      </w:pPr>
      <w:rPr>
        <w:rFonts w:hint="default"/>
      </w:rPr>
    </w:lvl>
    <w:lvl w:ilvl="6">
      <w:start w:val="1"/>
      <w:numFmt w:val="decimal"/>
      <w:lvlText w:val="%7.8."/>
      <w:lvlJc w:val="left"/>
      <w:pPr>
        <w:ind w:left="0" w:firstLine="0"/>
      </w:pPr>
      <w:rPr>
        <w:rFonts w:hint="default"/>
      </w:rPr>
    </w:lvl>
    <w:lvl w:ilvl="7">
      <w:start w:val="1"/>
      <w:numFmt w:val="none"/>
      <w:lvlText w:val="1.9."/>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39A546C"/>
    <w:multiLevelType w:val="hybridMultilevel"/>
    <w:tmpl w:val="B7F23DA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33E1"/>
    <w:multiLevelType w:val="hybridMultilevel"/>
    <w:tmpl w:val="3626A52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D2FA7"/>
    <w:multiLevelType w:val="multilevel"/>
    <w:tmpl w:val="92FE8DC6"/>
    <w:lvl w:ilvl="0">
      <w:start w:val="2"/>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0BC0143"/>
    <w:multiLevelType w:val="hybridMultilevel"/>
    <w:tmpl w:val="96F6E96E"/>
    <w:lvl w:ilvl="0" w:tplc="C05AF67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B670D6"/>
    <w:multiLevelType w:val="multilevel"/>
    <w:tmpl w:val="17DE1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648D5"/>
    <w:multiLevelType w:val="multilevel"/>
    <w:tmpl w:val="83863A9E"/>
    <w:lvl w:ilvl="0">
      <w:start w:val="1"/>
      <w:numFmt w:val="none"/>
      <w:lvlText w:val="2.1."/>
      <w:lvlJc w:val="left"/>
      <w:pPr>
        <w:ind w:left="0" w:firstLine="0"/>
      </w:pPr>
      <w:rPr>
        <w:rFonts w:hint="default"/>
      </w:rPr>
    </w:lvl>
    <w:lvl w:ilvl="1">
      <w:start w:val="1"/>
      <w:numFmt w:val="none"/>
      <w:lvlText w:val="2.1.1."/>
      <w:lvlJc w:val="left"/>
      <w:pPr>
        <w:ind w:left="0" w:firstLine="0"/>
      </w:pPr>
      <w:rPr>
        <w:rFonts w:hint="default"/>
      </w:rPr>
    </w:lvl>
    <w:lvl w:ilvl="2">
      <w:start w:val="1"/>
      <w:numFmt w:val="none"/>
      <w:lvlText w:val="2.1.2."/>
      <w:lvlJc w:val="left"/>
      <w:pPr>
        <w:ind w:left="0" w:firstLine="0"/>
      </w:pPr>
      <w:rPr>
        <w:rFonts w:hint="default"/>
      </w:rPr>
    </w:lvl>
    <w:lvl w:ilvl="3">
      <w:start w:val="1"/>
      <w:numFmt w:val="none"/>
      <w:lvlText w:val="2.1.3."/>
      <w:lvlJc w:val="left"/>
      <w:pPr>
        <w:ind w:left="0" w:firstLine="0"/>
      </w:pPr>
      <w:rPr>
        <w:rFonts w:hint="default"/>
      </w:rPr>
    </w:lvl>
    <w:lvl w:ilvl="4">
      <w:start w:val="1"/>
      <w:numFmt w:val="none"/>
      <w:lvlText w:val="2.1.4."/>
      <w:lvlJc w:val="left"/>
      <w:pPr>
        <w:ind w:left="0" w:firstLine="0"/>
      </w:pPr>
      <w:rPr>
        <w:rFonts w:hint="default"/>
      </w:rPr>
    </w:lvl>
    <w:lvl w:ilvl="5">
      <w:start w:val="1"/>
      <w:numFmt w:val="none"/>
      <w:lvlText w:val="2.1.5."/>
      <w:lvlJc w:val="left"/>
      <w:pPr>
        <w:ind w:left="0" w:firstLine="0"/>
      </w:pPr>
      <w:rPr>
        <w:rFonts w:hint="default"/>
      </w:rPr>
    </w:lvl>
    <w:lvl w:ilvl="6">
      <w:start w:val="1"/>
      <w:numFmt w:val="decimal"/>
      <w:lvlText w:val="%7.8."/>
      <w:lvlJc w:val="left"/>
      <w:pPr>
        <w:ind w:left="0" w:firstLine="0"/>
      </w:pPr>
      <w:rPr>
        <w:rFonts w:hint="default"/>
      </w:rPr>
    </w:lvl>
    <w:lvl w:ilvl="7">
      <w:start w:val="1"/>
      <w:numFmt w:val="none"/>
      <w:lvlText w:val="1.9."/>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9043E74"/>
    <w:multiLevelType w:val="multilevel"/>
    <w:tmpl w:val="7390C86C"/>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C17A4A"/>
    <w:multiLevelType w:val="multilevel"/>
    <w:tmpl w:val="8E62C83A"/>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251212"/>
    <w:multiLevelType w:val="hybridMultilevel"/>
    <w:tmpl w:val="E3A84042"/>
    <w:lvl w:ilvl="0" w:tplc="C05AF67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5632A"/>
    <w:multiLevelType w:val="hybridMultilevel"/>
    <w:tmpl w:val="5C105616"/>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720C90"/>
    <w:multiLevelType w:val="hybridMultilevel"/>
    <w:tmpl w:val="66FAF2A6"/>
    <w:lvl w:ilvl="0" w:tplc="5FFCC4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05A4A"/>
    <w:multiLevelType w:val="hybridMultilevel"/>
    <w:tmpl w:val="3D7AE6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127CFA"/>
    <w:multiLevelType w:val="hybridMultilevel"/>
    <w:tmpl w:val="3CD4E512"/>
    <w:lvl w:ilvl="0" w:tplc="C05AF67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F7F03"/>
    <w:multiLevelType w:val="hybridMultilevel"/>
    <w:tmpl w:val="844E4630"/>
    <w:lvl w:ilvl="0" w:tplc="00F050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130ABC"/>
    <w:multiLevelType w:val="hybridMultilevel"/>
    <w:tmpl w:val="DB92F204"/>
    <w:lvl w:ilvl="0" w:tplc="F16A11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A27517"/>
    <w:multiLevelType w:val="hybridMultilevel"/>
    <w:tmpl w:val="FFAC2E92"/>
    <w:lvl w:ilvl="0" w:tplc="C05AF67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F036E"/>
    <w:multiLevelType w:val="hybridMultilevel"/>
    <w:tmpl w:val="F8F0B07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9532F8"/>
    <w:multiLevelType w:val="hybridMultilevel"/>
    <w:tmpl w:val="19E48B1A"/>
    <w:lvl w:ilvl="0" w:tplc="8A0206F4">
      <w:start w:val="5"/>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D5480"/>
    <w:multiLevelType w:val="hybridMultilevel"/>
    <w:tmpl w:val="27FC605A"/>
    <w:lvl w:ilvl="0" w:tplc="ECE015A4">
      <w:start w:val="1"/>
      <w:numFmt w:val="decimal"/>
      <w:pStyle w:val="Sraopastraipa"/>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DB65C2"/>
    <w:multiLevelType w:val="hybridMultilevel"/>
    <w:tmpl w:val="F20C7200"/>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6BA3"/>
    <w:multiLevelType w:val="hybridMultilevel"/>
    <w:tmpl w:val="CB2006F8"/>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2F16A4"/>
    <w:multiLevelType w:val="multilevel"/>
    <w:tmpl w:val="866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4417D"/>
    <w:multiLevelType w:val="hybridMultilevel"/>
    <w:tmpl w:val="8B969A2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D23C82"/>
    <w:multiLevelType w:val="hybridMultilevel"/>
    <w:tmpl w:val="CAD4A00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066230"/>
    <w:multiLevelType w:val="hybridMultilevel"/>
    <w:tmpl w:val="DD86FF28"/>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75714D"/>
    <w:multiLevelType w:val="multilevel"/>
    <w:tmpl w:val="BCACB1D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C42EFE"/>
    <w:multiLevelType w:val="hybridMultilevel"/>
    <w:tmpl w:val="9EDE2D34"/>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E31A56"/>
    <w:multiLevelType w:val="multilevel"/>
    <w:tmpl w:val="29D2E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476C5A"/>
    <w:multiLevelType w:val="multilevel"/>
    <w:tmpl w:val="092ACA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EB5006"/>
    <w:multiLevelType w:val="hybridMultilevel"/>
    <w:tmpl w:val="770A56F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353C9A"/>
    <w:multiLevelType w:val="multilevel"/>
    <w:tmpl w:val="2F5AF2F2"/>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4236C1"/>
    <w:multiLevelType w:val="hybridMultilevel"/>
    <w:tmpl w:val="E420448A"/>
    <w:lvl w:ilvl="0" w:tplc="C05AF678">
      <w:start w:val="1"/>
      <w:numFmt w:val="decimal"/>
      <w:lvlText w:val="%1."/>
      <w:lvlJc w:val="left"/>
      <w:pPr>
        <w:ind w:left="1080" w:hanging="720"/>
      </w:pPr>
      <w:rPr>
        <w:rFonts w:hint="default"/>
      </w:rPr>
    </w:lvl>
    <w:lvl w:ilvl="1" w:tplc="DC9A85DC">
      <w:start w:val="1"/>
      <w:numFmt w:val="lowerLetter"/>
      <w:lvlText w:val="%2."/>
      <w:lvlJc w:val="left"/>
      <w:pPr>
        <w:ind w:left="1800" w:hanging="720"/>
      </w:pPr>
      <w:rPr>
        <w:rFonts w:hint="default"/>
      </w:rPr>
    </w:lvl>
    <w:lvl w:ilvl="2" w:tplc="0427001B" w:tentative="1">
      <w:start w:val="1"/>
      <w:numFmt w:val="lowerRoman"/>
      <w:pStyle w:val="Antrat3"/>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D732C4"/>
    <w:multiLevelType w:val="multilevel"/>
    <w:tmpl w:val="09E62C74"/>
    <w:styleLink w:val="Stilius2"/>
    <w:lvl w:ilvl="0">
      <w:start w:val="1"/>
      <w:numFmt w:val="none"/>
      <w:lvlText w:val="1.3."/>
      <w:lvlJc w:val="left"/>
      <w:pPr>
        <w:ind w:left="0" w:firstLine="0"/>
      </w:pPr>
      <w:rPr>
        <w:rFonts w:hint="default"/>
        <w:strike w:val="0"/>
      </w:rPr>
    </w:lvl>
    <w:lvl w:ilvl="1">
      <w:start w:val="1"/>
      <w:numFmt w:val="none"/>
      <w:lvlText w:val="1.4."/>
      <w:lvlJc w:val="left"/>
      <w:pPr>
        <w:ind w:left="0" w:firstLine="0"/>
      </w:pPr>
      <w:rPr>
        <w:rFonts w:hint="default"/>
      </w:rPr>
    </w:lvl>
    <w:lvl w:ilvl="2">
      <w:start w:val="1"/>
      <w:numFmt w:val="none"/>
      <w:lvlText w:val="1.5."/>
      <w:lvlJc w:val="left"/>
      <w:pPr>
        <w:ind w:left="0" w:firstLine="0"/>
      </w:pPr>
      <w:rPr>
        <w:rFonts w:hint="default"/>
      </w:rPr>
    </w:lvl>
    <w:lvl w:ilvl="3">
      <w:start w:val="1"/>
      <w:numFmt w:val="none"/>
      <w:lvlText w:val="1.6."/>
      <w:lvlJc w:val="left"/>
      <w:pPr>
        <w:ind w:left="0" w:firstLine="0"/>
      </w:pPr>
      <w:rPr>
        <w:rFonts w:hint="default"/>
      </w:rPr>
    </w:lvl>
    <w:lvl w:ilvl="4">
      <w:start w:val="1"/>
      <w:numFmt w:val="none"/>
      <w:lvlText w:val="1.7."/>
      <w:lvlJc w:val="left"/>
      <w:pPr>
        <w:ind w:left="0" w:firstLine="0"/>
      </w:pPr>
      <w:rPr>
        <w:rFonts w:hint="default"/>
      </w:rPr>
    </w:lvl>
    <w:lvl w:ilvl="5">
      <w:start w:val="1"/>
      <w:numFmt w:val="none"/>
      <w:lvlText w:val="1.8."/>
      <w:lvlJc w:val="right"/>
      <w:pPr>
        <w:ind w:left="0" w:firstLine="0"/>
      </w:pPr>
      <w:rPr>
        <w:rFonts w:hint="default"/>
      </w:rPr>
    </w:lvl>
    <w:lvl w:ilvl="6">
      <w:start w:val="1"/>
      <w:numFmt w:val="none"/>
      <w:lvlText w:val="1.9."/>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426344385">
    <w:abstractNumId w:val="32"/>
  </w:num>
  <w:num w:numId="2" w16cid:durableId="1065880781">
    <w:abstractNumId w:val="33"/>
  </w:num>
  <w:num w:numId="3" w16cid:durableId="358552891">
    <w:abstractNumId w:val="6"/>
  </w:num>
  <w:num w:numId="4" w16cid:durableId="959534175">
    <w:abstractNumId w:val="0"/>
  </w:num>
  <w:num w:numId="5" w16cid:durableId="1853375473">
    <w:abstractNumId w:val="12"/>
  </w:num>
  <w:num w:numId="6" w16cid:durableId="1303458948">
    <w:abstractNumId w:val="28"/>
  </w:num>
  <w:num w:numId="7" w16cid:durableId="894465261">
    <w:abstractNumId w:val="3"/>
  </w:num>
  <w:num w:numId="8" w16cid:durableId="1554779590">
    <w:abstractNumId w:val="29"/>
  </w:num>
  <w:num w:numId="9" w16cid:durableId="733430241">
    <w:abstractNumId w:val="7"/>
  </w:num>
  <w:num w:numId="10" w16cid:durableId="1815102861">
    <w:abstractNumId w:val="8"/>
  </w:num>
  <w:num w:numId="11" w16cid:durableId="1701009328">
    <w:abstractNumId w:val="31"/>
  </w:num>
  <w:num w:numId="12" w16cid:durableId="2032029188">
    <w:abstractNumId w:val="26"/>
  </w:num>
  <w:num w:numId="13" w16cid:durableId="1394158184">
    <w:abstractNumId w:val="22"/>
  </w:num>
  <w:num w:numId="14" w16cid:durableId="1863124916">
    <w:abstractNumId w:val="5"/>
  </w:num>
  <w:num w:numId="15" w16cid:durableId="757676949">
    <w:abstractNumId w:val="11"/>
  </w:num>
  <w:num w:numId="16" w16cid:durableId="686906529">
    <w:abstractNumId w:val="14"/>
  </w:num>
  <w:num w:numId="17" w16cid:durableId="210464326">
    <w:abstractNumId w:val="14"/>
    <w:lvlOverride w:ilvl="0">
      <w:startOverride w:val="1"/>
    </w:lvlOverride>
  </w:num>
  <w:num w:numId="18" w16cid:durableId="1791780565">
    <w:abstractNumId w:val="19"/>
  </w:num>
  <w:num w:numId="19" w16cid:durableId="1551265255">
    <w:abstractNumId w:val="15"/>
  </w:num>
  <w:num w:numId="20" w16cid:durableId="756754531">
    <w:abstractNumId w:val="19"/>
    <w:lvlOverride w:ilvl="0">
      <w:startOverride w:val="1"/>
    </w:lvlOverride>
  </w:num>
  <w:num w:numId="21" w16cid:durableId="375394947">
    <w:abstractNumId w:val="24"/>
  </w:num>
  <w:num w:numId="22" w16cid:durableId="1742947196">
    <w:abstractNumId w:val="1"/>
  </w:num>
  <w:num w:numId="23" w16cid:durableId="501745984">
    <w:abstractNumId w:val="13"/>
  </w:num>
  <w:num w:numId="24" w16cid:durableId="1142120780">
    <w:abstractNumId w:val="20"/>
  </w:num>
  <w:num w:numId="25" w16cid:durableId="1985886171">
    <w:abstractNumId w:val="16"/>
  </w:num>
  <w:num w:numId="26" w16cid:durableId="2050257782">
    <w:abstractNumId w:val="18"/>
  </w:num>
  <w:num w:numId="27" w16cid:durableId="80764102">
    <w:abstractNumId w:val="9"/>
  </w:num>
  <w:num w:numId="28" w16cid:durableId="823737314">
    <w:abstractNumId w:val="17"/>
  </w:num>
  <w:num w:numId="29" w16cid:durableId="1311249010">
    <w:abstractNumId w:val="21"/>
  </w:num>
  <w:num w:numId="30" w16cid:durableId="1546336130">
    <w:abstractNumId w:val="23"/>
  </w:num>
  <w:num w:numId="31" w16cid:durableId="2103721291">
    <w:abstractNumId w:val="2"/>
  </w:num>
  <w:num w:numId="32" w16cid:durableId="1533573901">
    <w:abstractNumId w:val="25"/>
  </w:num>
  <w:num w:numId="33" w16cid:durableId="513032337">
    <w:abstractNumId w:val="4"/>
  </w:num>
  <w:num w:numId="34" w16cid:durableId="76295075">
    <w:abstractNumId w:val="30"/>
  </w:num>
  <w:num w:numId="35" w16cid:durableId="797456472">
    <w:abstractNumId w:val="27"/>
  </w:num>
  <w:num w:numId="36" w16cid:durableId="119618985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50"/>
    <w:rsid w:val="000011BF"/>
    <w:rsid w:val="0000334F"/>
    <w:rsid w:val="00007319"/>
    <w:rsid w:val="0001271C"/>
    <w:rsid w:val="000140AB"/>
    <w:rsid w:val="0001455E"/>
    <w:rsid w:val="000179B2"/>
    <w:rsid w:val="00017F74"/>
    <w:rsid w:val="00020D84"/>
    <w:rsid w:val="0002283C"/>
    <w:rsid w:val="00023611"/>
    <w:rsid w:val="00026278"/>
    <w:rsid w:val="00040360"/>
    <w:rsid w:val="000412D7"/>
    <w:rsid w:val="00042CB1"/>
    <w:rsid w:val="0004647C"/>
    <w:rsid w:val="00046DFD"/>
    <w:rsid w:val="000509C6"/>
    <w:rsid w:val="0005152C"/>
    <w:rsid w:val="00053EC2"/>
    <w:rsid w:val="000565FE"/>
    <w:rsid w:val="00056B03"/>
    <w:rsid w:val="0005724F"/>
    <w:rsid w:val="00057947"/>
    <w:rsid w:val="00057A08"/>
    <w:rsid w:val="00061A8F"/>
    <w:rsid w:val="000635E7"/>
    <w:rsid w:val="0006696B"/>
    <w:rsid w:val="00070F92"/>
    <w:rsid w:val="00071C5A"/>
    <w:rsid w:val="000725CC"/>
    <w:rsid w:val="000731AB"/>
    <w:rsid w:val="00074104"/>
    <w:rsid w:val="000742DD"/>
    <w:rsid w:val="00074888"/>
    <w:rsid w:val="00075823"/>
    <w:rsid w:val="000777CB"/>
    <w:rsid w:val="00077E7F"/>
    <w:rsid w:val="00083AB7"/>
    <w:rsid w:val="0008519D"/>
    <w:rsid w:val="00086E1D"/>
    <w:rsid w:val="00087ACB"/>
    <w:rsid w:val="00091157"/>
    <w:rsid w:val="0009225F"/>
    <w:rsid w:val="00092FF5"/>
    <w:rsid w:val="00093134"/>
    <w:rsid w:val="00093850"/>
    <w:rsid w:val="000A297F"/>
    <w:rsid w:val="000A4582"/>
    <w:rsid w:val="000A4AE0"/>
    <w:rsid w:val="000A6295"/>
    <w:rsid w:val="000A68D8"/>
    <w:rsid w:val="000A761F"/>
    <w:rsid w:val="000A76B3"/>
    <w:rsid w:val="000A78AB"/>
    <w:rsid w:val="000B21D6"/>
    <w:rsid w:val="000C2F10"/>
    <w:rsid w:val="000C3BFD"/>
    <w:rsid w:val="000C68EB"/>
    <w:rsid w:val="000D2EFB"/>
    <w:rsid w:val="000D3BDC"/>
    <w:rsid w:val="000D472D"/>
    <w:rsid w:val="000D538D"/>
    <w:rsid w:val="000D733B"/>
    <w:rsid w:val="000E392A"/>
    <w:rsid w:val="000E3CE0"/>
    <w:rsid w:val="000E3DE0"/>
    <w:rsid w:val="000E53BB"/>
    <w:rsid w:val="000E59E2"/>
    <w:rsid w:val="000E73F6"/>
    <w:rsid w:val="000F0BBC"/>
    <w:rsid w:val="000F1532"/>
    <w:rsid w:val="000F3C34"/>
    <w:rsid w:val="000F4965"/>
    <w:rsid w:val="000F714E"/>
    <w:rsid w:val="00100070"/>
    <w:rsid w:val="001011F1"/>
    <w:rsid w:val="00101D7E"/>
    <w:rsid w:val="00102212"/>
    <w:rsid w:val="0010665B"/>
    <w:rsid w:val="00112D42"/>
    <w:rsid w:val="0011464E"/>
    <w:rsid w:val="00114C19"/>
    <w:rsid w:val="00117725"/>
    <w:rsid w:val="00121FE7"/>
    <w:rsid w:val="00122A8F"/>
    <w:rsid w:val="0012689A"/>
    <w:rsid w:val="00133C80"/>
    <w:rsid w:val="001344BE"/>
    <w:rsid w:val="00137C22"/>
    <w:rsid w:val="001407EB"/>
    <w:rsid w:val="00143651"/>
    <w:rsid w:val="0014561D"/>
    <w:rsid w:val="00150DB2"/>
    <w:rsid w:val="00153036"/>
    <w:rsid w:val="001541E6"/>
    <w:rsid w:val="00154287"/>
    <w:rsid w:val="00155A43"/>
    <w:rsid w:val="00156373"/>
    <w:rsid w:val="00162654"/>
    <w:rsid w:val="0017073A"/>
    <w:rsid w:val="001708D8"/>
    <w:rsid w:val="00170EB2"/>
    <w:rsid w:val="00177444"/>
    <w:rsid w:val="00180D4D"/>
    <w:rsid w:val="001813E5"/>
    <w:rsid w:val="00182BAE"/>
    <w:rsid w:val="001831E2"/>
    <w:rsid w:val="0018500C"/>
    <w:rsid w:val="00187ED0"/>
    <w:rsid w:val="001908FD"/>
    <w:rsid w:val="001913E5"/>
    <w:rsid w:val="0019205F"/>
    <w:rsid w:val="00192E75"/>
    <w:rsid w:val="0019307A"/>
    <w:rsid w:val="00193A50"/>
    <w:rsid w:val="00194318"/>
    <w:rsid w:val="00195FF1"/>
    <w:rsid w:val="001A54A5"/>
    <w:rsid w:val="001A5D2A"/>
    <w:rsid w:val="001A60C6"/>
    <w:rsid w:val="001A74B0"/>
    <w:rsid w:val="001B082F"/>
    <w:rsid w:val="001B4990"/>
    <w:rsid w:val="001B7BE4"/>
    <w:rsid w:val="001C0310"/>
    <w:rsid w:val="001C26C8"/>
    <w:rsid w:val="001C422A"/>
    <w:rsid w:val="001C52F5"/>
    <w:rsid w:val="001C59FC"/>
    <w:rsid w:val="001C6F6B"/>
    <w:rsid w:val="001D0098"/>
    <w:rsid w:val="001D027C"/>
    <w:rsid w:val="001D187E"/>
    <w:rsid w:val="001D1A8D"/>
    <w:rsid w:val="001D30B6"/>
    <w:rsid w:val="001D3B12"/>
    <w:rsid w:val="001D688B"/>
    <w:rsid w:val="001E0438"/>
    <w:rsid w:val="001E171C"/>
    <w:rsid w:val="001E22A3"/>
    <w:rsid w:val="001E2A41"/>
    <w:rsid w:val="001E3525"/>
    <w:rsid w:val="001E4999"/>
    <w:rsid w:val="001E6A31"/>
    <w:rsid w:val="001F33B9"/>
    <w:rsid w:val="001F3A5D"/>
    <w:rsid w:val="001F4560"/>
    <w:rsid w:val="001F490B"/>
    <w:rsid w:val="001F4E7F"/>
    <w:rsid w:val="001F5267"/>
    <w:rsid w:val="001F5690"/>
    <w:rsid w:val="001F5B75"/>
    <w:rsid w:val="001F7B2C"/>
    <w:rsid w:val="0020073F"/>
    <w:rsid w:val="00201DC4"/>
    <w:rsid w:val="00204708"/>
    <w:rsid w:val="002049B5"/>
    <w:rsid w:val="00206768"/>
    <w:rsid w:val="00207465"/>
    <w:rsid w:val="00211CA6"/>
    <w:rsid w:val="0021305C"/>
    <w:rsid w:val="00214401"/>
    <w:rsid w:val="002204DF"/>
    <w:rsid w:val="00220821"/>
    <w:rsid w:val="002209CF"/>
    <w:rsid w:val="00224D8A"/>
    <w:rsid w:val="00225025"/>
    <w:rsid w:val="00226CA2"/>
    <w:rsid w:val="0022754C"/>
    <w:rsid w:val="002321FE"/>
    <w:rsid w:val="00233C6D"/>
    <w:rsid w:val="0023403A"/>
    <w:rsid w:val="00235629"/>
    <w:rsid w:val="002366D0"/>
    <w:rsid w:val="00241147"/>
    <w:rsid w:val="00241D14"/>
    <w:rsid w:val="00243816"/>
    <w:rsid w:val="00245D73"/>
    <w:rsid w:val="00246BCE"/>
    <w:rsid w:val="00250EC6"/>
    <w:rsid w:val="00252244"/>
    <w:rsid w:val="00255BA2"/>
    <w:rsid w:val="00255C50"/>
    <w:rsid w:val="002568B0"/>
    <w:rsid w:val="00260321"/>
    <w:rsid w:val="002653A0"/>
    <w:rsid w:val="002679AD"/>
    <w:rsid w:val="002719ED"/>
    <w:rsid w:val="00271EE0"/>
    <w:rsid w:val="0027234D"/>
    <w:rsid w:val="00272646"/>
    <w:rsid w:val="0027266C"/>
    <w:rsid w:val="0027436E"/>
    <w:rsid w:val="00274B69"/>
    <w:rsid w:val="0027603F"/>
    <w:rsid w:val="00276C0E"/>
    <w:rsid w:val="00280964"/>
    <w:rsid w:val="00280998"/>
    <w:rsid w:val="00280ADE"/>
    <w:rsid w:val="00280F00"/>
    <w:rsid w:val="00283142"/>
    <w:rsid w:val="00284349"/>
    <w:rsid w:val="002845F5"/>
    <w:rsid w:val="0028511F"/>
    <w:rsid w:val="00287D78"/>
    <w:rsid w:val="00290D7B"/>
    <w:rsid w:val="002914B1"/>
    <w:rsid w:val="002922DC"/>
    <w:rsid w:val="00292EA9"/>
    <w:rsid w:val="00294E0F"/>
    <w:rsid w:val="00295FE4"/>
    <w:rsid w:val="0029633C"/>
    <w:rsid w:val="0029634E"/>
    <w:rsid w:val="002A02C6"/>
    <w:rsid w:val="002A0E0B"/>
    <w:rsid w:val="002A160D"/>
    <w:rsid w:val="002A1E53"/>
    <w:rsid w:val="002A3560"/>
    <w:rsid w:val="002A35C5"/>
    <w:rsid w:val="002A40B6"/>
    <w:rsid w:val="002A4CAC"/>
    <w:rsid w:val="002A6054"/>
    <w:rsid w:val="002A7774"/>
    <w:rsid w:val="002B11F0"/>
    <w:rsid w:val="002B1D1B"/>
    <w:rsid w:val="002B366E"/>
    <w:rsid w:val="002B48F4"/>
    <w:rsid w:val="002B5825"/>
    <w:rsid w:val="002B75D7"/>
    <w:rsid w:val="002C14FF"/>
    <w:rsid w:val="002C3B7C"/>
    <w:rsid w:val="002C544D"/>
    <w:rsid w:val="002C5BE3"/>
    <w:rsid w:val="002C665B"/>
    <w:rsid w:val="002D4592"/>
    <w:rsid w:val="002E0715"/>
    <w:rsid w:val="002E1649"/>
    <w:rsid w:val="002E2D28"/>
    <w:rsid w:val="002E7190"/>
    <w:rsid w:val="002F0F50"/>
    <w:rsid w:val="002F42DF"/>
    <w:rsid w:val="002F56E9"/>
    <w:rsid w:val="002F6A74"/>
    <w:rsid w:val="002F6BE4"/>
    <w:rsid w:val="003008CD"/>
    <w:rsid w:val="00302DB5"/>
    <w:rsid w:val="003040F0"/>
    <w:rsid w:val="00305E67"/>
    <w:rsid w:val="00307DDA"/>
    <w:rsid w:val="00312590"/>
    <w:rsid w:val="003125F8"/>
    <w:rsid w:val="00313915"/>
    <w:rsid w:val="003153A7"/>
    <w:rsid w:val="003174B9"/>
    <w:rsid w:val="003179AC"/>
    <w:rsid w:val="0032196C"/>
    <w:rsid w:val="00321C58"/>
    <w:rsid w:val="00322823"/>
    <w:rsid w:val="00324624"/>
    <w:rsid w:val="00324A80"/>
    <w:rsid w:val="00325EEF"/>
    <w:rsid w:val="00325FF5"/>
    <w:rsid w:val="00332D79"/>
    <w:rsid w:val="00333765"/>
    <w:rsid w:val="003350B6"/>
    <w:rsid w:val="00335342"/>
    <w:rsid w:val="00335DE9"/>
    <w:rsid w:val="00337A33"/>
    <w:rsid w:val="00337BFC"/>
    <w:rsid w:val="00340C44"/>
    <w:rsid w:val="003456F4"/>
    <w:rsid w:val="00345F92"/>
    <w:rsid w:val="00347125"/>
    <w:rsid w:val="00355114"/>
    <w:rsid w:val="003557D1"/>
    <w:rsid w:val="003565AE"/>
    <w:rsid w:val="00356E85"/>
    <w:rsid w:val="003574D0"/>
    <w:rsid w:val="00357E76"/>
    <w:rsid w:val="00360E69"/>
    <w:rsid w:val="00363358"/>
    <w:rsid w:val="00363A95"/>
    <w:rsid w:val="00365EB3"/>
    <w:rsid w:val="00366692"/>
    <w:rsid w:val="00366A5D"/>
    <w:rsid w:val="003671C5"/>
    <w:rsid w:val="003709AA"/>
    <w:rsid w:val="00371294"/>
    <w:rsid w:val="00373933"/>
    <w:rsid w:val="003765CD"/>
    <w:rsid w:val="003817AF"/>
    <w:rsid w:val="00387740"/>
    <w:rsid w:val="00391D3A"/>
    <w:rsid w:val="00393201"/>
    <w:rsid w:val="003940EE"/>
    <w:rsid w:val="00395997"/>
    <w:rsid w:val="00397D1B"/>
    <w:rsid w:val="003A3084"/>
    <w:rsid w:val="003A4A42"/>
    <w:rsid w:val="003A6546"/>
    <w:rsid w:val="003A7D08"/>
    <w:rsid w:val="003A7E3D"/>
    <w:rsid w:val="003B02B2"/>
    <w:rsid w:val="003C3D7B"/>
    <w:rsid w:val="003C7CCE"/>
    <w:rsid w:val="003D0173"/>
    <w:rsid w:val="003D01D7"/>
    <w:rsid w:val="003D077B"/>
    <w:rsid w:val="003D5116"/>
    <w:rsid w:val="003D6646"/>
    <w:rsid w:val="003E125E"/>
    <w:rsid w:val="003F1CDD"/>
    <w:rsid w:val="003F3C80"/>
    <w:rsid w:val="003F41FF"/>
    <w:rsid w:val="003F58C8"/>
    <w:rsid w:val="0040029C"/>
    <w:rsid w:val="004003C9"/>
    <w:rsid w:val="004011AB"/>
    <w:rsid w:val="00403711"/>
    <w:rsid w:val="004048FA"/>
    <w:rsid w:val="00410E26"/>
    <w:rsid w:val="00411443"/>
    <w:rsid w:val="00414234"/>
    <w:rsid w:val="00417272"/>
    <w:rsid w:val="00421098"/>
    <w:rsid w:val="00421BD9"/>
    <w:rsid w:val="004227EB"/>
    <w:rsid w:val="00423FDA"/>
    <w:rsid w:val="004263D6"/>
    <w:rsid w:val="00430385"/>
    <w:rsid w:val="004311EF"/>
    <w:rsid w:val="00431B94"/>
    <w:rsid w:val="00431F2B"/>
    <w:rsid w:val="0043234C"/>
    <w:rsid w:val="0043263D"/>
    <w:rsid w:val="00437549"/>
    <w:rsid w:val="00440826"/>
    <w:rsid w:val="004427EA"/>
    <w:rsid w:val="00445688"/>
    <w:rsid w:val="00446383"/>
    <w:rsid w:val="0044689A"/>
    <w:rsid w:val="00447041"/>
    <w:rsid w:val="00450541"/>
    <w:rsid w:val="00451615"/>
    <w:rsid w:val="00455F1E"/>
    <w:rsid w:val="004565C3"/>
    <w:rsid w:val="004578A0"/>
    <w:rsid w:val="00461633"/>
    <w:rsid w:val="0046165E"/>
    <w:rsid w:val="004618FB"/>
    <w:rsid w:val="00465A33"/>
    <w:rsid w:val="00465C9D"/>
    <w:rsid w:val="00467B2E"/>
    <w:rsid w:val="00467B77"/>
    <w:rsid w:val="004702E2"/>
    <w:rsid w:val="00471C0C"/>
    <w:rsid w:val="00473598"/>
    <w:rsid w:val="00473DF8"/>
    <w:rsid w:val="00474AB3"/>
    <w:rsid w:val="00476EBF"/>
    <w:rsid w:val="00480133"/>
    <w:rsid w:val="00482610"/>
    <w:rsid w:val="00483128"/>
    <w:rsid w:val="00483C9C"/>
    <w:rsid w:val="00487611"/>
    <w:rsid w:val="00492482"/>
    <w:rsid w:val="00493B53"/>
    <w:rsid w:val="00497145"/>
    <w:rsid w:val="004A3E7A"/>
    <w:rsid w:val="004A4E6F"/>
    <w:rsid w:val="004A6E9E"/>
    <w:rsid w:val="004A73B3"/>
    <w:rsid w:val="004B1A57"/>
    <w:rsid w:val="004B1BA3"/>
    <w:rsid w:val="004B3772"/>
    <w:rsid w:val="004B4C98"/>
    <w:rsid w:val="004B5D6F"/>
    <w:rsid w:val="004C1A08"/>
    <w:rsid w:val="004C3C89"/>
    <w:rsid w:val="004D0058"/>
    <w:rsid w:val="004D04E5"/>
    <w:rsid w:val="004D4980"/>
    <w:rsid w:val="004D5509"/>
    <w:rsid w:val="004D5A3E"/>
    <w:rsid w:val="004D5CA8"/>
    <w:rsid w:val="004E02E8"/>
    <w:rsid w:val="004E3275"/>
    <w:rsid w:val="004E3AFD"/>
    <w:rsid w:val="004E4B9D"/>
    <w:rsid w:val="004E6799"/>
    <w:rsid w:val="004E7322"/>
    <w:rsid w:val="004F2EEB"/>
    <w:rsid w:val="004F5457"/>
    <w:rsid w:val="004F5F14"/>
    <w:rsid w:val="004F73D1"/>
    <w:rsid w:val="004F7E4B"/>
    <w:rsid w:val="00501007"/>
    <w:rsid w:val="00502467"/>
    <w:rsid w:val="00502728"/>
    <w:rsid w:val="00502B38"/>
    <w:rsid w:val="00506AE9"/>
    <w:rsid w:val="005074AE"/>
    <w:rsid w:val="00507820"/>
    <w:rsid w:val="005107D4"/>
    <w:rsid w:val="00510BD2"/>
    <w:rsid w:val="005161FE"/>
    <w:rsid w:val="005258E6"/>
    <w:rsid w:val="005274D3"/>
    <w:rsid w:val="005275AE"/>
    <w:rsid w:val="005277BF"/>
    <w:rsid w:val="005307FB"/>
    <w:rsid w:val="005317CA"/>
    <w:rsid w:val="0053337B"/>
    <w:rsid w:val="00533803"/>
    <w:rsid w:val="00534322"/>
    <w:rsid w:val="005358BA"/>
    <w:rsid w:val="00536E2F"/>
    <w:rsid w:val="00541444"/>
    <w:rsid w:val="00543497"/>
    <w:rsid w:val="00543B67"/>
    <w:rsid w:val="0054420D"/>
    <w:rsid w:val="005454C4"/>
    <w:rsid w:val="005461A7"/>
    <w:rsid w:val="005553D2"/>
    <w:rsid w:val="00555BFB"/>
    <w:rsid w:val="0056004B"/>
    <w:rsid w:val="00561C79"/>
    <w:rsid w:val="005637E0"/>
    <w:rsid w:val="005674A1"/>
    <w:rsid w:val="005678B7"/>
    <w:rsid w:val="005723D4"/>
    <w:rsid w:val="00572553"/>
    <w:rsid w:val="00573930"/>
    <w:rsid w:val="00573A73"/>
    <w:rsid w:val="005764A0"/>
    <w:rsid w:val="0057693F"/>
    <w:rsid w:val="005770F0"/>
    <w:rsid w:val="00581CCB"/>
    <w:rsid w:val="00583A49"/>
    <w:rsid w:val="00583AC7"/>
    <w:rsid w:val="00584B95"/>
    <w:rsid w:val="00584ECC"/>
    <w:rsid w:val="00585F8F"/>
    <w:rsid w:val="00586616"/>
    <w:rsid w:val="005866EF"/>
    <w:rsid w:val="00591F28"/>
    <w:rsid w:val="005928E4"/>
    <w:rsid w:val="00593E1C"/>
    <w:rsid w:val="00593EF4"/>
    <w:rsid w:val="005A1108"/>
    <w:rsid w:val="005A3812"/>
    <w:rsid w:val="005A61DA"/>
    <w:rsid w:val="005B385D"/>
    <w:rsid w:val="005B3F15"/>
    <w:rsid w:val="005B448D"/>
    <w:rsid w:val="005B6A23"/>
    <w:rsid w:val="005B7C53"/>
    <w:rsid w:val="005C209F"/>
    <w:rsid w:val="005C4649"/>
    <w:rsid w:val="005C5280"/>
    <w:rsid w:val="005C5E3A"/>
    <w:rsid w:val="005D1B97"/>
    <w:rsid w:val="005D1E83"/>
    <w:rsid w:val="005D3FD6"/>
    <w:rsid w:val="005D411E"/>
    <w:rsid w:val="005D6028"/>
    <w:rsid w:val="005D6EAA"/>
    <w:rsid w:val="005E2209"/>
    <w:rsid w:val="005E2988"/>
    <w:rsid w:val="005E3F8B"/>
    <w:rsid w:val="005E568F"/>
    <w:rsid w:val="005E6861"/>
    <w:rsid w:val="005F058E"/>
    <w:rsid w:val="005F133C"/>
    <w:rsid w:val="005F43D7"/>
    <w:rsid w:val="005F59C4"/>
    <w:rsid w:val="00602AE7"/>
    <w:rsid w:val="006048A0"/>
    <w:rsid w:val="00607A8A"/>
    <w:rsid w:val="00607ACB"/>
    <w:rsid w:val="006102DC"/>
    <w:rsid w:val="00610C0B"/>
    <w:rsid w:val="00610EBA"/>
    <w:rsid w:val="0061143F"/>
    <w:rsid w:val="006130D9"/>
    <w:rsid w:val="0061322F"/>
    <w:rsid w:val="00613C26"/>
    <w:rsid w:val="00613F07"/>
    <w:rsid w:val="006156CB"/>
    <w:rsid w:val="00617AE5"/>
    <w:rsid w:val="00620F90"/>
    <w:rsid w:val="00621101"/>
    <w:rsid w:val="00621537"/>
    <w:rsid w:val="00621CF7"/>
    <w:rsid w:val="00621D97"/>
    <w:rsid w:val="00622306"/>
    <w:rsid w:val="006228BC"/>
    <w:rsid w:val="00625178"/>
    <w:rsid w:val="006335B4"/>
    <w:rsid w:val="00635324"/>
    <w:rsid w:val="0063561D"/>
    <w:rsid w:val="006367DD"/>
    <w:rsid w:val="0064136D"/>
    <w:rsid w:val="0064181C"/>
    <w:rsid w:val="00642459"/>
    <w:rsid w:val="00645183"/>
    <w:rsid w:val="006454CC"/>
    <w:rsid w:val="00646F1C"/>
    <w:rsid w:val="006476E2"/>
    <w:rsid w:val="00650B5F"/>
    <w:rsid w:val="006528D5"/>
    <w:rsid w:val="00656242"/>
    <w:rsid w:val="00656569"/>
    <w:rsid w:val="00662297"/>
    <w:rsid w:val="00662B0E"/>
    <w:rsid w:val="00667492"/>
    <w:rsid w:val="006703B4"/>
    <w:rsid w:val="00672A58"/>
    <w:rsid w:val="00672E3E"/>
    <w:rsid w:val="00673571"/>
    <w:rsid w:val="00674331"/>
    <w:rsid w:val="00676433"/>
    <w:rsid w:val="00676D70"/>
    <w:rsid w:val="00676F98"/>
    <w:rsid w:val="0068470F"/>
    <w:rsid w:val="00687BBD"/>
    <w:rsid w:val="00687FB8"/>
    <w:rsid w:val="00690385"/>
    <w:rsid w:val="00690982"/>
    <w:rsid w:val="00691950"/>
    <w:rsid w:val="006919FE"/>
    <w:rsid w:val="00695BDE"/>
    <w:rsid w:val="006976D5"/>
    <w:rsid w:val="006A11C8"/>
    <w:rsid w:val="006A3CD1"/>
    <w:rsid w:val="006A406B"/>
    <w:rsid w:val="006A4B23"/>
    <w:rsid w:val="006A7603"/>
    <w:rsid w:val="006A775E"/>
    <w:rsid w:val="006B1711"/>
    <w:rsid w:val="006B5391"/>
    <w:rsid w:val="006B56FE"/>
    <w:rsid w:val="006B607C"/>
    <w:rsid w:val="006B6215"/>
    <w:rsid w:val="006B6F6B"/>
    <w:rsid w:val="006B716E"/>
    <w:rsid w:val="006C069E"/>
    <w:rsid w:val="006C3610"/>
    <w:rsid w:val="006C3C77"/>
    <w:rsid w:val="006C4575"/>
    <w:rsid w:val="006C7595"/>
    <w:rsid w:val="006D1DE6"/>
    <w:rsid w:val="006D2EFE"/>
    <w:rsid w:val="006D5FF9"/>
    <w:rsid w:val="006D7E13"/>
    <w:rsid w:val="006D7F85"/>
    <w:rsid w:val="006E1F56"/>
    <w:rsid w:val="006E27F2"/>
    <w:rsid w:val="006E47DC"/>
    <w:rsid w:val="006E61F7"/>
    <w:rsid w:val="006E71DB"/>
    <w:rsid w:val="006F24C2"/>
    <w:rsid w:val="006F5A94"/>
    <w:rsid w:val="006F5B32"/>
    <w:rsid w:val="006F5C06"/>
    <w:rsid w:val="006F64E0"/>
    <w:rsid w:val="006F66A4"/>
    <w:rsid w:val="006F74BD"/>
    <w:rsid w:val="006F7CD2"/>
    <w:rsid w:val="00702504"/>
    <w:rsid w:val="00704DB5"/>
    <w:rsid w:val="00707111"/>
    <w:rsid w:val="00707DBF"/>
    <w:rsid w:val="0071062A"/>
    <w:rsid w:val="00713BB5"/>
    <w:rsid w:val="00715005"/>
    <w:rsid w:val="007154F7"/>
    <w:rsid w:val="00715969"/>
    <w:rsid w:val="00716BDE"/>
    <w:rsid w:val="007177C5"/>
    <w:rsid w:val="00723AEB"/>
    <w:rsid w:val="00724005"/>
    <w:rsid w:val="007244F9"/>
    <w:rsid w:val="007251CD"/>
    <w:rsid w:val="00725AD0"/>
    <w:rsid w:val="00731110"/>
    <w:rsid w:val="00734436"/>
    <w:rsid w:val="00735431"/>
    <w:rsid w:val="00735D81"/>
    <w:rsid w:val="0073613D"/>
    <w:rsid w:val="00737AEC"/>
    <w:rsid w:val="00737B7E"/>
    <w:rsid w:val="00740DA6"/>
    <w:rsid w:val="007428A5"/>
    <w:rsid w:val="00742F7C"/>
    <w:rsid w:val="00743157"/>
    <w:rsid w:val="00751D93"/>
    <w:rsid w:val="00753A28"/>
    <w:rsid w:val="00755006"/>
    <w:rsid w:val="00756634"/>
    <w:rsid w:val="00757656"/>
    <w:rsid w:val="00761A4E"/>
    <w:rsid w:val="00762943"/>
    <w:rsid w:val="00762C08"/>
    <w:rsid w:val="00763587"/>
    <w:rsid w:val="00764263"/>
    <w:rsid w:val="00766407"/>
    <w:rsid w:val="00766595"/>
    <w:rsid w:val="00767E3F"/>
    <w:rsid w:val="007706AE"/>
    <w:rsid w:val="0077137D"/>
    <w:rsid w:val="0077144C"/>
    <w:rsid w:val="00775864"/>
    <w:rsid w:val="00776910"/>
    <w:rsid w:val="00780777"/>
    <w:rsid w:val="00780B33"/>
    <w:rsid w:val="00781B59"/>
    <w:rsid w:val="00782CDF"/>
    <w:rsid w:val="00786A28"/>
    <w:rsid w:val="00794F35"/>
    <w:rsid w:val="0079679E"/>
    <w:rsid w:val="007A04E0"/>
    <w:rsid w:val="007A100C"/>
    <w:rsid w:val="007A1E35"/>
    <w:rsid w:val="007A2322"/>
    <w:rsid w:val="007A495B"/>
    <w:rsid w:val="007A5A46"/>
    <w:rsid w:val="007B0126"/>
    <w:rsid w:val="007B02F4"/>
    <w:rsid w:val="007B438A"/>
    <w:rsid w:val="007B4767"/>
    <w:rsid w:val="007B4F5F"/>
    <w:rsid w:val="007C0120"/>
    <w:rsid w:val="007C0B59"/>
    <w:rsid w:val="007C5228"/>
    <w:rsid w:val="007C7469"/>
    <w:rsid w:val="007D28CF"/>
    <w:rsid w:val="007D408D"/>
    <w:rsid w:val="007D4ED9"/>
    <w:rsid w:val="007D7A19"/>
    <w:rsid w:val="007E25F7"/>
    <w:rsid w:val="007E30A2"/>
    <w:rsid w:val="007E3F12"/>
    <w:rsid w:val="007E6042"/>
    <w:rsid w:val="007E7757"/>
    <w:rsid w:val="007E7D91"/>
    <w:rsid w:val="007F1097"/>
    <w:rsid w:val="007F3331"/>
    <w:rsid w:val="007F3785"/>
    <w:rsid w:val="007F4BFF"/>
    <w:rsid w:val="007F7032"/>
    <w:rsid w:val="00800343"/>
    <w:rsid w:val="0080036A"/>
    <w:rsid w:val="00802D05"/>
    <w:rsid w:val="00803147"/>
    <w:rsid w:val="00803BCF"/>
    <w:rsid w:val="00804BCC"/>
    <w:rsid w:val="008120C5"/>
    <w:rsid w:val="00813643"/>
    <w:rsid w:val="00815DC4"/>
    <w:rsid w:val="00817840"/>
    <w:rsid w:val="00817ACF"/>
    <w:rsid w:val="00817C2B"/>
    <w:rsid w:val="00820F20"/>
    <w:rsid w:val="0082260B"/>
    <w:rsid w:val="0082429B"/>
    <w:rsid w:val="00825213"/>
    <w:rsid w:val="0082670F"/>
    <w:rsid w:val="0082754A"/>
    <w:rsid w:val="00830E77"/>
    <w:rsid w:val="00834E30"/>
    <w:rsid w:val="008360C9"/>
    <w:rsid w:val="0083617E"/>
    <w:rsid w:val="0083691F"/>
    <w:rsid w:val="00844163"/>
    <w:rsid w:val="00846033"/>
    <w:rsid w:val="00846D76"/>
    <w:rsid w:val="00850FBB"/>
    <w:rsid w:val="00855373"/>
    <w:rsid w:val="0085561A"/>
    <w:rsid w:val="00855D2A"/>
    <w:rsid w:val="00860E00"/>
    <w:rsid w:val="00861053"/>
    <w:rsid w:val="0086247A"/>
    <w:rsid w:val="00862875"/>
    <w:rsid w:val="00864C12"/>
    <w:rsid w:val="00866836"/>
    <w:rsid w:val="0087284D"/>
    <w:rsid w:val="00874C4E"/>
    <w:rsid w:val="00875160"/>
    <w:rsid w:val="00875748"/>
    <w:rsid w:val="0087631C"/>
    <w:rsid w:val="00880969"/>
    <w:rsid w:val="008818BC"/>
    <w:rsid w:val="00882646"/>
    <w:rsid w:val="00886166"/>
    <w:rsid w:val="0088644F"/>
    <w:rsid w:val="00887D5B"/>
    <w:rsid w:val="008901A2"/>
    <w:rsid w:val="00890795"/>
    <w:rsid w:val="00892E3B"/>
    <w:rsid w:val="008A1BD2"/>
    <w:rsid w:val="008A2D7B"/>
    <w:rsid w:val="008A40B6"/>
    <w:rsid w:val="008A4971"/>
    <w:rsid w:val="008A6470"/>
    <w:rsid w:val="008B1F35"/>
    <w:rsid w:val="008B2665"/>
    <w:rsid w:val="008B3FDE"/>
    <w:rsid w:val="008B6ED2"/>
    <w:rsid w:val="008B71B7"/>
    <w:rsid w:val="008B725D"/>
    <w:rsid w:val="008B7E12"/>
    <w:rsid w:val="008C0B73"/>
    <w:rsid w:val="008C0BE0"/>
    <w:rsid w:val="008C157C"/>
    <w:rsid w:val="008C33FA"/>
    <w:rsid w:val="008C3AEE"/>
    <w:rsid w:val="008C4BEC"/>
    <w:rsid w:val="008C65B8"/>
    <w:rsid w:val="008C7BFB"/>
    <w:rsid w:val="008D21D1"/>
    <w:rsid w:val="008D25CF"/>
    <w:rsid w:val="008D260E"/>
    <w:rsid w:val="008D35B9"/>
    <w:rsid w:val="008D4960"/>
    <w:rsid w:val="008D4F0A"/>
    <w:rsid w:val="008D737C"/>
    <w:rsid w:val="008E338E"/>
    <w:rsid w:val="008E74DF"/>
    <w:rsid w:val="008F089C"/>
    <w:rsid w:val="008F1853"/>
    <w:rsid w:val="008F1E3B"/>
    <w:rsid w:val="008F2A5E"/>
    <w:rsid w:val="008F3DCD"/>
    <w:rsid w:val="008F46BC"/>
    <w:rsid w:val="008F6A55"/>
    <w:rsid w:val="009010F8"/>
    <w:rsid w:val="00901DDB"/>
    <w:rsid w:val="009056E4"/>
    <w:rsid w:val="0090714D"/>
    <w:rsid w:val="0090721C"/>
    <w:rsid w:val="009104E9"/>
    <w:rsid w:val="009115D7"/>
    <w:rsid w:val="00911FE0"/>
    <w:rsid w:val="00912B9F"/>
    <w:rsid w:val="00912C6A"/>
    <w:rsid w:val="00914120"/>
    <w:rsid w:val="009151F7"/>
    <w:rsid w:val="00917A4F"/>
    <w:rsid w:val="0092286D"/>
    <w:rsid w:val="00927236"/>
    <w:rsid w:val="009323B9"/>
    <w:rsid w:val="00933B39"/>
    <w:rsid w:val="00934A1A"/>
    <w:rsid w:val="009367DC"/>
    <w:rsid w:val="009369A0"/>
    <w:rsid w:val="0094287F"/>
    <w:rsid w:val="00943CD1"/>
    <w:rsid w:val="0094486D"/>
    <w:rsid w:val="009454FA"/>
    <w:rsid w:val="00946598"/>
    <w:rsid w:val="0094780E"/>
    <w:rsid w:val="00947DA4"/>
    <w:rsid w:val="00951078"/>
    <w:rsid w:val="00951359"/>
    <w:rsid w:val="00951920"/>
    <w:rsid w:val="00952FD0"/>
    <w:rsid w:val="009544CF"/>
    <w:rsid w:val="00954880"/>
    <w:rsid w:val="009549E8"/>
    <w:rsid w:val="00956F27"/>
    <w:rsid w:val="00960525"/>
    <w:rsid w:val="00960704"/>
    <w:rsid w:val="00963998"/>
    <w:rsid w:val="00964D61"/>
    <w:rsid w:val="00964DD8"/>
    <w:rsid w:val="0096502C"/>
    <w:rsid w:val="00966D35"/>
    <w:rsid w:val="0096782F"/>
    <w:rsid w:val="009725FE"/>
    <w:rsid w:val="009757E0"/>
    <w:rsid w:val="00980141"/>
    <w:rsid w:val="00980AB6"/>
    <w:rsid w:val="0098134D"/>
    <w:rsid w:val="0098263B"/>
    <w:rsid w:val="00983444"/>
    <w:rsid w:val="00983C36"/>
    <w:rsid w:val="00984445"/>
    <w:rsid w:val="0098739E"/>
    <w:rsid w:val="0099282F"/>
    <w:rsid w:val="009931BE"/>
    <w:rsid w:val="0099364E"/>
    <w:rsid w:val="00993FD7"/>
    <w:rsid w:val="00996C5A"/>
    <w:rsid w:val="009A1597"/>
    <w:rsid w:val="009A285F"/>
    <w:rsid w:val="009A3F3C"/>
    <w:rsid w:val="009A4A33"/>
    <w:rsid w:val="009A51AB"/>
    <w:rsid w:val="009A54CB"/>
    <w:rsid w:val="009A5E7B"/>
    <w:rsid w:val="009B099D"/>
    <w:rsid w:val="009B1D64"/>
    <w:rsid w:val="009B1E8E"/>
    <w:rsid w:val="009B3137"/>
    <w:rsid w:val="009B52F7"/>
    <w:rsid w:val="009C07BE"/>
    <w:rsid w:val="009C1A70"/>
    <w:rsid w:val="009C39BE"/>
    <w:rsid w:val="009C4963"/>
    <w:rsid w:val="009C5BDC"/>
    <w:rsid w:val="009C5BDF"/>
    <w:rsid w:val="009C77B0"/>
    <w:rsid w:val="009D0FF2"/>
    <w:rsid w:val="009D2A7B"/>
    <w:rsid w:val="009D49B5"/>
    <w:rsid w:val="009D5BC1"/>
    <w:rsid w:val="009E048A"/>
    <w:rsid w:val="009E1D3C"/>
    <w:rsid w:val="009E3886"/>
    <w:rsid w:val="009E3D65"/>
    <w:rsid w:val="009E4B64"/>
    <w:rsid w:val="009E6B09"/>
    <w:rsid w:val="009E6CBB"/>
    <w:rsid w:val="009F000C"/>
    <w:rsid w:val="009F089A"/>
    <w:rsid w:val="009F0E0B"/>
    <w:rsid w:val="009F2FA0"/>
    <w:rsid w:val="009F7851"/>
    <w:rsid w:val="00A008F1"/>
    <w:rsid w:val="00A017F1"/>
    <w:rsid w:val="00A028AD"/>
    <w:rsid w:val="00A050EE"/>
    <w:rsid w:val="00A06953"/>
    <w:rsid w:val="00A06AAB"/>
    <w:rsid w:val="00A077CF"/>
    <w:rsid w:val="00A1103B"/>
    <w:rsid w:val="00A11875"/>
    <w:rsid w:val="00A12002"/>
    <w:rsid w:val="00A1442A"/>
    <w:rsid w:val="00A15554"/>
    <w:rsid w:val="00A15AC0"/>
    <w:rsid w:val="00A1621D"/>
    <w:rsid w:val="00A16F26"/>
    <w:rsid w:val="00A17C51"/>
    <w:rsid w:val="00A24017"/>
    <w:rsid w:val="00A24097"/>
    <w:rsid w:val="00A33B62"/>
    <w:rsid w:val="00A34026"/>
    <w:rsid w:val="00A34267"/>
    <w:rsid w:val="00A37341"/>
    <w:rsid w:val="00A40882"/>
    <w:rsid w:val="00A41B02"/>
    <w:rsid w:val="00A41EC3"/>
    <w:rsid w:val="00A475F1"/>
    <w:rsid w:val="00A50AA0"/>
    <w:rsid w:val="00A50C32"/>
    <w:rsid w:val="00A51BF3"/>
    <w:rsid w:val="00A56AF7"/>
    <w:rsid w:val="00A56E20"/>
    <w:rsid w:val="00A57023"/>
    <w:rsid w:val="00A62A3C"/>
    <w:rsid w:val="00A62E49"/>
    <w:rsid w:val="00A64B05"/>
    <w:rsid w:val="00A674DA"/>
    <w:rsid w:val="00A727C8"/>
    <w:rsid w:val="00A736EE"/>
    <w:rsid w:val="00A74003"/>
    <w:rsid w:val="00A74144"/>
    <w:rsid w:val="00A75B05"/>
    <w:rsid w:val="00A76006"/>
    <w:rsid w:val="00A77EF7"/>
    <w:rsid w:val="00A804B9"/>
    <w:rsid w:val="00A8213B"/>
    <w:rsid w:val="00A83C24"/>
    <w:rsid w:val="00A90384"/>
    <w:rsid w:val="00A92831"/>
    <w:rsid w:val="00A94C6F"/>
    <w:rsid w:val="00A978B6"/>
    <w:rsid w:val="00AA0198"/>
    <w:rsid w:val="00AA05A4"/>
    <w:rsid w:val="00AA0B97"/>
    <w:rsid w:val="00AA380B"/>
    <w:rsid w:val="00AA4F51"/>
    <w:rsid w:val="00AA7383"/>
    <w:rsid w:val="00AB17BF"/>
    <w:rsid w:val="00AB1B3C"/>
    <w:rsid w:val="00AB2F3B"/>
    <w:rsid w:val="00AB5464"/>
    <w:rsid w:val="00AB60AB"/>
    <w:rsid w:val="00AC6DE8"/>
    <w:rsid w:val="00AD08C8"/>
    <w:rsid w:val="00AD3084"/>
    <w:rsid w:val="00AD5446"/>
    <w:rsid w:val="00AE08E5"/>
    <w:rsid w:val="00AE45E1"/>
    <w:rsid w:val="00AE4916"/>
    <w:rsid w:val="00AE5721"/>
    <w:rsid w:val="00AE7DFE"/>
    <w:rsid w:val="00AF1038"/>
    <w:rsid w:val="00AF684B"/>
    <w:rsid w:val="00B017D8"/>
    <w:rsid w:val="00B0463F"/>
    <w:rsid w:val="00B057C4"/>
    <w:rsid w:val="00B06336"/>
    <w:rsid w:val="00B06D91"/>
    <w:rsid w:val="00B11779"/>
    <w:rsid w:val="00B12768"/>
    <w:rsid w:val="00B131FF"/>
    <w:rsid w:val="00B15225"/>
    <w:rsid w:val="00B152D3"/>
    <w:rsid w:val="00B15E85"/>
    <w:rsid w:val="00B17045"/>
    <w:rsid w:val="00B17D4B"/>
    <w:rsid w:val="00B20F32"/>
    <w:rsid w:val="00B2280B"/>
    <w:rsid w:val="00B2560E"/>
    <w:rsid w:val="00B27882"/>
    <w:rsid w:val="00B30E00"/>
    <w:rsid w:val="00B32BA1"/>
    <w:rsid w:val="00B334D2"/>
    <w:rsid w:val="00B33565"/>
    <w:rsid w:val="00B33A15"/>
    <w:rsid w:val="00B364D5"/>
    <w:rsid w:val="00B36AE3"/>
    <w:rsid w:val="00B408C1"/>
    <w:rsid w:val="00B44C62"/>
    <w:rsid w:val="00B46526"/>
    <w:rsid w:val="00B4719A"/>
    <w:rsid w:val="00B50930"/>
    <w:rsid w:val="00B50E4F"/>
    <w:rsid w:val="00B5572D"/>
    <w:rsid w:val="00B612D8"/>
    <w:rsid w:val="00B61469"/>
    <w:rsid w:val="00B61BF8"/>
    <w:rsid w:val="00B65381"/>
    <w:rsid w:val="00B66C1C"/>
    <w:rsid w:val="00B70E9C"/>
    <w:rsid w:val="00B7436F"/>
    <w:rsid w:val="00B7526F"/>
    <w:rsid w:val="00B761BB"/>
    <w:rsid w:val="00B773DB"/>
    <w:rsid w:val="00B803E7"/>
    <w:rsid w:val="00B818C6"/>
    <w:rsid w:val="00B81CB1"/>
    <w:rsid w:val="00B83923"/>
    <w:rsid w:val="00B83F53"/>
    <w:rsid w:val="00B83F80"/>
    <w:rsid w:val="00B846A4"/>
    <w:rsid w:val="00B86141"/>
    <w:rsid w:val="00B92EEC"/>
    <w:rsid w:val="00B94CC7"/>
    <w:rsid w:val="00B94CE6"/>
    <w:rsid w:val="00B959EE"/>
    <w:rsid w:val="00B95AEA"/>
    <w:rsid w:val="00B95F58"/>
    <w:rsid w:val="00B96E53"/>
    <w:rsid w:val="00B96E8F"/>
    <w:rsid w:val="00BA13BC"/>
    <w:rsid w:val="00BA1E62"/>
    <w:rsid w:val="00BA4CDB"/>
    <w:rsid w:val="00BA4E61"/>
    <w:rsid w:val="00BA7ACC"/>
    <w:rsid w:val="00BB2F21"/>
    <w:rsid w:val="00BB3FC4"/>
    <w:rsid w:val="00BB4EE9"/>
    <w:rsid w:val="00BB6BA0"/>
    <w:rsid w:val="00BC0BAB"/>
    <w:rsid w:val="00BC0E19"/>
    <w:rsid w:val="00BC2BF4"/>
    <w:rsid w:val="00BC4992"/>
    <w:rsid w:val="00BC5331"/>
    <w:rsid w:val="00BC56DD"/>
    <w:rsid w:val="00BC595E"/>
    <w:rsid w:val="00BC665B"/>
    <w:rsid w:val="00BD63E5"/>
    <w:rsid w:val="00BE0EDF"/>
    <w:rsid w:val="00BE3099"/>
    <w:rsid w:val="00BE7D41"/>
    <w:rsid w:val="00BF201F"/>
    <w:rsid w:val="00BF3743"/>
    <w:rsid w:val="00BF3E88"/>
    <w:rsid w:val="00BF5046"/>
    <w:rsid w:val="00C014CD"/>
    <w:rsid w:val="00C02070"/>
    <w:rsid w:val="00C07782"/>
    <w:rsid w:val="00C07FD5"/>
    <w:rsid w:val="00C1212B"/>
    <w:rsid w:val="00C121C7"/>
    <w:rsid w:val="00C13B26"/>
    <w:rsid w:val="00C141B2"/>
    <w:rsid w:val="00C14649"/>
    <w:rsid w:val="00C14855"/>
    <w:rsid w:val="00C16BF0"/>
    <w:rsid w:val="00C174E6"/>
    <w:rsid w:val="00C20B3F"/>
    <w:rsid w:val="00C219C8"/>
    <w:rsid w:val="00C21D72"/>
    <w:rsid w:val="00C26009"/>
    <w:rsid w:val="00C2664E"/>
    <w:rsid w:val="00C26C7D"/>
    <w:rsid w:val="00C3180E"/>
    <w:rsid w:val="00C36405"/>
    <w:rsid w:val="00C42DEE"/>
    <w:rsid w:val="00C439FA"/>
    <w:rsid w:val="00C44020"/>
    <w:rsid w:val="00C4488A"/>
    <w:rsid w:val="00C44F2B"/>
    <w:rsid w:val="00C4598B"/>
    <w:rsid w:val="00C4650D"/>
    <w:rsid w:val="00C5049E"/>
    <w:rsid w:val="00C52206"/>
    <w:rsid w:val="00C52B58"/>
    <w:rsid w:val="00C56C81"/>
    <w:rsid w:val="00C60C70"/>
    <w:rsid w:val="00C60FDB"/>
    <w:rsid w:val="00C6136B"/>
    <w:rsid w:val="00C6179F"/>
    <w:rsid w:val="00C652B9"/>
    <w:rsid w:val="00C6772A"/>
    <w:rsid w:val="00C717CF"/>
    <w:rsid w:val="00C747FB"/>
    <w:rsid w:val="00C74BF8"/>
    <w:rsid w:val="00C77CDF"/>
    <w:rsid w:val="00C80B79"/>
    <w:rsid w:val="00C80F22"/>
    <w:rsid w:val="00C856C0"/>
    <w:rsid w:val="00C85B72"/>
    <w:rsid w:val="00C87CAC"/>
    <w:rsid w:val="00C87E6C"/>
    <w:rsid w:val="00C90674"/>
    <w:rsid w:val="00C919B9"/>
    <w:rsid w:val="00C93134"/>
    <w:rsid w:val="00C9324D"/>
    <w:rsid w:val="00C93944"/>
    <w:rsid w:val="00C96331"/>
    <w:rsid w:val="00C9759E"/>
    <w:rsid w:val="00CA12B4"/>
    <w:rsid w:val="00CA31CE"/>
    <w:rsid w:val="00CA36CF"/>
    <w:rsid w:val="00CA39D3"/>
    <w:rsid w:val="00CA48DB"/>
    <w:rsid w:val="00CB0922"/>
    <w:rsid w:val="00CB0A1C"/>
    <w:rsid w:val="00CB3438"/>
    <w:rsid w:val="00CB7942"/>
    <w:rsid w:val="00CB7D7B"/>
    <w:rsid w:val="00CC1143"/>
    <w:rsid w:val="00CC13BB"/>
    <w:rsid w:val="00CC4577"/>
    <w:rsid w:val="00CC4C64"/>
    <w:rsid w:val="00CC4D2A"/>
    <w:rsid w:val="00CD0F76"/>
    <w:rsid w:val="00CD25AB"/>
    <w:rsid w:val="00CD2A00"/>
    <w:rsid w:val="00CD2BCB"/>
    <w:rsid w:val="00CD3420"/>
    <w:rsid w:val="00CD401A"/>
    <w:rsid w:val="00CE40F3"/>
    <w:rsid w:val="00CE64E5"/>
    <w:rsid w:val="00CE7117"/>
    <w:rsid w:val="00CF00A7"/>
    <w:rsid w:val="00CF078D"/>
    <w:rsid w:val="00CF15EC"/>
    <w:rsid w:val="00CF4581"/>
    <w:rsid w:val="00CF58CB"/>
    <w:rsid w:val="00CF700D"/>
    <w:rsid w:val="00D019A7"/>
    <w:rsid w:val="00D03E68"/>
    <w:rsid w:val="00D0470D"/>
    <w:rsid w:val="00D07D92"/>
    <w:rsid w:val="00D15C4F"/>
    <w:rsid w:val="00D23A05"/>
    <w:rsid w:val="00D24BDC"/>
    <w:rsid w:val="00D25A48"/>
    <w:rsid w:val="00D2630A"/>
    <w:rsid w:val="00D26696"/>
    <w:rsid w:val="00D26D26"/>
    <w:rsid w:val="00D3111E"/>
    <w:rsid w:val="00D31D46"/>
    <w:rsid w:val="00D333F2"/>
    <w:rsid w:val="00D4135A"/>
    <w:rsid w:val="00D42853"/>
    <w:rsid w:val="00D44F7C"/>
    <w:rsid w:val="00D46055"/>
    <w:rsid w:val="00D46BCB"/>
    <w:rsid w:val="00D523A5"/>
    <w:rsid w:val="00D52FC2"/>
    <w:rsid w:val="00D5457C"/>
    <w:rsid w:val="00D54599"/>
    <w:rsid w:val="00D574C6"/>
    <w:rsid w:val="00D61E28"/>
    <w:rsid w:val="00D623ED"/>
    <w:rsid w:val="00D66660"/>
    <w:rsid w:val="00D678FD"/>
    <w:rsid w:val="00D7238F"/>
    <w:rsid w:val="00D73271"/>
    <w:rsid w:val="00D76AE6"/>
    <w:rsid w:val="00D827EE"/>
    <w:rsid w:val="00D83025"/>
    <w:rsid w:val="00D84F89"/>
    <w:rsid w:val="00D86F49"/>
    <w:rsid w:val="00D87ADC"/>
    <w:rsid w:val="00D91F09"/>
    <w:rsid w:val="00D923CF"/>
    <w:rsid w:val="00D94B9E"/>
    <w:rsid w:val="00D97223"/>
    <w:rsid w:val="00DA1267"/>
    <w:rsid w:val="00DA1701"/>
    <w:rsid w:val="00DA176E"/>
    <w:rsid w:val="00DA2569"/>
    <w:rsid w:val="00DA2C53"/>
    <w:rsid w:val="00DA4284"/>
    <w:rsid w:val="00DA4731"/>
    <w:rsid w:val="00DA6E8B"/>
    <w:rsid w:val="00DB0A3A"/>
    <w:rsid w:val="00DB2BE8"/>
    <w:rsid w:val="00DB2CDA"/>
    <w:rsid w:val="00DB5BF6"/>
    <w:rsid w:val="00DB6C32"/>
    <w:rsid w:val="00DB7B0C"/>
    <w:rsid w:val="00DC284F"/>
    <w:rsid w:val="00DC5B05"/>
    <w:rsid w:val="00DC7B41"/>
    <w:rsid w:val="00DD41CB"/>
    <w:rsid w:val="00DD4650"/>
    <w:rsid w:val="00DD56CD"/>
    <w:rsid w:val="00DD5BB5"/>
    <w:rsid w:val="00DD6DD1"/>
    <w:rsid w:val="00DD7B2A"/>
    <w:rsid w:val="00DE08CD"/>
    <w:rsid w:val="00DE0AC2"/>
    <w:rsid w:val="00DE2F79"/>
    <w:rsid w:val="00DE311D"/>
    <w:rsid w:val="00DE433B"/>
    <w:rsid w:val="00DE476A"/>
    <w:rsid w:val="00DE5032"/>
    <w:rsid w:val="00DE5312"/>
    <w:rsid w:val="00DE71E9"/>
    <w:rsid w:val="00DF283A"/>
    <w:rsid w:val="00DF5565"/>
    <w:rsid w:val="00E03A63"/>
    <w:rsid w:val="00E05662"/>
    <w:rsid w:val="00E069DD"/>
    <w:rsid w:val="00E10D0B"/>
    <w:rsid w:val="00E10FB2"/>
    <w:rsid w:val="00E11B15"/>
    <w:rsid w:val="00E11EC8"/>
    <w:rsid w:val="00E12943"/>
    <w:rsid w:val="00E13E4D"/>
    <w:rsid w:val="00E1437B"/>
    <w:rsid w:val="00E17417"/>
    <w:rsid w:val="00E20A61"/>
    <w:rsid w:val="00E21C10"/>
    <w:rsid w:val="00E22779"/>
    <w:rsid w:val="00E251F7"/>
    <w:rsid w:val="00E25557"/>
    <w:rsid w:val="00E26FC7"/>
    <w:rsid w:val="00E2791E"/>
    <w:rsid w:val="00E30D57"/>
    <w:rsid w:val="00E31F83"/>
    <w:rsid w:val="00E32EFC"/>
    <w:rsid w:val="00E332C9"/>
    <w:rsid w:val="00E3347F"/>
    <w:rsid w:val="00E33E55"/>
    <w:rsid w:val="00E35C32"/>
    <w:rsid w:val="00E361AD"/>
    <w:rsid w:val="00E36587"/>
    <w:rsid w:val="00E37AF3"/>
    <w:rsid w:val="00E417C8"/>
    <w:rsid w:val="00E421C0"/>
    <w:rsid w:val="00E4568F"/>
    <w:rsid w:val="00E45E7F"/>
    <w:rsid w:val="00E46463"/>
    <w:rsid w:val="00E4652D"/>
    <w:rsid w:val="00E5144A"/>
    <w:rsid w:val="00E52DD1"/>
    <w:rsid w:val="00E55876"/>
    <w:rsid w:val="00E56ECA"/>
    <w:rsid w:val="00E57E37"/>
    <w:rsid w:val="00E621C6"/>
    <w:rsid w:val="00E6262B"/>
    <w:rsid w:val="00E70262"/>
    <w:rsid w:val="00E70971"/>
    <w:rsid w:val="00E70C3F"/>
    <w:rsid w:val="00E73D8D"/>
    <w:rsid w:val="00E745B9"/>
    <w:rsid w:val="00E767B7"/>
    <w:rsid w:val="00E77891"/>
    <w:rsid w:val="00E80616"/>
    <w:rsid w:val="00E80C2E"/>
    <w:rsid w:val="00E8349E"/>
    <w:rsid w:val="00E86341"/>
    <w:rsid w:val="00E90950"/>
    <w:rsid w:val="00E93E2B"/>
    <w:rsid w:val="00E93E8B"/>
    <w:rsid w:val="00E95E6B"/>
    <w:rsid w:val="00EA1393"/>
    <w:rsid w:val="00EA1EE8"/>
    <w:rsid w:val="00EA2220"/>
    <w:rsid w:val="00EA329B"/>
    <w:rsid w:val="00EA33AF"/>
    <w:rsid w:val="00EA4C01"/>
    <w:rsid w:val="00EA6E86"/>
    <w:rsid w:val="00EA7AEA"/>
    <w:rsid w:val="00EA7B55"/>
    <w:rsid w:val="00EB1DAD"/>
    <w:rsid w:val="00EB306E"/>
    <w:rsid w:val="00EB4049"/>
    <w:rsid w:val="00EB4640"/>
    <w:rsid w:val="00EB6AE3"/>
    <w:rsid w:val="00EB7280"/>
    <w:rsid w:val="00EC0744"/>
    <w:rsid w:val="00EC1707"/>
    <w:rsid w:val="00EC258B"/>
    <w:rsid w:val="00EC3BCD"/>
    <w:rsid w:val="00EC59AB"/>
    <w:rsid w:val="00EC737A"/>
    <w:rsid w:val="00ED0B41"/>
    <w:rsid w:val="00ED3220"/>
    <w:rsid w:val="00ED64DC"/>
    <w:rsid w:val="00EE079F"/>
    <w:rsid w:val="00EE1D1F"/>
    <w:rsid w:val="00EE4782"/>
    <w:rsid w:val="00EE7A6D"/>
    <w:rsid w:val="00EF2BAE"/>
    <w:rsid w:val="00EF3592"/>
    <w:rsid w:val="00F01212"/>
    <w:rsid w:val="00F02AB4"/>
    <w:rsid w:val="00F066E3"/>
    <w:rsid w:val="00F120DB"/>
    <w:rsid w:val="00F12967"/>
    <w:rsid w:val="00F22C72"/>
    <w:rsid w:val="00F239F5"/>
    <w:rsid w:val="00F25328"/>
    <w:rsid w:val="00F27C11"/>
    <w:rsid w:val="00F313E1"/>
    <w:rsid w:val="00F332BA"/>
    <w:rsid w:val="00F33CFE"/>
    <w:rsid w:val="00F36EF7"/>
    <w:rsid w:val="00F4065F"/>
    <w:rsid w:val="00F41D68"/>
    <w:rsid w:val="00F427E1"/>
    <w:rsid w:val="00F45FE1"/>
    <w:rsid w:val="00F5215F"/>
    <w:rsid w:val="00F5272A"/>
    <w:rsid w:val="00F53D06"/>
    <w:rsid w:val="00F562E2"/>
    <w:rsid w:val="00F57187"/>
    <w:rsid w:val="00F6218E"/>
    <w:rsid w:val="00F62D9F"/>
    <w:rsid w:val="00F632BF"/>
    <w:rsid w:val="00F656DC"/>
    <w:rsid w:val="00F66F37"/>
    <w:rsid w:val="00F70130"/>
    <w:rsid w:val="00F747E9"/>
    <w:rsid w:val="00F81B63"/>
    <w:rsid w:val="00F81C5B"/>
    <w:rsid w:val="00F83F3C"/>
    <w:rsid w:val="00F851F0"/>
    <w:rsid w:val="00F86B19"/>
    <w:rsid w:val="00F87848"/>
    <w:rsid w:val="00F924F2"/>
    <w:rsid w:val="00F92AAE"/>
    <w:rsid w:val="00F97F98"/>
    <w:rsid w:val="00FA3F64"/>
    <w:rsid w:val="00FA7A11"/>
    <w:rsid w:val="00FB13BC"/>
    <w:rsid w:val="00FB5A2E"/>
    <w:rsid w:val="00FB7E82"/>
    <w:rsid w:val="00FC0F9F"/>
    <w:rsid w:val="00FC2F91"/>
    <w:rsid w:val="00FC5724"/>
    <w:rsid w:val="00FC5EDB"/>
    <w:rsid w:val="00FD5951"/>
    <w:rsid w:val="00FD59AC"/>
    <w:rsid w:val="00FE2F94"/>
    <w:rsid w:val="00FE4326"/>
    <w:rsid w:val="00FE482D"/>
    <w:rsid w:val="00FE56BD"/>
    <w:rsid w:val="00FE5786"/>
    <w:rsid w:val="00FE5D6A"/>
    <w:rsid w:val="00FE7890"/>
    <w:rsid w:val="00FF09C8"/>
    <w:rsid w:val="00FF1A1B"/>
    <w:rsid w:val="00FF5C31"/>
    <w:rsid w:val="00FF7888"/>
    <w:rsid w:val="03417DDC"/>
    <w:rsid w:val="1955E890"/>
    <w:rsid w:val="2C9B94AB"/>
    <w:rsid w:val="3DBF0BBC"/>
    <w:rsid w:val="4CBF1C2F"/>
    <w:rsid w:val="4F2CA1E3"/>
    <w:rsid w:val="517DF568"/>
    <w:rsid w:val="73A5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1375"/>
  <w15:chartTrackingRefBased/>
  <w15:docId w15:val="{DDC8F520-3732-4397-9FC9-E2646C0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C50"/>
    <w:pPr>
      <w:spacing w:line="240" w:lineRule="auto"/>
      <w:ind w:firstLine="0"/>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autoRedefine/>
    <w:uiPriority w:val="9"/>
    <w:qFormat/>
    <w:rsid w:val="00AD3084"/>
    <w:pPr>
      <w:keepNext/>
      <w:keepLines/>
      <w:spacing w:before="600" w:after="360" w:line="276" w:lineRule="auto"/>
      <w:jc w:val="center"/>
      <w:outlineLvl w:val="0"/>
    </w:pPr>
    <w:rPr>
      <w:rFonts w:asciiTheme="minorHAnsi" w:eastAsiaTheme="majorEastAsia" w:hAnsiTheme="minorHAnsi" w:cstheme="minorHAnsi"/>
      <w:b/>
      <w:sz w:val="28"/>
      <w:szCs w:val="28"/>
    </w:rPr>
  </w:style>
  <w:style w:type="paragraph" w:styleId="Antrat2">
    <w:name w:val="heading 2"/>
    <w:basedOn w:val="prastasis"/>
    <w:next w:val="prastasis"/>
    <w:link w:val="Antrat2Diagrama"/>
    <w:autoRedefine/>
    <w:uiPriority w:val="9"/>
    <w:unhideWhenUsed/>
    <w:qFormat/>
    <w:rsid w:val="002F0F50"/>
    <w:pPr>
      <w:keepNext/>
      <w:keepLines/>
      <w:spacing w:before="360" w:after="480"/>
      <w:jc w:val="center"/>
      <w:outlineLvl w:val="1"/>
    </w:pPr>
    <w:rPr>
      <w:rFonts w:asciiTheme="minorHAnsi" w:eastAsia="Arial" w:hAnsiTheme="minorHAnsi" w:cstheme="minorHAnsi"/>
      <w:b/>
      <w:bCs/>
      <w:sz w:val="28"/>
      <w:szCs w:val="28"/>
      <w:lang w:eastAsia="lt-LT"/>
    </w:rPr>
  </w:style>
  <w:style w:type="paragraph" w:styleId="Antrat3">
    <w:name w:val="heading 3"/>
    <w:basedOn w:val="prastasis"/>
    <w:link w:val="Antrat3Diagrama"/>
    <w:autoRedefine/>
    <w:uiPriority w:val="9"/>
    <w:unhideWhenUsed/>
    <w:qFormat/>
    <w:rsid w:val="00A77EF7"/>
    <w:pPr>
      <w:keepNext/>
      <w:numPr>
        <w:ilvl w:val="2"/>
        <w:numId w:val="1"/>
      </w:numPr>
      <w:tabs>
        <w:tab w:val="num" w:pos="2160"/>
      </w:tabs>
      <w:spacing w:before="240" w:after="240"/>
      <w:ind w:left="709" w:firstLine="0"/>
      <w:outlineLvl w:val="2"/>
    </w:pPr>
    <w:rPr>
      <w:rFonts w:eastAsiaTheme="majorEastAsia" w:cstheme="majorBidi"/>
      <w:b/>
      <w:bCs/>
      <w:szCs w:val="26"/>
    </w:rPr>
  </w:style>
  <w:style w:type="paragraph" w:styleId="Antrat4">
    <w:name w:val="heading 4"/>
    <w:basedOn w:val="prastasis"/>
    <w:next w:val="prastasis"/>
    <w:link w:val="Antrat4Diagrama"/>
    <w:uiPriority w:val="9"/>
    <w:semiHidden/>
    <w:unhideWhenUsed/>
    <w:qFormat/>
    <w:rsid w:val="00255C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5C5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255C5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5C5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5C5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5C5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ekvizitai">
    <w:name w:val="Rekvizitai"/>
    <w:basedOn w:val="Paraas"/>
    <w:qFormat/>
    <w:rsid w:val="00077E7F"/>
    <w:pPr>
      <w:keepNext/>
      <w:spacing w:after="120"/>
      <w:ind w:left="0"/>
    </w:pPr>
    <w:rPr>
      <w:rFonts w:cs="Arial"/>
    </w:rPr>
  </w:style>
  <w:style w:type="paragraph" w:styleId="Paraas">
    <w:name w:val="Signature"/>
    <w:basedOn w:val="prastasis"/>
    <w:link w:val="ParaasDiagrama"/>
    <w:uiPriority w:val="99"/>
    <w:semiHidden/>
    <w:unhideWhenUsed/>
    <w:rsid w:val="00077E7F"/>
    <w:pPr>
      <w:ind w:left="4252"/>
    </w:pPr>
  </w:style>
  <w:style w:type="character" w:customStyle="1" w:styleId="ParaasDiagrama">
    <w:name w:val="Parašas Diagrama"/>
    <w:basedOn w:val="Numatytasispastraiposriftas"/>
    <w:link w:val="Paraas"/>
    <w:uiPriority w:val="99"/>
    <w:semiHidden/>
    <w:rsid w:val="00077E7F"/>
  </w:style>
  <w:style w:type="paragraph" w:styleId="Pavadinimas">
    <w:name w:val="Title"/>
    <w:basedOn w:val="prastasis"/>
    <w:next w:val="prastasis"/>
    <w:link w:val="PavadinimasDiagrama"/>
    <w:qFormat/>
    <w:rsid w:val="001D0098"/>
    <w:pPr>
      <w:contextualSpacing/>
    </w:pPr>
    <w:rPr>
      <w:rFonts w:eastAsiaTheme="majorEastAsia" w:cstheme="majorBidi"/>
      <w:b/>
      <w:caps/>
      <w:spacing w:val="-10"/>
      <w:kern w:val="28"/>
      <w:sz w:val="28"/>
      <w:szCs w:val="56"/>
    </w:rPr>
  </w:style>
  <w:style w:type="character" w:customStyle="1" w:styleId="PavadinimasDiagrama">
    <w:name w:val="Pavadinimas Diagrama"/>
    <w:basedOn w:val="Numatytasispastraiposriftas"/>
    <w:link w:val="Pavadinimas"/>
    <w:rsid w:val="001D0098"/>
    <w:rPr>
      <w:rFonts w:ascii="Arial" w:eastAsiaTheme="majorEastAsia" w:hAnsi="Arial" w:cstheme="majorBidi"/>
      <w:b/>
      <w:caps/>
      <w:spacing w:val="-10"/>
      <w:kern w:val="28"/>
      <w:sz w:val="28"/>
      <w:szCs w:val="56"/>
      <w:lang w:val="lt-LT"/>
    </w:rPr>
  </w:style>
  <w:style w:type="paragraph" w:styleId="Porat">
    <w:name w:val="footer"/>
    <w:basedOn w:val="prastasis"/>
    <w:link w:val="PoratDiagrama"/>
    <w:uiPriority w:val="99"/>
    <w:unhideWhenUsed/>
    <w:rsid w:val="00077E7F"/>
    <w:pPr>
      <w:tabs>
        <w:tab w:val="center" w:pos="4819"/>
        <w:tab w:val="right" w:pos="9638"/>
      </w:tabs>
    </w:pPr>
    <w:rPr>
      <w:rFonts w:ascii="TimesLT" w:hAnsi="TimesLT"/>
      <w:lang w:val="en-GB"/>
    </w:rPr>
  </w:style>
  <w:style w:type="character" w:customStyle="1" w:styleId="PoratDiagrama">
    <w:name w:val="Poraštė Diagrama"/>
    <w:basedOn w:val="Numatytasispastraiposriftas"/>
    <w:link w:val="Porat"/>
    <w:uiPriority w:val="99"/>
    <w:rsid w:val="00077E7F"/>
    <w:rPr>
      <w:rFonts w:ascii="TimesLT" w:eastAsia="Times New Roman" w:hAnsi="TimesLT" w:cs="Times New Roman"/>
      <w:sz w:val="24"/>
      <w:szCs w:val="20"/>
      <w:lang w:val="en-GB"/>
    </w:rPr>
  </w:style>
  <w:style w:type="paragraph" w:customStyle="1" w:styleId="staigospavadinimas">
    <w:name w:val="Įstaigos pavadinimas"/>
    <w:basedOn w:val="Pavadinimas"/>
    <w:qFormat/>
    <w:rsid w:val="001D0098"/>
    <w:pPr>
      <w:jc w:val="center"/>
    </w:pPr>
  </w:style>
  <w:style w:type="character" w:customStyle="1" w:styleId="Antrat1Diagrama">
    <w:name w:val="Antraštė 1 Diagrama"/>
    <w:basedOn w:val="Numatytasispastraiposriftas"/>
    <w:link w:val="Antrat1"/>
    <w:uiPriority w:val="9"/>
    <w:rsid w:val="00AD3084"/>
    <w:rPr>
      <w:rFonts w:eastAsiaTheme="majorEastAsia" w:cstheme="minorHAnsi"/>
      <w:b/>
      <w:kern w:val="0"/>
      <w:sz w:val="28"/>
      <w:szCs w:val="28"/>
      <w:lang w:val="lt-LT"/>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Bullet"/>
    <w:basedOn w:val="prastasis"/>
    <w:link w:val="SraopastraipaDiagrama"/>
    <w:autoRedefine/>
    <w:uiPriority w:val="34"/>
    <w:qFormat/>
    <w:rsid w:val="005461A7"/>
    <w:pPr>
      <w:widowControl w:val="0"/>
      <w:numPr>
        <w:numId w:val="18"/>
      </w:numPr>
      <w:autoSpaceDE w:val="0"/>
      <w:autoSpaceDN w:val="0"/>
      <w:adjustRightInd w:val="0"/>
      <w:spacing w:before="240" w:after="120" w:line="276" w:lineRule="auto"/>
      <w:contextualSpacing/>
    </w:pPr>
    <w:rPr>
      <w:rFonts w:ascii="Calibri" w:hAnsi="Calibri" w:cs="Calibri"/>
      <w:sz w:val="24"/>
      <w:szCs w:val="24"/>
      <w:lang w:eastAsia="lt-LT"/>
    </w:rPr>
  </w:style>
  <w:style w:type="paragraph" w:styleId="Paantrat">
    <w:name w:val="Subtitle"/>
    <w:basedOn w:val="prastasis"/>
    <w:next w:val="prastasis"/>
    <w:link w:val="PaantratDiagrama"/>
    <w:autoRedefine/>
    <w:uiPriority w:val="11"/>
    <w:qFormat/>
    <w:rsid w:val="002914B1"/>
    <w:pPr>
      <w:widowControl w:val="0"/>
      <w:numPr>
        <w:ilvl w:val="1"/>
      </w:numPr>
      <w:autoSpaceDE w:val="0"/>
      <w:autoSpaceDN w:val="0"/>
      <w:adjustRightInd w:val="0"/>
      <w:spacing w:after="280"/>
      <w:ind w:firstLine="720"/>
      <w:jc w:val="right"/>
    </w:pPr>
    <w:rPr>
      <w:rFonts w:eastAsiaTheme="minorEastAsia"/>
      <w:spacing w:val="15"/>
      <w:lang w:eastAsia="lt-LT"/>
    </w:rPr>
  </w:style>
  <w:style w:type="character" w:customStyle="1" w:styleId="PaantratDiagrama">
    <w:name w:val="Paantraštė Diagrama"/>
    <w:basedOn w:val="Numatytasispastraiposriftas"/>
    <w:link w:val="Paantrat"/>
    <w:uiPriority w:val="11"/>
    <w:rsid w:val="002914B1"/>
    <w:rPr>
      <w:rFonts w:ascii="Arial" w:eastAsiaTheme="minorEastAsia" w:hAnsi="Arial"/>
      <w:spacing w:val="15"/>
      <w:kern w:val="0"/>
      <w:sz w:val="24"/>
      <w:lang w:val="lt-LT" w:eastAsia="lt-LT"/>
      <w14:ligatures w14:val="none"/>
    </w:rPr>
  </w:style>
  <w:style w:type="character" w:customStyle="1" w:styleId="Antrat2Diagrama">
    <w:name w:val="Antraštė 2 Diagrama"/>
    <w:basedOn w:val="Numatytasispastraiposriftas"/>
    <w:link w:val="Antrat2"/>
    <w:uiPriority w:val="9"/>
    <w:rsid w:val="002F0F50"/>
    <w:rPr>
      <w:rFonts w:eastAsia="Arial" w:cstheme="minorHAnsi"/>
      <w:b/>
      <w:bCs/>
      <w:kern w:val="0"/>
      <w:sz w:val="28"/>
      <w:szCs w:val="28"/>
      <w:lang w:val="lt-LT" w:eastAsia="lt-LT"/>
      <w14:ligatures w14:val="none"/>
    </w:rPr>
  </w:style>
  <w:style w:type="paragraph" w:customStyle="1" w:styleId="Stilius1">
    <w:name w:val="Stilius1"/>
    <w:basedOn w:val="Antrat2"/>
    <w:autoRedefine/>
    <w:qFormat/>
    <w:rsid w:val="000D538D"/>
    <w:pPr>
      <w:spacing w:line="274" w:lineRule="exact"/>
    </w:pPr>
    <w:rPr>
      <w:caps/>
    </w:rPr>
  </w:style>
  <w:style w:type="character" w:customStyle="1" w:styleId="Antrat3Diagrama">
    <w:name w:val="Antraštė 3 Diagrama"/>
    <w:basedOn w:val="Numatytasispastraiposriftas"/>
    <w:link w:val="Antrat3"/>
    <w:uiPriority w:val="9"/>
    <w:rsid w:val="00A77EF7"/>
    <w:rPr>
      <w:rFonts w:ascii="Times New Roman" w:eastAsiaTheme="majorEastAsia" w:hAnsi="Times New Roman" w:cstheme="majorBidi"/>
      <w:b/>
      <w:bCs/>
      <w:kern w:val="0"/>
      <w:sz w:val="20"/>
      <w:szCs w:val="26"/>
      <w:lang w:val="lt-LT"/>
      <w14:ligatures w14:val="none"/>
    </w:rPr>
  </w:style>
  <w:style w:type="character" w:customStyle="1" w:styleId="Antrat4Diagrama">
    <w:name w:val="Antraštė 4 Diagrama"/>
    <w:basedOn w:val="Numatytasispastraiposriftas"/>
    <w:link w:val="Antrat4"/>
    <w:uiPriority w:val="9"/>
    <w:semiHidden/>
    <w:rsid w:val="00255C50"/>
    <w:rPr>
      <w:rFonts w:eastAsiaTheme="majorEastAsia" w:cstheme="majorBidi"/>
      <w:i/>
      <w:iCs/>
      <w:color w:val="2F5496" w:themeColor="accent1" w:themeShade="BF"/>
      <w:sz w:val="24"/>
      <w:lang w:val="lt-LT"/>
    </w:rPr>
  </w:style>
  <w:style w:type="character" w:customStyle="1" w:styleId="Antrat5Diagrama">
    <w:name w:val="Antraštė 5 Diagrama"/>
    <w:basedOn w:val="Numatytasispastraiposriftas"/>
    <w:link w:val="Antrat5"/>
    <w:uiPriority w:val="9"/>
    <w:semiHidden/>
    <w:rsid w:val="00255C50"/>
    <w:rPr>
      <w:rFonts w:eastAsiaTheme="majorEastAsia" w:cstheme="majorBidi"/>
      <w:color w:val="2F5496" w:themeColor="accent1" w:themeShade="BF"/>
      <w:sz w:val="24"/>
      <w:lang w:val="lt-LT"/>
    </w:rPr>
  </w:style>
  <w:style w:type="character" w:customStyle="1" w:styleId="Antrat6Diagrama">
    <w:name w:val="Antraštė 6 Diagrama"/>
    <w:basedOn w:val="Numatytasispastraiposriftas"/>
    <w:link w:val="Antrat6"/>
    <w:uiPriority w:val="9"/>
    <w:semiHidden/>
    <w:rsid w:val="00255C50"/>
    <w:rPr>
      <w:rFonts w:eastAsiaTheme="majorEastAsia" w:cstheme="majorBidi"/>
      <w:i/>
      <w:iCs/>
      <w:color w:val="595959" w:themeColor="text1" w:themeTint="A6"/>
      <w:sz w:val="24"/>
      <w:lang w:val="lt-LT"/>
    </w:rPr>
  </w:style>
  <w:style w:type="character" w:customStyle="1" w:styleId="Antrat7Diagrama">
    <w:name w:val="Antraštė 7 Diagrama"/>
    <w:basedOn w:val="Numatytasispastraiposriftas"/>
    <w:link w:val="Antrat7"/>
    <w:uiPriority w:val="9"/>
    <w:semiHidden/>
    <w:rsid w:val="00255C50"/>
    <w:rPr>
      <w:rFonts w:eastAsiaTheme="majorEastAsia" w:cstheme="majorBidi"/>
      <w:color w:val="595959" w:themeColor="text1" w:themeTint="A6"/>
      <w:sz w:val="24"/>
      <w:lang w:val="lt-LT"/>
    </w:rPr>
  </w:style>
  <w:style w:type="character" w:customStyle="1" w:styleId="Antrat8Diagrama">
    <w:name w:val="Antraštė 8 Diagrama"/>
    <w:basedOn w:val="Numatytasispastraiposriftas"/>
    <w:link w:val="Antrat8"/>
    <w:uiPriority w:val="9"/>
    <w:semiHidden/>
    <w:rsid w:val="00255C50"/>
    <w:rPr>
      <w:rFonts w:eastAsiaTheme="majorEastAsia" w:cstheme="majorBidi"/>
      <w:i/>
      <w:iCs/>
      <w:color w:val="272727" w:themeColor="text1" w:themeTint="D8"/>
      <w:sz w:val="24"/>
      <w:lang w:val="lt-LT"/>
    </w:rPr>
  </w:style>
  <w:style w:type="character" w:customStyle="1" w:styleId="Antrat9Diagrama">
    <w:name w:val="Antraštė 9 Diagrama"/>
    <w:basedOn w:val="Numatytasispastraiposriftas"/>
    <w:link w:val="Antrat9"/>
    <w:uiPriority w:val="9"/>
    <w:semiHidden/>
    <w:rsid w:val="00255C50"/>
    <w:rPr>
      <w:rFonts w:eastAsiaTheme="majorEastAsia" w:cstheme="majorBidi"/>
      <w:color w:val="272727" w:themeColor="text1" w:themeTint="D8"/>
      <w:sz w:val="24"/>
      <w:lang w:val="lt-LT"/>
    </w:rPr>
  </w:style>
  <w:style w:type="paragraph" w:styleId="Citata">
    <w:name w:val="Quote"/>
    <w:basedOn w:val="prastasis"/>
    <w:next w:val="prastasis"/>
    <w:link w:val="CitataDiagrama"/>
    <w:uiPriority w:val="29"/>
    <w:qFormat/>
    <w:rsid w:val="00255C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5C50"/>
    <w:rPr>
      <w:rFonts w:ascii="Arial" w:hAnsi="Arial"/>
      <w:i/>
      <w:iCs/>
      <w:color w:val="404040" w:themeColor="text1" w:themeTint="BF"/>
      <w:sz w:val="24"/>
      <w:lang w:val="lt-LT"/>
    </w:rPr>
  </w:style>
  <w:style w:type="character" w:styleId="Rykuspabraukimas">
    <w:name w:val="Intense Emphasis"/>
    <w:basedOn w:val="Numatytasispastraiposriftas"/>
    <w:uiPriority w:val="21"/>
    <w:qFormat/>
    <w:rsid w:val="00255C50"/>
    <w:rPr>
      <w:i/>
      <w:iCs/>
      <w:color w:val="2F5496" w:themeColor="accent1" w:themeShade="BF"/>
    </w:rPr>
  </w:style>
  <w:style w:type="paragraph" w:styleId="Iskirtacitata">
    <w:name w:val="Intense Quote"/>
    <w:basedOn w:val="prastasis"/>
    <w:next w:val="prastasis"/>
    <w:link w:val="IskirtacitataDiagrama"/>
    <w:uiPriority w:val="30"/>
    <w:qFormat/>
    <w:rsid w:val="00255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5C50"/>
    <w:rPr>
      <w:rFonts w:ascii="Arial" w:hAnsi="Arial"/>
      <w:i/>
      <w:iCs/>
      <w:color w:val="2F5496" w:themeColor="accent1" w:themeShade="BF"/>
      <w:sz w:val="24"/>
      <w:lang w:val="lt-LT"/>
    </w:rPr>
  </w:style>
  <w:style w:type="character" w:styleId="Rykinuoroda">
    <w:name w:val="Intense Reference"/>
    <w:basedOn w:val="Numatytasispastraiposriftas"/>
    <w:uiPriority w:val="32"/>
    <w:qFormat/>
    <w:rsid w:val="00255C5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5461A7"/>
    <w:rPr>
      <w:rFonts w:ascii="Calibri" w:eastAsia="Times New Roman" w:hAnsi="Calibri" w:cs="Calibri"/>
      <w:kern w:val="0"/>
      <w:sz w:val="24"/>
      <w:szCs w:val="24"/>
      <w:lang w:val="lt-LT" w:eastAsia="lt-LT"/>
      <w14:ligatures w14:val="none"/>
    </w:rPr>
  </w:style>
  <w:style w:type="character" w:styleId="Hipersaitas">
    <w:name w:val="Hyperlink"/>
    <w:basedOn w:val="Numatytasispastraiposriftas"/>
    <w:uiPriority w:val="99"/>
    <w:unhideWhenUsed/>
    <w:rsid w:val="0053337B"/>
    <w:rPr>
      <w:color w:val="0563C1" w:themeColor="hyperlink"/>
      <w:u w:val="single"/>
    </w:rPr>
  </w:style>
  <w:style w:type="table" w:styleId="Lentelstinklelis">
    <w:name w:val="Table Grid"/>
    <w:basedOn w:val="prastojilentel"/>
    <w:uiPriority w:val="39"/>
    <w:rsid w:val="00ED64DC"/>
    <w:pPr>
      <w:spacing w:line="240" w:lineRule="auto"/>
      <w:ind w:firstLine="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75D7"/>
    <w:pPr>
      <w:spacing w:line="240" w:lineRule="auto"/>
      <w:ind w:firstLine="0"/>
    </w:pPr>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BA13BC"/>
    <w:rPr>
      <w:sz w:val="16"/>
      <w:szCs w:val="16"/>
    </w:rPr>
  </w:style>
  <w:style w:type="paragraph" w:styleId="Komentarotekstas">
    <w:name w:val="annotation text"/>
    <w:basedOn w:val="prastasis"/>
    <w:link w:val="KomentarotekstasDiagrama"/>
    <w:uiPriority w:val="99"/>
    <w:unhideWhenUsed/>
    <w:rsid w:val="00BA13BC"/>
  </w:style>
  <w:style w:type="character" w:customStyle="1" w:styleId="KomentarotekstasDiagrama">
    <w:name w:val="Komentaro tekstas Diagrama"/>
    <w:basedOn w:val="Numatytasispastraiposriftas"/>
    <w:link w:val="Komentarotekstas"/>
    <w:uiPriority w:val="99"/>
    <w:rsid w:val="00BA13B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A13BC"/>
    <w:rPr>
      <w:b/>
      <w:bCs/>
    </w:rPr>
  </w:style>
  <w:style w:type="character" w:customStyle="1" w:styleId="KomentarotemaDiagrama">
    <w:name w:val="Komentaro tema Diagrama"/>
    <w:basedOn w:val="KomentarotekstasDiagrama"/>
    <w:link w:val="Komentarotema"/>
    <w:uiPriority w:val="99"/>
    <w:semiHidden/>
    <w:rsid w:val="00BA13BC"/>
    <w:rPr>
      <w:rFonts w:ascii="Times New Roman" w:eastAsia="Times New Roman" w:hAnsi="Times New Roman" w:cs="Times New Roman"/>
      <w:b/>
      <w:bCs/>
      <w:kern w:val="0"/>
      <w:sz w:val="20"/>
      <w:szCs w:val="20"/>
      <w14:ligatures w14:val="none"/>
    </w:rPr>
  </w:style>
  <w:style w:type="character" w:customStyle="1" w:styleId="None">
    <w:name w:val="None"/>
    <w:rsid w:val="0027266C"/>
  </w:style>
  <w:style w:type="character" w:styleId="Neapdorotaspaminjimas">
    <w:name w:val="Unresolved Mention"/>
    <w:basedOn w:val="Numatytasispastraiposriftas"/>
    <w:uiPriority w:val="99"/>
    <w:semiHidden/>
    <w:unhideWhenUsed/>
    <w:rsid w:val="00252244"/>
    <w:rPr>
      <w:color w:val="605E5C"/>
      <w:shd w:val="clear" w:color="auto" w:fill="E1DFDD"/>
    </w:rPr>
  </w:style>
  <w:style w:type="paragraph" w:styleId="Turinioantrat">
    <w:name w:val="TOC Heading"/>
    <w:basedOn w:val="Antrat1"/>
    <w:next w:val="prastasis"/>
    <w:uiPriority w:val="39"/>
    <w:unhideWhenUsed/>
    <w:qFormat/>
    <w:rsid w:val="006B6F6B"/>
    <w:pPr>
      <w:spacing w:before="240" w:after="0" w:line="259" w:lineRule="auto"/>
      <w:jc w:val="left"/>
      <w:outlineLvl w:val="9"/>
    </w:pPr>
    <w:rPr>
      <w:rFonts w:asciiTheme="majorHAnsi" w:hAnsiTheme="majorHAnsi" w:cstheme="majorBidi"/>
      <w:b w:val="0"/>
      <w:color w:val="2F5496" w:themeColor="accent1" w:themeShade="BF"/>
      <w:sz w:val="32"/>
      <w:szCs w:val="32"/>
      <w:lang w:eastAsia="lt-LT"/>
    </w:rPr>
  </w:style>
  <w:style w:type="paragraph" w:styleId="Turinys1">
    <w:name w:val="toc 1"/>
    <w:basedOn w:val="prastasis"/>
    <w:next w:val="prastasis"/>
    <w:autoRedefine/>
    <w:uiPriority w:val="39"/>
    <w:unhideWhenUsed/>
    <w:rsid w:val="006B6F6B"/>
    <w:pPr>
      <w:spacing w:after="100"/>
    </w:pPr>
  </w:style>
  <w:style w:type="paragraph" w:styleId="Turinys2">
    <w:name w:val="toc 2"/>
    <w:basedOn w:val="prastasis"/>
    <w:next w:val="prastasis"/>
    <w:autoRedefine/>
    <w:uiPriority w:val="39"/>
    <w:unhideWhenUsed/>
    <w:rsid w:val="006B6F6B"/>
    <w:pPr>
      <w:spacing w:after="100"/>
      <w:ind w:left="200"/>
    </w:pPr>
  </w:style>
  <w:style w:type="paragraph" w:styleId="Turinys3">
    <w:name w:val="toc 3"/>
    <w:basedOn w:val="prastasis"/>
    <w:next w:val="prastasis"/>
    <w:autoRedefine/>
    <w:uiPriority w:val="39"/>
    <w:unhideWhenUsed/>
    <w:rsid w:val="006B6F6B"/>
    <w:pPr>
      <w:spacing w:after="100" w:line="259" w:lineRule="auto"/>
      <w:ind w:left="440"/>
    </w:pPr>
    <w:rPr>
      <w:rFonts w:asciiTheme="minorHAnsi" w:eastAsiaTheme="minorEastAsia" w:hAnsiTheme="minorHAnsi"/>
      <w:sz w:val="22"/>
      <w:szCs w:val="22"/>
      <w:lang w:eastAsia="lt-LT"/>
    </w:rPr>
  </w:style>
  <w:style w:type="numbering" w:customStyle="1" w:styleId="Stilius2">
    <w:name w:val="Stilius2"/>
    <w:uiPriority w:val="99"/>
    <w:rsid w:val="00620F90"/>
    <w:pPr>
      <w:numPr>
        <w:numId w:val="2"/>
      </w:numPr>
    </w:pPr>
  </w:style>
  <w:style w:type="paragraph" w:styleId="prastasiniatinklio">
    <w:name w:val="Normal (Web)"/>
    <w:basedOn w:val="prastasis"/>
    <w:uiPriority w:val="99"/>
    <w:semiHidden/>
    <w:unhideWhenUsed/>
    <w:rsid w:val="00794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3424">
      <w:bodyDiv w:val="1"/>
      <w:marLeft w:val="0"/>
      <w:marRight w:val="0"/>
      <w:marTop w:val="0"/>
      <w:marBottom w:val="0"/>
      <w:divBdr>
        <w:top w:val="none" w:sz="0" w:space="0" w:color="auto"/>
        <w:left w:val="none" w:sz="0" w:space="0" w:color="auto"/>
        <w:bottom w:val="none" w:sz="0" w:space="0" w:color="auto"/>
        <w:right w:val="none" w:sz="0" w:space="0" w:color="auto"/>
      </w:divBdr>
    </w:div>
    <w:div w:id="77557536">
      <w:bodyDiv w:val="1"/>
      <w:marLeft w:val="0"/>
      <w:marRight w:val="0"/>
      <w:marTop w:val="0"/>
      <w:marBottom w:val="0"/>
      <w:divBdr>
        <w:top w:val="none" w:sz="0" w:space="0" w:color="auto"/>
        <w:left w:val="none" w:sz="0" w:space="0" w:color="auto"/>
        <w:bottom w:val="none" w:sz="0" w:space="0" w:color="auto"/>
        <w:right w:val="none" w:sz="0" w:space="0" w:color="auto"/>
      </w:divBdr>
    </w:div>
    <w:div w:id="101002194">
      <w:bodyDiv w:val="1"/>
      <w:marLeft w:val="0"/>
      <w:marRight w:val="0"/>
      <w:marTop w:val="0"/>
      <w:marBottom w:val="0"/>
      <w:divBdr>
        <w:top w:val="none" w:sz="0" w:space="0" w:color="auto"/>
        <w:left w:val="none" w:sz="0" w:space="0" w:color="auto"/>
        <w:bottom w:val="none" w:sz="0" w:space="0" w:color="auto"/>
        <w:right w:val="none" w:sz="0" w:space="0" w:color="auto"/>
      </w:divBdr>
    </w:div>
    <w:div w:id="181749662">
      <w:bodyDiv w:val="1"/>
      <w:marLeft w:val="0"/>
      <w:marRight w:val="0"/>
      <w:marTop w:val="0"/>
      <w:marBottom w:val="0"/>
      <w:divBdr>
        <w:top w:val="none" w:sz="0" w:space="0" w:color="auto"/>
        <w:left w:val="none" w:sz="0" w:space="0" w:color="auto"/>
        <w:bottom w:val="none" w:sz="0" w:space="0" w:color="auto"/>
        <w:right w:val="none" w:sz="0" w:space="0" w:color="auto"/>
      </w:divBdr>
      <w:divsChild>
        <w:div w:id="761681323">
          <w:marLeft w:val="0"/>
          <w:marRight w:val="0"/>
          <w:marTop w:val="0"/>
          <w:marBottom w:val="0"/>
          <w:divBdr>
            <w:top w:val="none" w:sz="0" w:space="0" w:color="auto"/>
            <w:left w:val="none" w:sz="0" w:space="0" w:color="auto"/>
            <w:bottom w:val="none" w:sz="0" w:space="0" w:color="auto"/>
            <w:right w:val="none" w:sz="0" w:space="0" w:color="auto"/>
          </w:divBdr>
        </w:div>
        <w:div w:id="315647909">
          <w:marLeft w:val="0"/>
          <w:marRight w:val="0"/>
          <w:marTop w:val="0"/>
          <w:marBottom w:val="0"/>
          <w:divBdr>
            <w:top w:val="none" w:sz="0" w:space="0" w:color="auto"/>
            <w:left w:val="none" w:sz="0" w:space="0" w:color="auto"/>
            <w:bottom w:val="none" w:sz="0" w:space="0" w:color="auto"/>
            <w:right w:val="none" w:sz="0" w:space="0" w:color="auto"/>
          </w:divBdr>
        </w:div>
        <w:div w:id="952247792">
          <w:marLeft w:val="0"/>
          <w:marRight w:val="0"/>
          <w:marTop w:val="0"/>
          <w:marBottom w:val="0"/>
          <w:divBdr>
            <w:top w:val="none" w:sz="0" w:space="0" w:color="auto"/>
            <w:left w:val="none" w:sz="0" w:space="0" w:color="auto"/>
            <w:bottom w:val="none" w:sz="0" w:space="0" w:color="auto"/>
            <w:right w:val="none" w:sz="0" w:space="0" w:color="auto"/>
          </w:divBdr>
        </w:div>
      </w:divsChild>
    </w:div>
    <w:div w:id="188180845">
      <w:bodyDiv w:val="1"/>
      <w:marLeft w:val="0"/>
      <w:marRight w:val="0"/>
      <w:marTop w:val="0"/>
      <w:marBottom w:val="0"/>
      <w:divBdr>
        <w:top w:val="none" w:sz="0" w:space="0" w:color="auto"/>
        <w:left w:val="none" w:sz="0" w:space="0" w:color="auto"/>
        <w:bottom w:val="none" w:sz="0" w:space="0" w:color="auto"/>
        <w:right w:val="none" w:sz="0" w:space="0" w:color="auto"/>
      </w:divBdr>
    </w:div>
    <w:div w:id="228081169">
      <w:bodyDiv w:val="1"/>
      <w:marLeft w:val="0"/>
      <w:marRight w:val="0"/>
      <w:marTop w:val="0"/>
      <w:marBottom w:val="0"/>
      <w:divBdr>
        <w:top w:val="none" w:sz="0" w:space="0" w:color="auto"/>
        <w:left w:val="none" w:sz="0" w:space="0" w:color="auto"/>
        <w:bottom w:val="none" w:sz="0" w:space="0" w:color="auto"/>
        <w:right w:val="none" w:sz="0" w:space="0" w:color="auto"/>
      </w:divBdr>
    </w:div>
    <w:div w:id="265309075">
      <w:bodyDiv w:val="1"/>
      <w:marLeft w:val="0"/>
      <w:marRight w:val="0"/>
      <w:marTop w:val="0"/>
      <w:marBottom w:val="0"/>
      <w:divBdr>
        <w:top w:val="none" w:sz="0" w:space="0" w:color="auto"/>
        <w:left w:val="none" w:sz="0" w:space="0" w:color="auto"/>
        <w:bottom w:val="none" w:sz="0" w:space="0" w:color="auto"/>
        <w:right w:val="none" w:sz="0" w:space="0" w:color="auto"/>
      </w:divBdr>
    </w:div>
    <w:div w:id="444275943">
      <w:bodyDiv w:val="1"/>
      <w:marLeft w:val="0"/>
      <w:marRight w:val="0"/>
      <w:marTop w:val="0"/>
      <w:marBottom w:val="0"/>
      <w:divBdr>
        <w:top w:val="none" w:sz="0" w:space="0" w:color="auto"/>
        <w:left w:val="none" w:sz="0" w:space="0" w:color="auto"/>
        <w:bottom w:val="none" w:sz="0" w:space="0" w:color="auto"/>
        <w:right w:val="none" w:sz="0" w:space="0" w:color="auto"/>
      </w:divBdr>
    </w:div>
    <w:div w:id="479618963">
      <w:bodyDiv w:val="1"/>
      <w:marLeft w:val="0"/>
      <w:marRight w:val="0"/>
      <w:marTop w:val="0"/>
      <w:marBottom w:val="0"/>
      <w:divBdr>
        <w:top w:val="none" w:sz="0" w:space="0" w:color="auto"/>
        <w:left w:val="none" w:sz="0" w:space="0" w:color="auto"/>
        <w:bottom w:val="none" w:sz="0" w:space="0" w:color="auto"/>
        <w:right w:val="none" w:sz="0" w:space="0" w:color="auto"/>
      </w:divBdr>
      <w:divsChild>
        <w:div w:id="973635145">
          <w:marLeft w:val="0"/>
          <w:marRight w:val="0"/>
          <w:marTop w:val="0"/>
          <w:marBottom w:val="0"/>
          <w:divBdr>
            <w:top w:val="none" w:sz="0" w:space="0" w:color="auto"/>
            <w:left w:val="none" w:sz="0" w:space="0" w:color="auto"/>
            <w:bottom w:val="none" w:sz="0" w:space="0" w:color="auto"/>
            <w:right w:val="none" w:sz="0" w:space="0" w:color="auto"/>
          </w:divBdr>
        </w:div>
        <w:div w:id="1387027919">
          <w:marLeft w:val="0"/>
          <w:marRight w:val="0"/>
          <w:marTop w:val="0"/>
          <w:marBottom w:val="0"/>
          <w:divBdr>
            <w:top w:val="none" w:sz="0" w:space="0" w:color="auto"/>
            <w:left w:val="none" w:sz="0" w:space="0" w:color="auto"/>
            <w:bottom w:val="none" w:sz="0" w:space="0" w:color="auto"/>
            <w:right w:val="none" w:sz="0" w:space="0" w:color="auto"/>
          </w:divBdr>
        </w:div>
        <w:div w:id="1843357143">
          <w:marLeft w:val="0"/>
          <w:marRight w:val="0"/>
          <w:marTop w:val="0"/>
          <w:marBottom w:val="0"/>
          <w:divBdr>
            <w:top w:val="none" w:sz="0" w:space="0" w:color="auto"/>
            <w:left w:val="none" w:sz="0" w:space="0" w:color="auto"/>
            <w:bottom w:val="none" w:sz="0" w:space="0" w:color="auto"/>
            <w:right w:val="none" w:sz="0" w:space="0" w:color="auto"/>
          </w:divBdr>
        </w:div>
        <w:div w:id="199129554">
          <w:marLeft w:val="0"/>
          <w:marRight w:val="0"/>
          <w:marTop w:val="0"/>
          <w:marBottom w:val="0"/>
          <w:divBdr>
            <w:top w:val="none" w:sz="0" w:space="0" w:color="auto"/>
            <w:left w:val="none" w:sz="0" w:space="0" w:color="auto"/>
            <w:bottom w:val="none" w:sz="0" w:space="0" w:color="auto"/>
            <w:right w:val="none" w:sz="0" w:space="0" w:color="auto"/>
          </w:divBdr>
        </w:div>
      </w:divsChild>
    </w:div>
    <w:div w:id="517811695">
      <w:bodyDiv w:val="1"/>
      <w:marLeft w:val="0"/>
      <w:marRight w:val="0"/>
      <w:marTop w:val="0"/>
      <w:marBottom w:val="0"/>
      <w:divBdr>
        <w:top w:val="none" w:sz="0" w:space="0" w:color="auto"/>
        <w:left w:val="none" w:sz="0" w:space="0" w:color="auto"/>
        <w:bottom w:val="none" w:sz="0" w:space="0" w:color="auto"/>
        <w:right w:val="none" w:sz="0" w:space="0" w:color="auto"/>
      </w:divBdr>
    </w:div>
    <w:div w:id="536890971">
      <w:bodyDiv w:val="1"/>
      <w:marLeft w:val="0"/>
      <w:marRight w:val="0"/>
      <w:marTop w:val="0"/>
      <w:marBottom w:val="0"/>
      <w:divBdr>
        <w:top w:val="none" w:sz="0" w:space="0" w:color="auto"/>
        <w:left w:val="none" w:sz="0" w:space="0" w:color="auto"/>
        <w:bottom w:val="none" w:sz="0" w:space="0" w:color="auto"/>
        <w:right w:val="none" w:sz="0" w:space="0" w:color="auto"/>
      </w:divBdr>
    </w:div>
    <w:div w:id="558518692">
      <w:bodyDiv w:val="1"/>
      <w:marLeft w:val="0"/>
      <w:marRight w:val="0"/>
      <w:marTop w:val="0"/>
      <w:marBottom w:val="0"/>
      <w:divBdr>
        <w:top w:val="none" w:sz="0" w:space="0" w:color="auto"/>
        <w:left w:val="none" w:sz="0" w:space="0" w:color="auto"/>
        <w:bottom w:val="none" w:sz="0" w:space="0" w:color="auto"/>
        <w:right w:val="none" w:sz="0" w:space="0" w:color="auto"/>
      </w:divBdr>
      <w:divsChild>
        <w:div w:id="686254855">
          <w:marLeft w:val="0"/>
          <w:marRight w:val="0"/>
          <w:marTop w:val="0"/>
          <w:marBottom w:val="0"/>
          <w:divBdr>
            <w:top w:val="none" w:sz="0" w:space="0" w:color="auto"/>
            <w:left w:val="none" w:sz="0" w:space="0" w:color="auto"/>
            <w:bottom w:val="none" w:sz="0" w:space="0" w:color="auto"/>
            <w:right w:val="none" w:sz="0" w:space="0" w:color="auto"/>
          </w:divBdr>
        </w:div>
        <w:div w:id="154807317">
          <w:marLeft w:val="0"/>
          <w:marRight w:val="0"/>
          <w:marTop w:val="0"/>
          <w:marBottom w:val="0"/>
          <w:divBdr>
            <w:top w:val="none" w:sz="0" w:space="0" w:color="auto"/>
            <w:left w:val="none" w:sz="0" w:space="0" w:color="auto"/>
            <w:bottom w:val="none" w:sz="0" w:space="0" w:color="auto"/>
            <w:right w:val="none" w:sz="0" w:space="0" w:color="auto"/>
          </w:divBdr>
        </w:div>
        <w:div w:id="827940143">
          <w:marLeft w:val="0"/>
          <w:marRight w:val="0"/>
          <w:marTop w:val="0"/>
          <w:marBottom w:val="0"/>
          <w:divBdr>
            <w:top w:val="none" w:sz="0" w:space="0" w:color="auto"/>
            <w:left w:val="none" w:sz="0" w:space="0" w:color="auto"/>
            <w:bottom w:val="none" w:sz="0" w:space="0" w:color="auto"/>
            <w:right w:val="none" w:sz="0" w:space="0" w:color="auto"/>
          </w:divBdr>
        </w:div>
        <w:div w:id="15814442">
          <w:marLeft w:val="0"/>
          <w:marRight w:val="0"/>
          <w:marTop w:val="0"/>
          <w:marBottom w:val="0"/>
          <w:divBdr>
            <w:top w:val="none" w:sz="0" w:space="0" w:color="auto"/>
            <w:left w:val="none" w:sz="0" w:space="0" w:color="auto"/>
            <w:bottom w:val="none" w:sz="0" w:space="0" w:color="auto"/>
            <w:right w:val="none" w:sz="0" w:space="0" w:color="auto"/>
          </w:divBdr>
        </w:div>
      </w:divsChild>
    </w:div>
    <w:div w:id="617029210">
      <w:bodyDiv w:val="1"/>
      <w:marLeft w:val="0"/>
      <w:marRight w:val="0"/>
      <w:marTop w:val="0"/>
      <w:marBottom w:val="0"/>
      <w:divBdr>
        <w:top w:val="none" w:sz="0" w:space="0" w:color="auto"/>
        <w:left w:val="none" w:sz="0" w:space="0" w:color="auto"/>
        <w:bottom w:val="none" w:sz="0" w:space="0" w:color="auto"/>
        <w:right w:val="none" w:sz="0" w:space="0" w:color="auto"/>
      </w:divBdr>
      <w:divsChild>
        <w:div w:id="885138568">
          <w:marLeft w:val="0"/>
          <w:marRight w:val="0"/>
          <w:marTop w:val="0"/>
          <w:marBottom w:val="0"/>
          <w:divBdr>
            <w:top w:val="none" w:sz="0" w:space="0" w:color="auto"/>
            <w:left w:val="none" w:sz="0" w:space="0" w:color="auto"/>
            <w:bottom w:val="none" w:sz="0" w:space="0" w:color="auto"/>
            <w:right w:val="none" w:sz="0" w:space="0" w:color="auto"/>
          </w:divBdr>
        </w:div>
        <w:div w:id="274337556">
          <w:marLeft w:val="0"/>
          <w:marRight w:val="0"/>
          <w:marTop w:val="0"/>
          <w:marBottom w:val="0"/>
          <w:divBdr>
            <w:top w:val="none" w:sz="0" w:space="0" w:color="auto"/>
            <w:left w:val="none" w:sz="0" w:space="0" w:color="auto"/>
            <w:bottom w:val="none" w:sz="0" w:space="0" w:color="auto"/>
            <w:right w:val="none" w:sz="0" w:space="0" w:color="auto"/>
          </w:divBdr>
        </w:div>
        <w:div w:id="188108751">
          <w:marLeft w:val="0"/>
          <w:marRight w:val="0"/>
          <w:marTop w:val="0"/>
          <w:marBottom w:val="0"/>
          <w:divBdr>
            <w:top w:val="none" w:sz="0" w:space="0" w:color="auto"/>
            <w:left w:val="none" w:sz="0" w:space="0" w:color="auto"/>
            <w:bottom w:val="none" w:sz="0" w:space="0" w:color="auto"/>
            <w:right w:val="none" w:sz="0" w:space="0" w:color="auto"/>
          </w:divBdr>
        </w:div>
        <w:div w:id="1279721993">
          <w:marLeft w:val="0"/>
          <w:marRight w:val="0"/>
          <w:marTop w:val="0"/>
          <w:marBottom w:val="0"/>
          <w:divBdr>
            <w:top w:val="none" w:sz="0" w:space="0" w:color="auto"/>
            <w:left w:val="none" w:sz="0" w:space="0" w:color="auto"/>
            <w:bottom w:val="none" w:sz="0" w:space="0" w:color="auto"/>
            <w:right w:val="none" w:sz="0" w:space="0" w:color="auto"/>
          </w:divBdr>
        </w:div>
      </w:divsChild>
    </w:div>
    <w:div w:id="675427571">
      <w:bodyDiv w:val="1"/>
      <w:marLeft w:val="0"/>
      <w:marRight w:val="0"/>
      <w:marTop w:val="0"/>
      <w:marBottom w:val="0"/>
      <w:divBdr>
        <w:top w:val="none" w:sz="0" w:space="0" w:color="auto"/>
        <w:left w:val="none" w:sz="0" w:space="0" w:color="auto"/>
        <w:bottom w:val="none" w:sz="0" w:space="0" w:color="auto"/>
        <w:right w:val="none" w:sz="0" w:space="0" w:color="auto"/>
      </w:divBdr>
    </w:div>
    <w:div w:id="768279608">
      <w:bodyDiv w:val="1"/>
      <w:marLeft w:val="0"/>
      <w:marRight w:val="0"/>
      <w:marTop w:val="0"/>
      <w:marBottom w:val="0"/>
      <w:divBdr>
        <w:top w:val="none" w:sz="0" w:space="0" w:color="auto"/>
        <w:left w:val="none" w:sz="0" w:space="0" w:color="auto"/>
        <w:bottom w:val="none" w:sz="0" w:space="0" w:color="auto"/>
        <w:right w:val="none" w:sz="0" w:space="0" w:color="auto"/>
      </w:divBdr>
    </w:div>
    <w:div w:id="1068303754">
      <w:bodyDiv w:val="1"/>
      <w:marLeft w:val="0"/>
      <w:marRight w:val="0"/>
      <w:marTop w:val="0"/>
      <w:marBottom w:val="0"/>
      <w:divBdr>
        <w:top w:val="none" w:sz="0" w:space="0" w:color="auto"/>
        <w:left w:val="none" w:sz="0" w:space="0" w:color="auto"/>
        <w:bottom w:val="none" w:sz="0" w:space="0" w:color="auto"/>
        <w:right w:val="none" w:sz="0" w:space="0" w:color="auto"/>
      </w:divBdr>
    </w:div>
    <w:div w:id="1200816986">
      <w:bodyDiv w:val="1"/>
      <w:marLeft w:val="0"/>
      <w:marRight w:val="0"/>
      <w:marTop w:val="0"/>
      <w:marBottom w:val="0"/>
      <w:divBdr>
        <w:top w:val="none" w:sz="0" w:space="0" w:color="auto"/>
        <w:left w:val="none" w:sz="0" w:space="0" w:color="auto"/>
        <w:bottom w:val="none" w:sz="0" w:space="0" w:color="auto"/>
        <w:right w:val="none" w:sz="0" w:space="0" w:color="auto"/>
      </w:divBdr>
    </w:div>
    <w:div w:id="1224174671">
      <w:bodyDiv w:val="1"/>
      <w:marLeft w:val="0"/>
      <w:marRight w:val="0"/>
      <w:marTop w:val="0"/>
      <w:marBottom w:val="0"/>
      <w:divBdr>
        <w:top w:val="none" w:sz="0" w:space="0" w:color="auto"/>
        <w:left w:val="none" w:sz="0" w:space="0" w:color="auto"/>
        <w:bottom w:val="none" w:sz="0" w:space="0" w:color="auto"/>
        <w:right w:val="none" w:sz="0" w:space="0" w:color="auto"/>
      </w:divBdr>
    </w:div>
    <w:div w:id="1260528077">
      <w:bodyDiv w:val="1"/>
      <w:marLeft w:val="0"/>
      <w:marRight w:val="0"/>
      <w:marTop w:val="0"/>
      <w:marBottom w:val="0"/>
      <w:divBdr>
        <w:top w:val="none" w:sz="0" w:space="0" w:color="auto"/>
        <w:left w:val="none" w:sz="0" w:space="0" w:color="auto"/>
        <w:bottom w:val="none" w:sz="0" w:space="0" w:color="auto"/>
        <w:right w:val="none" w:sz="0" w:space="0" w:color="auto"/>
      </w:divBdr>
      <w:divsChild>
        <w:div w:id="35664385">
          <w:marLeft w:val="0"/>
          <w:marRight w:val="0"/>
          <w:marTop w:val="0"/>
          <w:marBottom w:val="0"/>
          <w:divBdr>
            <w:top w:val="none" w:sz="0" w:space="0" w:color="auto"/>
            <w:left w:val="none" w:sz="0" w:space="0" w:color="auto"/>
            <w:bottom w:val="none" w:sz="0" w:space="0" w:color="auto"/>
            <w:right w:val="none" w:sz="0" w:space="0" w:color="auto"/>
          </w:divBdr>
        </w:div>
        <w:div w:id="1419331107">
          <w:marLeft w:val="0"/>
          <w:marRight w:val="0"/>
          <w:marTop w:val="0"/>
          <w:marBottom w:val="0"/>
          <w:divBdr>
            <w:top w:val="none" w:sz="0" w:space="0" w:color="auto"/>
            <w:left w:val="none" w:sz="0" w:space="0" w:color="auto"/>
            <w:bottom w:val="none" w:sz="0" w:space="0" w:color="auto"/>
            <w:right w:val="none" w:sz="0" w:space="0" w:color="auto"/>
          </w:divBdr>
        </w:div>
        <w:div w:id="1303266015">
          <w:marLeft w:val="0"/>
          <w:marRight w:val="0"/>
          <w:marTop w:val="0"/>
          <w:marBottom w:val="0"/>
          <w:divBdr>
            <w:top w:val="none" w:sz="0" w:space="0" w:color="auto"/>
            <w:left w:val="none" w:sz="0" w:space="0" w:color="auto"/>
            <w:bottom w:val="none" w:sz="0" w:space="0" w:color="auto"/>
            <w:right w:val="none" w:sz="0" w:space="0" w:color="auto"/>
          </w:divBdr>
        </w:div>
        <w:div w:id="1883862179">
          <w:marLeft w:val="0"/>
          <w:marRight w:val="0"/>
          <w:marTop w:val="0"/>
          <w:marBottom w:val="0"/>
          <w:divBdr>
            <w:top w:val="none" w:sz="0" w:space="0" w:color="auto"/>
            <w:left w:val="none" w:sz="0" w:space="0" w:color="auto"/>
            <w:bottom w:val="none" w:sz="0" w:space="0" w:color="auto"/>
            <w:right w:val="none" w:sz="0" w:space="0" w:color="auto"/>
          </w:divBdr>
        </w:div>
        <w:div w:id="1042171416">
          <w:marLeft w:val="0"/>
          <w:marRight w:val="0"/>
          <w:marTop w:val="0"/>
          <w:marBottom w:val="0"/>
          <w:divBdr>
            <w:top w:val="none" w:sz="0" w:space="0" w:color="auto"/>
            <w:left w:val="none" w:sz="0" w:space="0" w:color="auto"/>
            <w:bottom w:val="none" w:sz="0" w:space="0" w:color="auto"/>
            <w:right w:val="none" w:sz="0" w:space="0" w:color="auto"/>
          </w:divBdr>
        </w:div>
        <w:div w:id="468981919">
          <w:marLeft w:val="0"/>
          <w:marRight w:val="0"/>
          <w:marTop w:val="0"/>
          <w:marBottom w:val="0"/>
          <w:divBdr>
            <w:top w:val="none" w:sz="0" w:space="0" w:color="auto"/>
            <w:left w:val="none" w:sz="0" w:space="0" w:color="auto"/>
            <w:bottom w:val="none" w:sz="0" w:space="0" w:color="auto"/>
            <w:right w:val="none" w:sz="0" w:space="0" w:color="auto"/>
          </w:divBdr>
        </w:div>
        <w:div w:id="746611585">
          <w:marLeft w:val="0"/>
          <w:marRight w:val="0"/>
          <w:marTop w:val="0"/>
          <w:marBottom w:val="0"/>
          <w:divBdr>
            <w:top w:val="none" w:sz="0" w:space="0" w:color="auto"/>
            <w:left w:val="none" w:sz="0" w:space="0" w:color="auto"/>
            <w:bottom w:val="none" w:sz="0" w:space="0" w:color="auto"/>
            <w:right w:val="none" w:sz="0" w:space="0" w:color="auto"/>
          </w:divBdr>
        </w:div>
        <w:div w:id="1624270854">
          <w:marLeft w:val="0"/>
          <w:marRight w:val="0"/>
          <w:marTop w:val="0"/>
          <w:marBottom w:val="0"/>
          <w:divBdr>
            <w:top w:val="none" w:sz="0" w:space="0" w:color="auto"/>
            <w:left w:val="none" w:sz="0" w:space="0" w:color="auto"/>
            <w:bottom w:val="none" w:sz="0" w:space="0" w:color="auto"/>
            <w:right w:val="none" w:sz="0" w:space="0" w:color="auto"/>
          </w:divBdr>
        </w:div>
      </w:divsChild>
    </w:div>
    <w:div w:id="1333336498">
      <w:bodyDiv w:val="1"/>
      <w:marLeft w:val="0"/>
      <w:marRight w:val="0"/>
      <w:marTop w:val="0"/>
      <w:marBottom w:val="0"/>
      <w:divBdr>
        <w:top w:val="none" w:sz="0" w:space="0" w:color="auto"/>
        <w:left w:val="none" w:sz="0" w:space="0" w:color="auto"/>
        <w:bottom w:val="none" w:sz="0" w:space="0" w:color="auto"/>
        <w:right w:val="none" w:sz="0" w:space="0" w:color="auto"/>
      </w:divBdr>
    </w:div>
    <w:div w:id="1399744445">
      <w:bodyDiv w:val="1"/>
      <w:marLeft w:val="0"/>
      <w:marRight w:val="0"/>
      <w:marTop w:val="0"/>
      <w:marBottom w:val="0"/>
      <w:divBdr>
        <w:top w:val="none" w:sz="0" w:space="0" w:color="auto"/>
        <w:left w:val="none" w:sz="0" w:space="0" w:color="auto"/>
        <w:bottom w:val="none" w:sz="0" w:space="0" w:color="auto"/>
        <w:right w:val="none" w:sz="0" w:space="0" w:color="auto"/>
      </w:divBdr>
    </w:div>
    <w:div w:id="1419403441">
      <w:bodyDiv w:val="1"/>
      <w:marLeft w:val="0"/>
      <w:marRight w:val="0"/>
      <w:marTop w:val="0"/>
      <w:marBottom w:val="0"/>
      <w:divBdr>
        <w:top w:val="none" w:sz="0" w:space="0" w:color="auto"/>
        <w:left w:val="none" w:sz="0" w:space="0" w:color="auto"/>
        <w:bottom w:val="none" w:sz="0" w:space="0" w:color="auto"/>
        <w:right w:val="none" w:sz="0" w:space="0" w:color="auto"/>
      </w:divBdr>
    </w:div>
    <w:div w:id="1506627045">
      <w:bodyDiv w:val="1"/>
      <w:marLeft w:val="0"/>
      <w:marRight w:val="0"/>
      <w:marTop w:val="0"/>
      <w:marBottom w:val="0"/>
      <w:divBdr>
        <w:top w:val="none" w:sz="0" w:space="0" w:color="auto"/>
        <w:left w:val="none" w:sz="0" w:space="0" w:color="auto"/>
        <w:bottom w:val="none" w:sz="0" w:space="0" w:color="auto"/>
        <w:right w:val="none" w:sz="0" w:space="0" w:color="auto"/>
      </w:divBdr>
      <w:divsChild>
        <w:div w:id="672729774">
          <w:marLeft w:val="0"/>
          <w:marRight w:val="0"/>
          <w:marTop w:val="0"/>
          <w:marBottom w:val="0"/>
          <w:divBdr>
            <w:top w:val="none" w:sz="0" w:space="0" w:color="auto"/>
            <w:left w:val="none" w:sz="0" w:space="0" w:color="auto"/>
            <w:bottom w:val="none" w:sz="0" w:space="0" w:color="auto"/>
            <w:right w:val="none" w:sz="0" w:space="0" w:color="auto"/>
          </w:divBdr>
        </w:div>
        <w:div w:id="1303002005">
          <w:marLeft w:val="0"/>
          <w:marRight w:val="0"/>
          <w:marTop w:val="0"/>
          <w:marBottom w:val="0"/>
          <w:divBdr>
            <w:top w:val="none" w:sz="0" w:space="0" w:color="auto"/>
            <w:left w:val="none" w:sz="0" w:space="0" w:color="auto"/>
            <w:bottom w:val="none" w:sz="0" w:space="0" w:color="auto"/>
            <w:right w:val="none" w:sz="0" w:space="0" w:color="auto"/>
          </w:divBdr>
        </w:div>
        <w:div w:id="1276212280">
          <w:marLeft w:val="0"/>
          <w:marRight w:val="0"/>
          <w:marTop w:val="0"/>
          <w:marBottom w:val="0"/>
          <w:divBdr>
            <w:top w:val="none" w:sz="0" w:space="0" w:color="auto"/>
            <w:left w:val="none" w:sz="0" w:space="0" w:color="auto"/>
            <w:bottom w:val="none" w:sz="0" w:space="0" w:color="auto"/>
            <w:right w:val="none" w:sz="0" w:space="0" w:color="auto"/>
          </w:divBdr>
        </w:div>
        <w:div w:id="1059669666">
          <w:marLeft w:val="0"/>
          <w:marRight w:val="0"/>
          <w:marTop w:val="0"/>
          <w:marBottom w:val="0"/>
          <w:divBdr>
            <w:top w:val="none" w:sz="0" w:space="0" w:color="auto"/>
            <w:left w:val="none" w:sz="0" w:space="0" w:color="auto"/>
            <w:bottom w:val="none" w:sz="0" w:space="0" w:color="auto"/>
            <w:right w:val="none" w:sz="0" w:space="0" w:color="auto"/>
          </w:divBdr>
        </w:div>
      </w:divsChild>
    </w:div>
    <w:div w:id="1558586895">
      <w:bodyDiv w:val="1"/>
      <w:marLeft w:val="0"/>
      <w:marRight w:val="0"/>
      <w:marTop w:val="0"/>
      <w:marBottom w:val="0"/>
      <w:divBdr>
        <w:top w:val="none" w:sz="0" w:space="0" w:color="auto"/>
        <w:left w:val="none" w:sz="0" w:space="0" w:color="auto"/>
        <w:bottom w:val="none" w:sz="0" w:space="0" w:color="auto"/>
        <w:right w:val="none" w:sz="0" w:space="0" w:color="auto"/>
      </w:divBdr>
    </w:div>
    <w:div w:id="1646817147">
      <w:bodyDiv w:val="1"/>
      <w:marLeft w:val="0"/>
      <w:marRight w:val="0"/>
      <w:marTop w:val="0"/>
      <w:marBottom w:val="0"/>
      <w:divBdr>
        <w:top w:val="none" w:sz="0" w:space="0" w:color="auto"/>
        <w:left w:val="none" w:sz="0" w:space="0" w:color="auto"/>
        <w:bottom w:val="none" w:sz="0" w:space="0" w:color="auto"/>
        <w:right w:val="none" w:sz="0" w:space="0" w:color="auto"/>
      </w:divBdr>
    </w:div>
    <w:div w:id="1650552104">
      <w:bodyDiv w:val="1"/>
      <w:marLeft w:val="0"/>
      <w:marRight w:val="0"/>
      <w:marTop w:val="0"/>
      <w:marBottom w:val="0"/>
      <w:divBdr>
        <w:top w:val="none" w:sz="0" w:space="0" w:color="auto"/>
        <w:left w:val="none" w:sz="0" w:space="0" w:color="auto"/>
        <w:bottom w:val="none" w:sz="0" w:space="0" w:color="auto"/>
        <w:right w:val="none" w:sz="0" w:space="0" w:color="auto"/>
      </w:divBdr>
    </w:div>
    <w:div w:id="1655790748">
      <w:bodyDiv w:val="1"/>
      <w:marLeft w:val="0"/>
      <w:marRight w:val="0"/>
      <w:marTop w:val="0"/>
      <w:marBottom w:val="0"/>
      <w:divBdr>
        <w:top w:val="none" w:sz="0" w:space="0" w:color="auto"/>
        <w:left w:val="none" w:sz="0" w:space="0" w:color="auto"/>
        <w:bottom w:val="none" w:sz="0" w:space="0" w:color="auto"/>
        <w:right w:val="none" w:sz="0" w:space="0" w:color="auto"/>
      </w:divBdr>
    </w:div>
    <w:div w:id="1655833128">
      <w:bodyDiv w:val="1"/>
      <w:marLeft w:val="0"/>
      <w:marRight w:val="0"/>
      <w:marTop w:val="0"/>
      <w:marBottom w:val="0"/>
      <w:divBdr>
        <w:top w:val="none" w:sz="0" w:space="0" w:color="auto"/>
        <w:left w:val="none" w:sz="0" w:space="0" w:color="auto"/>
        <w:bottom w:val="none" w:sz="0" w:space="0" w:color="auto"/>
        <w:right w:val="none" w:sz="0" w:space="0" w:color="auto"/>
      </w:divBdr>
      <w:divsChild>
        <w:div w:id="538905792">
          <w:marLeft w:val="0"/>
          <w:marRight w:val="0"/>
          <w:marTop w:val="0"/>
          <w:marBottom w:val="0"/>
          <w:divBdr>
            <w:top w:val="none" w:sz="0" w:space="0" w:color="auto"/>
            <w:left w:val="none" w:sz="0" w:space="0" w:color="auto"/>
            <w:bottom w:val="none" w:sz="0" w:space="0" w:color="auto"/>
            <w:right w:val="none" w:sz="0" w:space="0" w:color="auto"/>
          </w:divBdr>
        </w:div>
        <w:div w:id="793409209">
          <w:marLeft w:val="0"/>
          <w:marRight w:val="0"/>
          <w:marTop w:val="0"/>
          <w:marBottom w:val="0"/>
          <w:divBdr>
            <w:top w:val="none" w:sz="0" w:space="0" w:color="auto"/>
            <w:left w:val="none" w:sz="0" w:space="0" w:color="auto"/>
            <w:bottom w:val="none" w:sz="0" w:space="0" w:color="auto"/>
            <w:right w:val="none" w:sz="0" w:space="0" w:color="auto"/>
          </w:divBdr>
        </w:div>
        <w:div w:id="981891463">
          <w:marLeft w:val="0"/>
          <w:marRight w:val="0"/>
          <w:marTop w:val="0"/>
          <w:marBottom w:val="0"/>
          <w:divBdr>
            <w:top w:val="none" w:sz="0" w:space="0" w:color="auto"/>
            <w:left w:val="none" w:sz="0" w:space="0" w:color="auto"/>
            <w:bottom w:val="none" w:sz="0" w:space="0" w:color="auto"/>
            <w:right w:val="none" w:sz="0" w:space="0" w:color="auto"/>
          </w:divBdr>
        </w:div>
        <w:div w:id="1434477861">
          <w:marLeft w:val="0"/>
          <w:marRight w:val="0"/>
          <w:marTop w:val="0"/>
          <w:marBottom w:val="0"/>
          <w:divBdr>
            <w:top w:val="none" w:sz="0" w:space="0" w:color="auto"/>
            <w:left w:val="none" w:sz="0" w:space="0" w:color="auto"/>
            <w:bottom w:val="none" w:sz="0" w:space="0" w:color="auto"/>
            <w:right w:val="none" w:sz="0" w:space="0" w:color="auto"/>
          </w:divBdr>
        </w:div>
        <w:div w:id="1500467094">
          <w:marLeft w:val="0"/>
          <w:marRight w:val="0"/>
          <w:marTop w:val="0"/>
          <w:marBottom w:val="0"/>
          <w:divBdr>
            <w:top w:val="none" w:sz="0" w:space="0" w:color="auto"/>
            <w:left w:val="none" w:sz="0" w:space="0" w:color="auto"/>
            <w:bottom w:val="none" w:sz="0" w:space="0" w:color="auto"/>
            <w:right w:val="none" w:sz="0" w:space="0" w:color="auto"/>
          </w:divBdr>
        </w:div>
        <w:div w:id="1001003689">
          <w:marLeft w:val="0"/>
          <w:marRight w:val="0"/>
          <w:marTop w:val="0"/>
          <w:marBottom w:val="0"/>
          <w:divBdr>
            <w:top w:val="none" w:sz="0" w:space="0" w:color="auto"/>
            <w:left w:val="none" w:sz="0" w:space="0" w:color="auto"/>
            <w:bottom w:val="none" w:sz="0" w:space="0" w:color="auto"/>
            <w:right w:val="none" w:sz="0" w:space="0" w:color="auto"/>
          </w:divBdr>
        </w:div>
        <w:div w:id="1338995073">
          <w:marLeft w:val="0"/>
          <w:marRight w:val="0"/>
          <w:marTop w:val="0"/>
          <w:marBottom w:val="0"/>
          <w:divBdr>
            <w:top w:val="none" w:sz="0" w:space="0" w:color="auto"/>
            <w:left w:val="none" w:sz="0" w:space="0" w:color="auto"/>
            <w:bottom w:val="none" w:sz="0" w:space="0" w:color="auto"/>
            <w:right w:val="none" w:sz="0" w:space="0" w:color="auto"/>
          </w:divBdr>
        </w:div>
        <w:div w:id="199706004">
          <w:marLeft w:val="0"/>
          <w:marRight w:val="0"/>
          <w:marTop w:val="0"/>
          <w:marBottom w:val="0"/>
          <w:divBdr>
            <w:top w:val="none" w:sz="0" w:space="0" w:color="auto"/>
            <w:left w:val="none" w:sz="0" w:space="0" w:color="auto"/>
            <w:bottom w:val="none" w:sz="0" w:space="0" w:color="auto"/>
            <w:right w:val="none" w:sz="0" w:space="0" w:color="auto"/>
          </w:divBdr>
        </w:div>
      </w:divsChild>
    </w:div>
    <w:div w:id="1742679981">
      <w:bodyDiv w:val="1"/>
      <w:marLeft w:val="0"/>
      <w:marRight w:val="0"/>
      <w:marTop w:val="0"/>
      <w:marBottom w:val="0"/>
      <w:divBdr>
        <w:top w:val="none" w:sz="0" w:space="0" w:color="auto"/>
        <w:left w:val="none" w:sz="0" w:space="0" w:color="auto"/>
        <w:bottom w:val="none" w:sz="0" w:space="0" w:color="auto"/>
        <w:right w:val="none" w:sz="0" w:space="0" w:color="auto"/>
      </w:divBdr>
    </w:div>
    <w:div w:id="1772895022">
      <w:bodyDiv w:val="1"/>
      <w:marLeft w:val="0"/>
      <w:marRight w:val="0"/>
      <w:marTop w:val="0"/>
      <w:marBottom w:val="0"/>
      <w:divBdr>
        <w:top w:val="none" w:sz="0" w:space="0" w:color="auto"/>
        <w:left w:val="none" w:sz="0" w:space="0" w:color="auto"/>
        <w:bottom w:val="none" w:sz="0" w:space="0" w:color="auto"/>
        <w:right w:val="none" w:sz="0" w:space="0" w:color="auto"/>
      </w:divBdr>
    </w:div>
    <w:div w:id="1794905269">
      <w:bodyDiv w:val="1"/>
      <w:marLeft w:val="0"/>
      <w:marRight w:val="0"/>
      <w:marTop w:val="0"/>
      <w:marBottom w:val="0"/>
      <w:divBdr>
        <w:top w:val="none" w:sz="0" w:space="0" w:color="auto"/>
        <w:left w:val="none" w:sz="0" w:space="0" w:color="auto"/>
        <w:bottom w:val="none" w:sz="0" w:space="0" w:color="auto"/>
        <w:right w:val="none" w:sz="0" w:space="0" w:color="auto"/>
      </w:divBdr>
    </w:div>
    <w:div w:id="1915309522">
      <w:bodyDiv w:val="1"/>
      <w:marLeft w:val="0"/>
      <w:marRight w:val="0"/>
      <w:marTop w:val="0"/>
      <w:marBottom w:val="0"/>
      <w:divBdr>
        <w:top w:val="none" w:sz="0" w:space="0" w:color="auto"/>
        <w:left w:val="none" w:sz="0" w:space="0" w:color="auto"/>
        <w:bottom w:val="none" w:sz="0" w:space="0" w:color="auto"/>
        <w:right w:val="none" w:sz="0" w:space="0" w:color="auto"/>
      </w:divBdr>
    </w:div>
    <w:div w:id="1942953185">
      <w:bodyDiv w:val="1"/>
      <w:marLeft w:val="0"/>
      <w:marRight w:val="0"/>
      <w:marTop w:val="0"/>
      <w:marBottom w:val="0"/>
      <w:divBdr>
        <w:top w:val="none" w:sz="0" w:space="0" w:color="auto"/>
        <w:left w:val="none" w:sz="0" w:space="0" w:color="auto"/>
        <w:bottom w:val="none" w:sz="0" w:space="0" w:color="auto"/>
        <w:right w:val="none" w:sz="0" w:space="0" w:color="auto"/>
      </w:divBdr>
    </w:div>
    <w:div w:id="1948542578">
      <w:bodyDiv w:val="1"/>
      <w:marLeft w:val="0"/>
      <w:marRight w:val="0"/>
      <w:marTop w:val="0"/>
      <w:marBottom w:val="0"/>
      <w:divBdr>
        <w:top w:val="none" w:sz="0" w:space="0" w:color="auto"/>
        <w:left w:val="none" w:sz="0" w:space="0" w:color="auto"/>
        <w:bottom w:val="none" w:sz="0" w:space="0" w:color="auto"/>
        <w:right w:val="none" w:sz="0" w:space="0" w:color="auto"/>
      </w:divBdr>
      <w:divsChild>
        <w:div w:id="983464113">
          <w:marLeft w:val="0"/>
          <w:marRight w:val="0"/>
          <w:marTop w:val="0"/>
          <w:marBottom w:val="0"/>
          <w:divBdr>
            <w:top w:val="none" w:sz="0" w:space="0" w:color="auto"/>
            <w:left w:val="none" w:sz="0" w:space="0" w:color="auto"/>
            <w:bottom w:val="none" w:sz="0" w:space="0" w:color="auto"/>
            <w:right w:val="none" w:sz="0" w:space="0" w:color="auto"/>
          </w:divBdr>
        </w:div>
        <w:div w:id="1116213280">
          <w:marLeft w:val="0"/>
          <w:marRight w:val="0"/>
          <w:marTop w:val="0"/>
          <w:marBottom w:val="0"/>
          <w:divBdr>
            <w:top w:val="none" w:sz="0" w:space="0" w:color="auto"/>
            <w:left w:val="none" w:sz="0" w:space="0" w:color="auto"/>
            <w:bottom w:val="none" w:sz="0" w:space="0" w:color="auto"/>
            <w:right w:val="none" w:sz="0" w:space="0" w:color="auto"/>
          </w:divBdr>
        </w:div>
        <w:div w:id="672337743">
          <w:marLeft w:val="0"/>
          <w:marRight w:val="0"/>
          <w:marTop w:val="0"/>
          <w:marBottom w:val="0"/>
          <w:divBdr>
            <w:top w:val="none" w:sz="0" w:space="0" w:color="auto"/>
            <w:left w:val="none" w:sz="0" w:space="0" w:color="auto"/>
            <w:bottom w:val="none" w:sz="0" w:space="0" w:color="auto"/>
            <w:right w:val="none" w:sz="0" w:space="0" w:color="auto"/>
          </w:divBdr>
        </w:div>
        <w:div w:id="1617904574">
          <w:marLeft w:val="0"/>
          <w:marRight w:val="0"/>
          <w:marTop w:val="0"/>
          <w:marBottom w:val="0"/>
          <w:divBdr>
            <w:top w:val="none" w:sz="0" w:space="0" w:color="auto"/>
            <w:left w:val="none" w:sz="0" w:space="0" w:color="auto"/>
            <w:bottom w:val="none" w:sz="0" w:space="0" w:color="auto"/>
            <w:right w:val="none" w:sz="0" w:space="0" w:color="auto"/>
          </w:divBdr>
        </w:div>
      </w:divsChild>
    </w:div>
    <w:div w:id="1969505281">
      <w:bodyDiv w:val="1"/>
      <w:marLeft w:val="0"/>
      <w:marRight w:val="0"/>
      <w:marTop w:val="0"/>
      <w:marBottom w:val="0"/>
      <w:divBdr>
        <w:top w:val="none" w:sz="0" w:space="0" w:color="auto"/>
        <w:left w:val="none" w:sz="0" w:space="0" w:color="auto"/>
        <w:bottom w:val="none" w:sz="0" w:space="0" w:color="auto"/>
        <w:right w:val="none" w:sz="0" w:space="0" w:color="auto"/>
      </w:divBdr>
      <w:divsChild>
        <w:div w:id="662197054">
          <w:marLeft w:val="0"/>
          <w:marRight w:val="0"/>
          <w:marTop w:val="0"/>
          <w:marBottom w:val="0"/>
          <w:divBdr>
            <w:top w:val="none" w:sz="0" w:space="0" w:color="auto"/>
            <w:left w:val="none" w:sz="0" w:space="0" w:color="auto"/>
            <w:bottom w:val="none" w:sz="0" w:space="0" w:color="auto"/>
            <w:right w:val="none" w:sz="0" w:space="0" w:color="auto"/>
          </w:divBdr>
        </w:div>
        <w:div w:id="70397698">
          <w:marLeft w:val="0"/>
          <w:marRight w:val="0"/>
          <w:marTop w:val="0"/>
          <w:marBottom w:val="0"/>
          <w:divBdr>
            <w:top w:val="none" w:sz="0" w:space="0" w:color="auto"/>
            <w:left w:val="none" w:sz="0" w:space="0" w:color="auto"/>
            <w:bottom w:val="none" w:sz="0" w:space="0" w:color="auto"/>
            <w:right w:val="none" w:sz="0" w:space="0" w:color="auto"/>
          </w:divBdr>
        </w:div>
        <w:div w:id="1723554872">
          <w:marLeft w:val="0"/>
          <w:marRight w:val="0"/>
          <w:marTop w:val="0"/>
          <w:marBottom w:val="0"/>
          <w:divBdr>
            <w:top w:val="none" w:sz="0" w:space="0" w:color="auto"/>
            <w:left w:val="none" w:sz="0" w:space="0" w:color="auto"/>
            <w:bottom w:val="none" w:sz="0" w:space="0" w:color="auto"/>
            <w:right w:val="none" w:sz="0" w:space="0" w:color="auto"/>
          </w:divBdr>
        </w:div>
      </w:divsChild>
    </w:div>
    <w:div w:id="1984000685">
      <w:bodyDiv w:val="1"/>
      <w:marLeft w:val="0"/>
      <w:marRight w:val="0"/>
      <w:marTop w:val="0"/>
      <w:marBottom w:val="0"/>
      <w:divBdr>
        <w:top w:val="none" w:sz="0" w:space="0" w:color="auto"/>
        <w:left w:val="none" w:sz="0" w:space="0" w:color="auto"/>
        <w:bottom w:val="none" w:sz="0" w:space="0" w:color="auto"/>
        <w:right w:val="none" w:sz="0" w:space="0" w:color="auto"/>
      </w:divBdr>
    </w:div>
    <w:div w:id="2063477909">
      <w:bodyDiv w:val="1"/>
      <w:marLeft w:val="0"/>
      <w:marRight w:val="0"/>
      <w:marTop w:val="0"/>
      <w:marBottom w:val="0"/>
      <w:divBdr>
        <w:top w:val="none" w:sz="0" w:space="0" w:color="auto"/>
        <w:left w:val="none" w:sz="0" w:space="0" w:color="auto"/>
        <w:bottom w:val="none" w:sz="0" w:space="0" w:color="auto"/>
        <w:right w:val="none" w:sz="0" w:space="0" w:color="auto"/>
      </w:divBdr>
      <w:divsChild>
        <w:div w:id="1318922348">
          <w:marLeft w:val="0"/>
          <w:marRight w:val="0"/>
          <w:marTop w:val="0"/>
          <w:marBottom w:val="0"/>
          <w:divBdr>
            <w:top w:val="none" w:sz="0" w:space="0" w:color="auto"/>
            <w:left w:val="none" w:sz="0" w:space="0" w:color="auto"/>
            <w:bottom w:val="none" w:sz="0" w:space="0" w:color="auto"/>
            <w:right w:val="none" w:sz="0" w:space="0" w:color="auto"/>
          </w:divBdr>
        </w:div>
        <w:div w:id="1025524586">
          <w:marLeft w:val="0"/>
          <w:marRight w:val="0"/>
          <w:marTop w:val="0"/>
          <w:marBottom w:val="0"/>
          <w:divBdr>
            <w:top w:val="none" w:sz="0" w:space="0" w:color="auto"/>
            <w:left w:val="none" w:sz="0" w:space="0" w:color="auto"/>
            <w:bottom w:val="none" w:sz="0" w:space="0" w:color="auto"/>
            <w:right w:val="none" w:sz="0" w:space="0" w:color="auto"/>
          </w:divBdr>
        </w:div>
        <w:div w:id="1339308571">
          <w:marLeft w:val="0"/>
          <w:marRight w:val="0"/>
          <w:marTop w:val="0"/>
          <w:marBottom w:val="0"/>
          <w:divBdr>
            <w:top w:val="none" w:sz="0" w:space="0" w:color="auto"/>
            <w:left w:val="none" w:sz="0" w:space="0" w:color="auto"/>
            <w:bottom w:val="none" w:sz="0" w:space="0" w:color="auto"/>
            <w:right w:val="none" w:sz="0" w:space="0" w:color="auto"/>
          </w:divBdr>
        </w:div>
        <w:div w:id="736316394">
          <w:marLeft w:val="0"/>
          <w:marRight w:val="0"/>
          <w:marTop w:val="0"/>
          <w:marBottom w:val="0"/>
          <w:divBdr>
            <w:top w:val="none" w:sz="0" w:space="0" w:color="auto"/>
            <w:left w:val="none" w:sz="0" w:space="0" w:color="auto"/>
            <w:bottom w:val="none" w:sz="0" w:space="0" w:color="auto"/>
            <w:right w:val="none" w:sz="0" w:space="0" w:color="auto"/>
          </w:divBdr>
        </w:div>
      </w:divsChild>
    </w:div>
    <w:div w:id="21276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anta.lt" TargetMode="External"/><Relationship Id="rId13" Type="http://schemas.openxmlformats.org/officeDocument/2006/relationships/hyperlink" Target="https://e-seimas.lrs.lt/portal/legalAct/lt/TAD/74136962ba9711ec9f0095b4d96fd400?jfwid=rivwzvpv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22522/as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319/asr" TargetMode="External"/><Relationship Id="rId5" Type="http://schemas.openxmlformats.org/officeDocument/2006/relationships/webSettings" Target="webSettings.xml"/><Relationship Id="rId15" Type="http://schemas.openxmlformats.org/officeDocument/2006/relationships/hyperlink" Target="https://www.e-tar.lt/portal/lt/legalAct/41e131d07ada11edbc04912defe897d1" TargetMode="External"/><Relationship Id="rId10" Type="http://schemas.openxmlformats.org/officeDocument/2006/relationships/hyperlink" Target="https://e-seimas.lrs.lt/portal/legalAct/lt/TAD/TAIS.3358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ta.lrv.lt/public/canonical/1733739405/808/Negaliai%20jautrios%20kalbos%20gair%C4%97s_adaptuotos.pd.pdf" TargetMode="External"/><Relationship Id="rId14" Type="http://schemas.openxmlformats.org/officeDocument/2006/relationships/hyperlink" Target="https://eur-lex.europa.eu/LT/legal-content/summary/accessibility-of-public-sector-websites-and-mobile-ap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3CAF-9800-45A7-A044-9026D35EEA13}">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10048</Words>
  <Characters>5728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Gulbinė</dc:creator>
  <cp:lastModifiedBy>Jūratė Morkvėnaitė-Paulauskienė</cp:lastModifiedBy>
  <cp:revision>2</cp:revision>
  <dcterms:created xsi:type="dcterms:W3CDTF">2026-03-25T12:06:00Z</dcterms:created>
  <dcterms:modified xsi:type="dcterms:W3CDTF">2026-03-25T12:06:00Z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103e8986,52d9b601,a9bc100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