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F5C78A0"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1A52F1D6"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044E62">
              <w:rPr>
                <w:rFonts w:ascii="Times New Roman" w:hAnsi="Times New Roman" w:cs="Times New Roman"/>
                <w:lang w:val="lt-LT"/>
              </w:rPr>
              <w:t>gegužės</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5549E48A"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044E62">
              <w:rPr>
                <w:rFonts w:ascii="Times New Roman" w:hAnsi="Times New Roman" w:cs="Times New Roman"/>
                <w:lang w:val="lt-LT"/>
              </w:rPr>
              <w:t xml:space="preserve"> sp. Dmitrij Tatol</w:t>
            </w:r>
            <w:r w:rsidR="00C83C83">
              <w:rPr>
                <w:rFonts w:ascii="Times New Roman" w:hAnsi="Times New Roman" w:cs="Times New Roman"/>
                <w:lang w:val="lt-LT"/>
              </w:rPr>
              <w:t>; Tel. Nr. +370 706 75 8</w:t>
            </w:r>
            <w:r w:rsidR="00044E62">
              <w:rPr>
                <w:rFonts w:ascii="Times New Roman" w:hAnsi="Times New Roman" w:cs="Times New Roman"/>
                <w:lang w:val="lt-LT"/>
              </w:rPr>
              <w:t>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044E62">
              <w:rPr>
                <w:rFonts w:ascii="Times New Roman" w:hAnsi="Times New Roman" w:cs="Times New Roman"/>
                <w:lang w:val="lt-LT"/>
              </w:rPr>
              <w:t>dmitrij.tatol</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 xml:space="preserve">Eil. Nr. </w:t>
            </w:r>
          </w:p>
        </w:tc>
        <w:tc>
          <w:tcPr>
            <w:tcW w:w="2694" w:type="dxa"/>
          </w:tcPr>
          <w:p w14:paraId="6A543A02" w14:textId="3B0EA899"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Perkamo objekto pavadinimas</w:t>
            </w:r>
          </w:p>
        </w:tc>
        <w:tc>
          <w:tcPr>
            <w:tcW w:w="4677" w:type="dxa"/>
          </w:tcPr>
          <w:p w14:paraId="3C4257D0" w14:textId="2294EA0C"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Reikalavimai prekei</w:t>
            </w:r>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Mato vnt.</w:t>
            </w:r>
          </w:p>
        </w:tc>
        <w:tc>
          <w:tcPr>
            <w:tcW w:w="997" w:type="dxa"/>
          </w:tcPr>
          <w:p w14:paraId="33778021" w14:textId="462C4652" w:rsidR="005C484F" w:rsidRPr="0090490F" w:rsidRDefault="00284A47" w:rsidP="005075B1">
            <w:pPr>
              <w:rPr>
                <w:rFonts w:ascii="Times New Roman" w:hAnsi="Times New Roman" w:cs="Times New Roman"/>
                <w:sz w:val="20"/>
                <w:szCs w:val="20"/>
              </w:rPr>
            </w:pPr>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390D7F50" w:rsidR="00B34ED1" w:rsidRPr="0090490F" w:rsidRDefault="008610A0" w:rsidP="00284A47">
            <w:pPr>
              <w:rPr>
                <w:rFonts w:ascii="Times New Roman" w:hAnsi="Times New Roman" w:cs="Times New Roman"/>
                <w:sz w:val="20"/>
                <w:szCs w:val="20"/>
              </w:rPr>
            </w:pPr>
            <w:r w:rsidRPr="008610A0">
              <w:rPr>
                <w:rFonts w:ascii="Times New Roman" w:hAnsi="Times New Roman" w:cs="Times New Roman"/>
                <w:sz w:val="20"/>
                <w:szCs w:val="20"/>
              </w:rPr>
              <w:t>Monitorius (įstrižainė 27 colių)</w:t>
            </w:r>
          </w:p>
        </w:tc>
        <w:tc>
          <w:tcPr>
            <w:tcW w:w="4677" w:type="dxa"/>
          </w:tcPr>
          <w:p w14:paraId="48625ED0" w14:textId="0DF20F98" w:rsidR="00B34ED1" w:rsidRPr="0090490F" w:rsidRDefault="008610A0" w:rsidP="008E19A0">
            <w:pPr>
              <w:jc w:val="both"/>
              <w:rPr>
                <w:rFonts w:ascii="Times New Roman" w:hAnsi="Times New Roman" w:cs="Times New Roman"/>
                <w:sz w:val="20"/>
                <w:szCs w:val="20"/>
              </w:rPr>
            </w:pPr>
            <w:r w:rsidRPr="008610A0">
              <w:rPr>
                <w:rFonts w:ascii="Times New Roman" w:hAnsi="Times New Roman" w:cs="Times New Roman"/>
                <w:sz w:val="20"/>
                <w:szCs w:val="20"/>
              </w:rPr>
              <w:t>Ekrano tipas plokščias. Ekrano įstrižainė ne mažiau kaip 27 coliai. Ekrano vaizdas Matinis (Anti-Glare). Ekrano technologija IPS. Ekrano raiška ne mažiau kaip 2560x1440. Pikselių žingsnis (Pixel Pitch) ne daugiau kaip 0,233 mm. Kraštu santykis 16:9. Kontrasto santykis ne mažiau kaip 1000:1. Ryškumas ne mažiau kaip 350 cd / m2. Reakcijos laikas ne daugiau kaip 1 ms. Atnaujinimo dažnis ne mažiau kaip 200 Hz. Turi būti AMD FeeSync technologija. Jungtis HDMI ne mažiau kaip 1, DisplayPort ne mažiau kaip 1. Remiantis žaliaisiais ir aplinkos apsaugos kriterijais monitoriuose neturi būti gyvsidabrio, plastikinėse detalėse neturi būti naudojamos cheminės medžiagos ir toksiškos kaip pvz.: H340, H360F, H360Df ir pan.</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vnt.</w:t>
            </w:r>
          </w:p>
        </w:tc>
        <w:tc>
          <w:tcPr>
            <w:tcW w:w="997" w:type="dxa"/>
            <w:vAlign w:val="center"/>
          </w:tcPr>
          <w:p w14:paraId="1C2BC10E" w14:textId="134D8297" w:rsidR="00284A47" w:rsidRPr="0090490F" w:rsidRDefault="008610A0" w:rsidP="00284A47">
            <w:pPr>
              <w:rPr>
                <w:rFonts w:ascii="Times New Roman" w:hAnsi="Times New Roman" w:cs="Times New Roman"/>
                <w:sz w:val="20"/>
                <w:szCs w:val="20"/>
              </w:rPr>
            </w:pPr>
            <w:r>
              <w:rPr>
                <w:rFonts w:ascii="Times New Roman" w:hAnsi="Times New Roman" w:cs="Times New Roman"/>
                <w:sz w:val="20"/>
                <w:szCs w:val="20"/>
              </w:rPr>
              <w:t>14</w:t>
            </w:r>
          </w:p>
        </w:tc>
      </w:tr>
      <w:tr w:rsidR="00044E62" w:rsidRPr="0090490F" w14:paraId="7F618055" w14:textId="77777777" w:rsidTr="00F74D51">
        <w:tc>
          <w:tcPr>
            <w:tcW w:w="562" w:type="dxa"/>
            <w:vAlign w:val="center"/>
          </w:tcPr>
          <w:p w14:paraId="2FCED52D" w14:textId="7AE44ABF" w:rsidR="00044E62" w:rsidRPr="0090490F" w:rsidRDefault="00044E62" w:rsidP="00284A47">
            <w:pPr>
              <w:rPr>
                <w:rFonts w:ascii="Times New Roman" w:hAnsi="Times New Roman" w:cs="Times New Roman"/>
                <w:sz w:val="20"/>
                <w:szCs w:val="20"/>
              </w:rPr>
            </w:pPr>
            <w:r>
              <w:rPr>
                <w:rFonts w:ascii="Times New Roman" w:hAnsi="Times New Roman" w:cs="Times New Roman"/>
                <w:sz w:val="20"/>
                <w:szCs w:val="20"/>
              </w:rPr>
              <w:t>2</w:t>
            </w:r>
          </w:p>
        </w:tc>
        <w:tc>
          <w:tcPr>
            <w:tcW w:w="2694" w:type="dxa"/>
          </w:tcPr>
          <w:p w14:paraId="2CD4EBB3" w14:textId="31E2CBCB" w:rsidR="00044E62" w:rsidRPr="0090490F" w:rsidRDefault="008610A0" w:rsidP="00C15EBA">
            <w:pPr>
              <w:jc w:val="center"/>
              <w:rPr>
                <w:rFonts w:ascii="Times New Roman" w:hAnsi="Times New Roman" w:cs="Times New Roman"/>
                <w:sz w:val="20"/>
                <w:szCs w:val="20"/>
              </w:rPr>
            </w:pPr>
            <w:r w:rsidRPr="008610A0">
              <w:rPr>
                <w:rFonts w:ascii="Times New Roman" w:hAnsi="Times New Roman" w:cs="Times New Roman"/>
                <w:sz w:val="20"/>
                <w:szCs w:val="20"/>
              </w:rPr>
              <w:t>Monitorius (įstrižinė 32 colių)</w:t>
            </w:r>
          </w:p>
        </w:tc>
        <w:tc>
          <w:tcPr>
            <w:tcW w:w="4677" w:type="dxa"/>
          </w:tcPr>
          <w:p w14:paraId="7F630F62" w14:textId="3EDB58D7" w:rsidR="00044E62" w:rsidRPr="0090490F" w:rsidRDefault="008610A0" w:rsidP="008E19A0">
            <w:pPr>
              <w:jc w:val="both"/>
              <w:rPr>
                <w:rFonts w:ascii="Times New Roman" w:hAnsi="Times New Roman" w:cs="Times New Roman"/>
                <w:sz w:val="20"/>
                <w:szCs w:val="20"/>
              </w:rPr>
            </w:pPr>
            <w:r w:rsidRPr="008610A0">
              <w:rPr>
                <w:rFonts w:ascii="Times New Roman" w:hAnsi="Times New Roman" w:cs="Times New Roman"/>
                <w:sz w:val="20"/>
                <w:szCs w:val="20"/>
              </w:rPr>
              <w:t>Ekrano tipas plokščias. Ekrano įstrižainė ne mažiau kaip 31,5 coliai. Ekrano vaizdas Matinis (Anti-Glare). Ekrano technologija IPS. Ekrano raiška ne mažiau kaip 2560x1440. Pikselių žingsnis (Pixel Pitch) ne daugiau kaip 0,2727 mm. Kraštu santykis 16:9. Dinaminis kontrastas ne mažiau kaip 1000:1. Ryškumas ne mažiau kaip 400 cd / m2. Reakcijos laikas ne daugiau kaip 1 ms. Atnaujinimo dažnis ne mažiau kaip 180 Hz. Turi būti AMD FeeSync technologijos. Jungtis HDMI ne mažiau kaip 1, DisplayPort ne mažiau kaip 1.  Remiantis žaliaisiais ir aplinkos apsaugos kriterijais monitoriuose neturi būti gyvsidabrio, plastikinėse detalėse neturi būti naudojamos cheminės medžiagos ir toksiškos kaip pvz.: H340, H360F, H360Df ir pan.</w:t>
            </w:r>
          </w:p>
        </w:tc>
        <w:tc>
          <w:tcPr>
            <w:tcW w:w="1559" w:type="dxa"/>
            <w:vAlign w:val="center"/>
          </w:tcPr>
          <w:p w14:paraId="16522F3F" w14:textId="719048CD" w:rsidR="00044E62" w:rsidRPr="0090490F" w:rsidRDefault="00044E62" w:rsidP="00284A47">
            <w:pPr>
              <w:rPr>
                <w:rFonts w:ascii="Times New Roman" w:hAnsi="Times New Roman" w:cs="Times New Roman"/>
                <w:sz w:val="20"/>
                <w:szCs w:val="20"/>
              </w:rPr>
            </w:pPr>
            <w:r>
              <w:rPr>
                <w:rFonts w:ascii="Times New Roman" w:hAnsi="Times New Roman" w:cs="Times New Roman"/>
                <w:sz w:val="20"/>
                <w:szCs w:val="20"/>
              </w:rPr>
              <w:t>vnt</w:t>
            </w:r>
          </w:p>
        </w:tc>
        <w:tc>
          <w:tcPr>
            <w:tcW w:w="997" w:type="dxa"/>
            <w:vAlign w:val="center"/>
          </w:tcPr>
          <w:p w14:paraId="69EB351D" w14:textId="7FEC0F09" w:rsidR="00044E62" w:rsidRPr="0090490F" w:rsidRDefault="008610A0" w:rsidP="00284A47">
            <w:pPr>
              <w:rPr>
                <w:rFonts w:ascii="Times New Roman" w:hAnsi="Times New Roman" w:cs="Times New Roman"/>
                <w:sz w:val="20"/>
                <w:szCs w:val="20"/>
              </w:rPr>
            </w:pPr>
            <w:r>
              <w:rPr>
                <w:rFonts w:ascii="Times New Roman" w:hAnsi="Times New Roman" w:cs="Times New Roman"/>
                <w:sz w:val="20"/>
                <w:szCs w:val="20"/>
              </w:rPr>
              <w:t>8</w:t>
            </w:r>
          </w:p>
        </w:tc>
      </w:tr>
      <w:tr w:rsidR="00044E62" w:rsidRPr="0090490F" w14:paraId="60238AC1" w14:textId="77777777" w:rsidTr="00F74D51">
        <w:tc>
          <w:tcPr>
            <w:tcW w:w="562" w:type="dxa"/>
            <w:vAlign w:val="center"/>
          </w:tcPr>
          <w:p w14:paraId="6E9BFEB5" w14:textId="6D1A09B5" w:rsidR="00044E62" w:rsidRPr="0090490F" w:rsidRDefault="00044E62" w:rsidP="00284A47">
            <w:pPr>
              <w:rPr>
                <w:rFonts w:ascii="Times New Roman" w:hAnsi="Times New Roman" w:cs="Times New Roman"/>
                <w:sz w:val="20"/>
                <w:szCs w:val="20"/>
              </w:rPr>
            </w:pPr>
            <w:r>
              <w:rPr>
                <w:rFonts w:ascii="Times New Roman" w:hAnsi="Times New Roman" w:cs="Times New Roman"/>
                <w:sz w:val="20"/>
                <w:szCs w:val="20"/>
              </w:rPr>
              <w:t>3</w:t>
            </w:r>
          </w:p>
        </w:tc>
        <w:tc>
          <w:tcPr>
            <w:tcW w:w="2694" w:type="dxa"/>
          </w:tcPr>
          <w:p w14:paraId="45ABACE6" w14:textId="77777777" w:rsidR="00044E62" w:rsidRDefault="00044E62" w:rsidP="00284A47">
            <w:pPr>
              <w:rPr>
                <w:rFonts w:ascii="Times New Roman" w:hAnsi="Times New Roman" w:cs="Times New Roman"/>
                <w:sz w:val="20"/>
                <w:szCs w:val="20"/>
              </w:rPr>
            </w:pPr>
          </w:p>
          <w:p w14:paraId="4920B5F4" w14:textId="77777777" w:rsidR="008610A0" w:rsidRPr="008610A0" w:rsidRDefault="008610A0" w:rsidP="008610A0">
            <w:pPr>
              <w:rPr>
                <w:rFonts w:ascii="Times New Roman" w:hAnsi="Times New Roman" w:cs="Times New Roman"/>
                <w:sz w:val="20"/>
                <w:szCs w:val="20"/>
              </w:rPr>
            </w:pPr>
          </w:p>
          <w:p w14:paraId="703FDB45" w14:textId="77777777" w:rsidR="008610A0" w:rsidRDefault="008610A0" w:rsidP="008610A0">
            <w:pPr>
              <w:rPr>
                <w:rFonts w:ascii="Times New Roman" w:hAnsi="Times New Roman" w:cs="Times New Roman"/>
                <w:sz w:val="20"/>
                <w:szCs w:val="20"/>
              </w:rPr>
            </w:pPr>
          </w:p>
          <w:p w14:paraId="15679594" w14:textId="77777777" w:rsidR="008610A0" w:rsidRDefault="008610A0" w:rsidP="008610A0">
            <w:pPr>
              <w:rPr>
                <w:rFonts w:ascii="Times New Roman" w:hAnsi="Times New Roman" w:cs="Times New Roman"/>
                <w:sz w:val="20"/>
                <w:szCs w:val="20"/>
              </w:rPr>
            </w:pPr>
          </w:p>
          <w:p w14:paraId="169C74C7" w14:textId="77777777" w:rsidR="008610A0" w:rsidRDefault="008610A0" w:rsidP="008610A0">
            <w:pPr>
              <w:rPr>
                <w:rFonts w:ascii="Times New Roman" w:hAnsi="Times New Roman" w:cs="Times New Roman"/>
                <w:sz w:val="20"/>
                <w:szCs w:val="20"/>
              </w:rPr>
            </w:pPr>
          </w:p>
          <w:p w14:paraId="718762E2" w14:textId="407BE356" w:rsidR="008610A0" w:rsidRPr="008610A0" w:rsidRDefault="008610A0" w:rsidP="008610A0">
            <w:pPr>
              <w:jc w:val="center"/>
              <w:rPr>
                <w:rFonts w:ascii="Times New Roman" w:hAnsi="Times New Roman" w:cs="Times New Roman"/>
                <w:sz w:val="20"/>
                <w:szCs w:val="20"/>
              </w:rPr>
            </w:pPr>
            <w:r w:rsidRPr="008610A0">
              <w:rPr>
                <w:rFonts w:ascii="Times New Roman" w:hAnsi="Times New Roman" w:cs="Times New Roman"/>
                <w:sz w:val="20"/>
                <w:szCs w:val="20"/>
              </w:rPr>
              <w:t>Monitorius (įstrižinė 34 colių)</w:t>
            </w:r>
          </w:p>
        </w:tc>
        <w:tc>
          <w:tcPr>
            <w:tcW w:w="4677" w:type="dxa"/>
          </w:tcPr>
          <w:p w14:paraId="71E95F20" w14:textId="2F885032" w:rsidR="00044E62" w:rsidRPr="0090490F" w:rsidRDefault="008610A0" w:rsidP="008E19A0">
            <w:pPr>
              <w:jc w:val="both"/>
              <w:rPr>
                <w:rFonts w:ascii="Times New Roman" w:hAnsi="Times New Roman" w:cs="Times New Roman"/>
                <w:sz w:val="20"/>
                <w:szCs w:val="20"/>
              </w:rPr>
            </w:pPr>
            <w:r w:rsidRPr="008610A0">
              <w:rPr>
                <w:rFonts w:ascii="Times New Roman" w:hAnsi="Times New Roman" w:cs="Times New Roman"/>
                <w:sz w:val="20"/>
                <w:szCs w:val="20"/>
              </w:rPr>
              <w:t>Ekrano tipas lenktas. Ekrano įstrižainė ne mažiau kaip 34 coliai. Ekrano vaizdas matinis (Anti-Glare). Ekrano technologija VA. Ekrano raiška ne mažiau kaip 3440x1440 px. Kraštu santykis 21:9. Dinaminis kontrastas ne mažiau kaip 2500:1. Ryškumas ne mažiau kaip 250 cd / m2. Reakcijos laikas nedaugiau kaip 1 ms. Atnaujinimo dažnis ne mažiau kaip 165 Hz. Turi būti AMD FeeSync technologija. VESA tvirtinimo sistema 75 x 75 mm. Jungtis HDMI ne mažiau kaip 1, DisplayPort ne mažiau kaip 1.  Remiantis žaliaisiais ir aplinkos apsaugos kriterijais monitoriuose neturi būti gyvsidabrio, plastikinėse detalėse neturi būti naudojamos cheminės medžiagos ir toksiškos kaip pvz.: H340, H360F, H360Df ir pan.</w:t>
            </w:r>
          </w:p>
        </w:tc>
        <w:tc>
          <w:tcPr>
            <w:tcW w:w="1559" w:type="dxa"/>
            <w:vAlign w:val="center"/>
          </w:tcPr>
          <w:p w14:paraId="20F3458A" w14:textId="6EA8F017" w:rsidR="00044E62" w:rsidRPr="0090490F" w:rsidRDefault="00044E62" w:rsidP="00284A47">
            <w:pPr>
              <w:rPr>
                <w:rFonts w:ascii="Times New Roman" w:hAnsi="Times New Roman" w:cs="Times New Roman"/>
                <w:sz w:val="20"/>
                <w:szCs w:val="20"/>
              </w:rPr>
            </w:pPr>
            <w:r>
              <w:rPr>
                <w:rFonts w:ascii="Times New Roman" w:hAnsi="Times New Roman" w:cs="Times New Roman"/>
                <w:sz w:val="20"/>
                <w:szCs w:val="20"/>
              </w:rPr>
              <w:t>vnt</w:t>
            </w:r>
          </w:p>
        </w:tc>
        <w:tc>
          <w:tcPr>
            <w:tcW w:w="997" w:type="dxa"/>
            <w:vAlign w:val="center"/>
          </w:tcPr>
          <w:p w14:paraId="2FBF7CCD" w14:textId="1B795606" w:rsidR="00044E62" w:rsidRPr="0090490F" w:rsidRDefault="008610A0" w:rsidP="00284A47">
            <w:pPr>
              <w:rPr>
                <w:rFonts w:ascii="Times New Roman" w:hAnsi="Times New Roman" w:cs="Times New Roman"/>
                <w:sz w:val="20"/>
                <w:szCs w:val="20"/>
              </w:rPr>
            </w:pPr>
            <w:r>
              <w:rPr>
                <w:rFonts w:ascii="Times New Roman" w:hAnsi="Times New Roman" w:cs="Times New Roman"/>
                <w:sz w:val="20"/>
                <w:szCs w:val="20"/>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76CD" w14:textId="77777777" w:rsidR="00E84E49" w:rsidRDefault="00E84E49" w:rsidP="00C7623E">
      <w:pPr>
        <w:spacing w:after="0" w:line="240" w:lineRule="auto"/>
      </w:pPr>
      <w:r>
        <w:separator/>
      </w:r>
    </w:p>
  </w:endnote>
  <w:endnote w:type="continuationSeparator" w:id="0">
    <w:p w14:paraId="569A713A" w14:textId="77777777" w:rsidR="00E84E49" w:rsidRDefault="00E84E4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2CA4" w14:textId="77777777" w:rsidR="00E84E49" w:rsidRDefault="00E84E49" w:rsidP="00C7623E">
      <w:pPr>
        <w:spacing w:after="0" w:line="240" w:lineRule="auto"/>
      </w:pPr>
      <w:r>
        <w:separator/>
      </w:r>
    </w:p>
  </w:footnote>
  <w:footnote w:type="continuationSeparator" w:id="0">
    <w:p w14:paraId="49A6AE90" w14:textId="77777777" w:rsidR="00E84E49" w:rsidRDefault="00E84E4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44E62"/>
    <w:rsid w:val="00051340"/>
    <w:rsid w:val="00061336"/>
    <w:rsid w:val="0006171E"/>
    <w:rsid w:val="00063EE3"/>
    <w:rsid w:val="00076D6F"/>
    <w:rsid w:val="000B7986"/>
    <w:rsid w:val="000D00DE"/>
    <w:rsid w:val="000D111E"/>
    <w:rsid w:val="000E1E4F"/>
    <w:rsid w:val="000E5818"/>
    <w:rsid w:val="000E5A4B"/>
    <w:rsid w:val="000F1A36"/>
    <w:rsid w:val="000F53DC"/>
    <w:rsid w:val="00130041"/>
    <w:rsid w:val="001466CB"/>
    <w:rsid w:val="001829E6"/>
    <w:rsid w:val="001A1258"/>
    <w:rsid w:val="001C2DE4"/>
    <w:rsid w:val="001F1542"/>
    <w:rsid w:val="001F2DD0"/>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05A6"/>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14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10A0"/>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327F"/>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B7018"/>
    <w:rsid w:val="00BE7EA7"/>
    <w:rsid w:val="00BF6FC9"/>
    <w:rsid w:val="00C01ABC"/>
    <w:rsid w:val="00C0261D"/>
    <w:rsid w:val="00C031D0"/>
    <w:rsid w:val="00C15EBA"/>
    <w:rsid w:val="00C35FD3"/>
    <w:rsid w:val="00C556A2"/>
    <w:rsid w:val="00C70B88"/>
    <w:rsid w:val="00C7623E"/>
    <w:rsid w:val="00C76ACA"/>
    <w:rsid w:val="00C83C83"/>
    <w:rsid w:val="00CA6639"/>
    <w:rsid w:val="00CC39A8"/>
    <w:rsid w:val="00CD776B"/>
    <w:rsid w:val="00CE26B7"/>
    <w:rsid w:val="00CF1E46"/>
    <w:rsid w:val="00D112B6"/>
    <w:rsid w:val="00D62BEB"/>
    <w:rsid w:val="00D751FC"/>
    <w:rsid w:val="00DB704F"/>
    <w:rsid w:val="00DD7962"/>
    <w:rsid w:val="00DE1B43"/>
    <w:rsid w:val="00DE27C1"/>
    <w:rsid w:val="00DE6E25"/>
    <w:rsid w:val="00E042C0"/>
    <w:rsid w:val="00E073EC"/>
    <w:rsid w:val="00E11F08"/>
    <w:rsid w:val="00E431B4"/>
    <w:rsid w:val="00E523DC"/>
    <w:rsid w:val="00E52E07"/>
    <w:rsid w:val="00E54645"/>
    <w:rsid w:val="00E64A62"/>
    <w:rsid w:val="00E778D2"/>
    <w:rsid w:val="00E84E49"/>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5977</Words>
  <Characters>3408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42</cp:revision>
  <dcterms:created xsi:type="dcterms:W3CDTF">2024-01-16T13:20:00Z</dcterms:created>
  <dcterms:modified xsi:type="dcterms:W3CDTF">2026-03-25T12:09:00Z</dcterms:modified>
</cp:coreProperties>
</file>