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900D" w14:textId="77777777" w:rsidR="006A059A" w:rsidRPr="004E5215" w:rsidRDefault="006A059A" w:rsidP="006A059A">
      <w:pPr>
        <w:pStyle w:val="Antrat2"/>
        <w:numPr>
          <w:ilvl w:val="0"/>
          <w:numId w:val="0"/>
        </w:numPr>
        <w:ind w:left="720"/>
        <w:jc w:val="right"/>
        <w:rPr>
          <w:bCs/>
          <w:sz w:val="20"/>
        </w:rPr>
      </w:pPr>
      <w:r w:rsidRPr="004E5215">
        <w:rPr>
          <w:bCs/>
          <w:sz w:val="20"/>
        </w:rPr>
        <w:t xml:space="preserve">Pirkimo sąlygų </w:t>
      </w:r>
    </w:p>
    <w:p w14:paraId="24191E5D" w14:textId="77777777" w:rsidR="006A059A" w:rsidRPr="004E5215" w:rsidRDefault="006A059A" w:rsidP="006A059A">
      <w:pPr>
        <w:pStyle w:val="Antrat2"/>
        <w:numPr>
          <w:ilvl w:val="0"/>
          <w:numId w:val="0"/>
        </w:numPr>
        <w:tabs>
          <w:tab w:val="left" w:pos="7920"/>
        </w:tabs>
        <w:ind w:left="720"/>
        <w:jc w:val="center"/>
        <w:rPr>
          <w:bCs/>
          <w:sz w:val="20"/>
        </w:rPr>
      </w:pPr>
      <w:r w:rsidRPr="004E5215">
        <w:rPr>
          <w:bCs/>
          <w:sz w:val="20"/>
        </w:rPr>
        <w:tab/>
        <w:t xml:space="preserve">2 priedas </w:t>
      </w:r>
    </w:p>
    <w:p w14:paraId="2DAC3750" w14:textId="77777777" w:rsidR="006A059A" w:rsidRDefault="006A059A" w:rsidP="006A059A">
      <w:pPr>
        <w:jc w:val="center"/>
        <w:rPr>
          <w:b/>
          <w:bCs/>
          <w:lang w:val="pt-BR"/>
        </w:rPr>
      </w:pPr>
      <w:r w:rsidRPr="009C1FAC">
        <w:rPr>
          <w:b/>
          <w:bCs/>
          <w:lang w:val="pt-BR"/>
        </w:rPr>
        <w:t>TECHNINĖ SPECIFIKACIJA</w:t>
      </w:r>
    </w:p>
    <w:p w14:paraId="42D2CF5B" w14:textId="77777777" w:rsidR="006A059A" w:rsidRDefault="006A059A" w:rsidP="006A059A">
      <w:pPr>
        <w:jc w:val="both"/>
        <w:rPr>
          <w:b/>
          <w:bCs/>
        </w:rPr>
      </w:pPr>
    </w:p>
    <w:p w14:paraId="76901663" w14:textId="77777777" w:rsidR="00CC0C98" w:rsidRPr="00E2163D" w:rsidRDefault="00CC0C98" w:rsidP="006A059A">
      <w:pPr>
        <w:jc w:val="both"/>
        <w:rPr>
          <w:b/>
          <w:bCs/>
        </w:rPr>
      </w:pPr>
    </w:p>
    <w:p w14:paraId="2C69A0FD" w14:textId="77777777" w:rsidR="006A059A" w:rsidRPr="00684CCA" w:rsidRDefault="006A059A" w:rsidP="006A059A">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560"/>
        </w:tabs>
        <w:ind w:left="0" w:firstLine="720"/>
        <w:jc w:val="both"/>
      </w:pPr>
      <w:r w:rsidRPr="00684CCA">
        <w:rPr>
          <w:b/>
        </w:rPr>
        <w:t>Bendrosios nuostatos.</w:t>
      </w:r>
    </w:p>
    <w:p w14:paraId="6B51D5F6" w14:textId="77777777" w:rsidR="006A059A" w:rsidRPr="00684CCA" w:rsidRDefault="006A059A" w:rsidP="006A059A">
      <w:pPr>
        <w:pStyle w:val="Antrat2"/>
        <w:numPr>
          <w:ilvl w:val="1"/>
          <w:numId w:val="3"/>
        </w:numPr>
        <w:tabs>
          <w:tab w:val="num" w:pos="360"/>
          <w:tab w:val="left" w:pos="1260"/>
          <w:tab w:val="left" w:pos="1560"/>
        </w:tabs>
        <w:ind w:left="0" w:firstLine="720"/>
        <w:rPr>
          <w:szCs w:val="24"/>
        </w:rPr>
      </w:pPr>
      <w:r w:rsidRPr="00684CCA">
        <w:rPr>
          <w:szCs w:val="24"/>
        </w:rPr>
        <w:t>Perkančioji organizacija – Pakruojo rajono savivaldybės administracija (toliau – perkančioji organizacija).</w:t>
      </w:r>
    </w:p>
    <w:p w14:paraId="3D8A2638" w14:textId="77777777" w:rsidR="006A059A" w:rsidRPr="00684CCA" w:rsidRDefault="006A059A" w:rsidP="006A059A">
      <w:pPr>
        <w:pStyle w:val="Antrat2"/>
        <w:numPr>
          <w:ilvl w:val="1"/>
          <w:numId w:val="3"/>
        </w:numPr>
        <w:tabs>
          <w:tab w:val="num" w:pos="360"/>
          <w:tab w:val="left" w:pos="1260"/>
          <w:tab w:val="left" w:pos="1560"/>
        </w:tabs>
        <w:ind w:left="0" w:firstLine="720"/>
        <w:rPr>
          <w:szCs w:val="24"/>
        </w:rPr>
      </w:pPr>
      <w:r w:rsidRPr="00684CCA">
        <w:rPr>
          <w:szCs w:val="24"/>
        </w:rPr>
        <w:t xml:space="preserve">Techninėje specifikacijoje išdėstyti minimalūs pirkimo objektui keliami reikalavimai. </w:t>
      </w:r>
    </w:p>
    <w:p w14:paraId="77E902E3" w14:textId="77777777" w:rsidR="006A059A" w:rsidRPr="00684CCA" w:rsidRDefault="006A059A" w:rsidP="006A059A">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560"/>
        </w:tabs>
        <w:ind w:left="0" w:firstLine="720"/>
        <w:jc w:val="both"/>
      </w:pPr>
      <w:r w:rsidRPr="00684CCA">
        <w:rPr>
          <w:b/>
        </w:rPr>
        <w:t>Pirkimo objekto aprašymas.</w:t>
      </w:r>
    </w:p>
    <w:p w14:paraId="4120C8C8" w14:textId="75B712A5" w:rsidR="006A059A" w:rsidRDefault="006A059A" w:rsidP="006A059A">
      <w:pPr>
        <w:pStyle w:val="Sraopastraipa"/>
        <w:numPr>
          <w:ilvl w:val="1"/>
          <w:numId w:val="1"/>
        </w:numPr>
        <w:tabs>
          <w:tab w:val="left" w:pos="720"/>
          <w:tab w:val="left" w:pos="1260"/>
          <w:tab w:val="left" w:pos="1560"/>
        </w:tabs>
        <w:ind w:left="0" w:firstLine="720"/>
        <w:jc w:val="both"/>
        <w:rPr>
          <w:rFonts w:eastAsia="Calibri"/>
        </w:rPr>
      </w:pPr>
      <w:r w:rsidRPr="00684CCA">
        <w:rPr>
          <w:rFonts w:eastAsia="Calibri"/>
        </w:rPr>
        <w:t>Pirkimo objektas – tikslinių kompensacijų ir kitų socialinių išmokų, (toliau – išmok</w:t>
      </w:r>
      <w:r w:rsidR="00ED0138">
        <w:rPr>
          <w:rFonts w:eastAsia="Calibri"/>
        </w:rPr>
        <w:t>os</w:t>
      </w:r>
      <w:r w:rsidRPr="00684CCA">
        <w:rPr>
          <w:rFonts w:eastAsia="Calibri"/>
        </w:rPr>
        <w:t xml:space="preserve">), kurias Lietuvos Respublikos teisės aktais nustatyta tvarka mokėti ir pristatyti gavėjams privalo Pakruojo rajono savivaldybės administracija, pristatymo į namus ir išmokėjimo ar išmokėjimo </w:t>
      </w:r>
      <w:r>
        <w:rPr>
          <w:rFonts w:eastAsia="Calibri"/>
        </w:rPr>
        <w:t>tiekėjo</w:t>
      </w:r>
      <w:r w:rsidRPr="00684CCA">
        <w:rPr>
          <w:rFonts w:eastAsia="Calibri"/>
        </w:rPr>
        <w:t xml:space="preserve"> įstaigoje Pakruojo rajono gyventojams paslaugos (toliau – Paslaugos). </w:t>
      </w:r>
    </w:p>
    <w:p w14:paraId="21C3867C" w14:textId="77777777" w:rsidR="006A059A" w:rsidRDefault="006A059A" w:rsidP="006A059A">
      <w:pPr>
        <w:pStyle w:val="Sraopastraipa"/>
        <w:numPr>
          <w:ilvl w:val="1"/>
          <w:numId w:val="1"/>
        </w:numPr>
        <w:tabs>
          <w:tab w:val="left" w:pos="720"/>
          <w:tab w:val="left" w:pos="1260"/>
          <w:tab w:val="left" w:pos="1560"/>
        </w:tabs>
        <w:ind w:left="0" w:firstLine="720"/>
        <w:jc w:val="both"/>
        <w:rPr>
          <w:rFonts w:eastAsia="Calibri"/>
        </w:rPr>
      </w:pPr>
      <w:r w:rsidRPr="00684CCA">
        <w:rPr>
          <w:rFonts w:eastAsia="Calibri"/>
        </w:rPr>
        <w:t xml:space="preserve">Preliminarus išmokėtų išmokų skaičius gavėjams – </w:t>
      </w:r>
      <w:r w:rsidRPr="00684CCA">
        <w:rPr>
          <w:rFonts w:eastAsia="Calibri"/>
          <w:b/>
        </w:rPr>
        <w:t>400</w:t>
      </w:r>
      <w:r w:rsidRPr="00684CCA">
        <w:rPr>
          <w:rFonts w:eastAsia="Calibri"/>
        </w:rPr>
        <w:t xml:space="preserve"> per vieną mėnesį.</w:t>
      </w:r>
    </w:p>
    <w:p w14:paraId="650B171D" w14:textId="77777777" w:rsidR="006A059A" w:rsidRDefault="006A059A" w:rsidP="006A059A">
      <w:pPr>
        <w:pStyle w:val="Sraopastraipa"/>
        <w:numPr>
          <w:ilvl w:val="1"/>
          <w:numId w:val="1"/>
        </w:numPr>
        <w:tabs>
          <w:tab w:val="left" w:pos="720"/>
          <w:tab w:val="left" w:pos="1260"/>
          <w:tab w:val="left" w:pos="1560"/>
        </w:tabs>
        <w:ind w:left="0" w:firstLine="720"/>
        <w:jc w:val="both"/>
        <w:rPr>
          <w:rFonts w:eastAsia="Calibri"/>
        </w:rPr>
      </w:pPr>
      <w:r w:rsidRPr="00684CCA">
        <w:rPr>
          <w:rFonts w:eastAsia="Calibri"/>
        </w:rPr>
        <w:t xml:space="preserve">Išmokų skaičius </w:t>
      </w:r>
      <w:r>
        <w:rPr>
          <w:rFonts w:eastAsia="Calibri"/>
        </w:rPr>
        <w:t xml:space="preserve">pirkimo </w:t>
      </w:r>
      <w:r w:rsidRPr="00684CCA">
        <w:rPr>
          <w:rFonts w:eastAsia="Calibri"/>
        </w:rPr>
        <w:t>sutarties vykdymo laikotarpiu gali keistis.</w:t>
      </w:r>
    </w:p>
    <w:p w14:paraId="7582AC18" w14:textId="77777777" w:rsidR="006A059A" w:rsidRPr="00684CCA" w:rsidRDefault="006A059A" w:rsidP="006A059A">
      <w:pPr>
        <w:pStyle w:val="Sraopastraipa"/>
        <w:numPr>
          <w:ilvl w:val="1"/>
          <w:numId w:val="1"/>
        </w:numPr>
        <w:tabs>
          <w:tab w:val="left" w:pos="720"/>
          <w:tab w:val="left" w:pos="1260"/>
          <w:tab w:val="left" w:pos="1560"/>
        </w:tabs>
        <w:ind w:left="0" w:firstLine="720"/>
        <w:jc w:val="both"/>
        <w:rPr>
          <w:rFonts w:eastAsia="Calibri"/>
        </w:rPr>
      </w:pPr>
      <w:r w:rsidRPr="00684CCA">
        <w:rPr>
          <w:rFonts w:eastAsia="Calibri"/>
        </w:rPr>
        <w:t xml:space="preserve">Perkamų </w:t>
      </w:r>
      <w:r>
        <w:rPr>
          <w:rFonts w:eastAsia="Calibri"/>
        </w:rPr>
        <w:t>p</w:t>
      </w:r>
      <w:r w:rsidRPr="00684CCA">
        <w:rPr>
          <w:rFonts w:eastAsia="Calibri"/>
        </w:rPr>
        <w:t xml:space="preserve">aslaugų apibūdinimas: </w:t>
      </w:r>
    </w:p>
    <w:p w14:paraId="3110F886" w14:textId="77777777" w:rsidR="006A059A" w:rsidRDefault="006A059A" w:rsidP="006A059A">
      <w:pPr>
        <w:pStyle w:val="Sraopastraipa"/>
        <w:numPr>
          <w:ilvl w:val="2"/>
          <w:numId w:val="1"/>
        </w:numPr>
        <w:tabs>
          <w:tab w:val="left" w:pos="720"/>
          <w:tab w:val="left" w:pos="1260"/>
          <w:tab w:val="left" w:pos="1560"/>
        </w:tabs>
        <w:ind w:left="0" w:firstLine="720"/>
        <w:jc w:val="both"/>
        <w:rPr>
          <w:rFonts w:eastAsia="Calibri"/>
        </w:rPr>
      </w:pPr>
      <w:r>
        <w:rPr>
          <w:rFonts w:eastAsia="Calibri"/>
        </w:rPr>
        <w:t xml:space="preserve"> </w:t>
      </w:r>
      <w:r w:rsidRPr="00684CCA">
        <w:rPr>
          <w:rFonts w:eastAsia="Calibri"/>
        </w:rPr>
        <w:t xml:space="preserve">kiekvieną mėnesį pagal perkančiosios organizacijos parengtus ir tiekėjui pateiktus elektroninius išmokų duomenis (toliau </w:t>
      </w:r>
      <w:r>
        <w:rPr>
          <w:rFonts w:eastAsia="Calibri"/>
        </w:rPr>
        <w:t>–</w:t>
      </w:r>
      <w:r w:rsidRPr="00684CCA">
        <w:rPr>
          <w:rFonts w:eastAsia="Calibri"/>
        </w:rPr>
        <w:t xml:space="preserve"> duomenys) išmokos pristatomos į namus ir išmokamos išmokų gavėjams ar išmokamos įstaigoje;</w:t>
      </w:r>
    </w:p>
    <w:p w14:paraId="731B046B" w14:textId="77777777" w:rsidR="006A059A" w:rsidRPr="00FB27D2" w:rsidRDefault="006A059A" w:rsidP="006A059A">
      <w:pPr>
        <w:pStyle w:val="Sraopastraipa"/>
        <w:numPr>
          <w:ilvl w:val="2"/>
          <w:numId w:val="1"/>
        </w:numPr>
        <w:tabs>
          <w:tab w:val="left" w:pos="720"/>
          <w:tab w:val="left" w:pos="1260"/>
          <w:tab w:val="left" w:pos="1560"/>
        </w:tabs>
        <w:ind w:left="0" w:firstLine="720"/>
        <w:jc w:val="both"/>
        <w:rPr>
          <w:rFonts w:eastAsia="Calibri"/>
        </w:rPr>
      </w:pPr>
      <w:r>
        <w:rPr>
          <w:rFonts w:eastAsia="Calibri"/>
        </w:rPr>
        <w:t xml:space="preserve"> p</w:t>
      </w:r>
      <w:r w:rsidRPr="00684CCA">
        <w:rPr>
          <w:rFonts w:eastAsia="Calibri"/>
        </w:rPr>
        <w:t xml:space="preserve">aslaugos išmokos gavėjams </w:t>
      </w:r>
      <w:r w:rsidRPr="00FB27D2">
        <w:rPr>
          <w:rFonts w:eastAsia="Calibri"/>
        </w:rPr>
        <w:t xml:space="preserve">teikiamos kiekvieną mėnesį nuo </w:t>
      </w:r>
      <w:r w:rsidRPr="00FB27D2">
        <w:rPr>
          <w:rFonts w:eastAsia="Calibri"/>
          <w:b/>
          <w:bCs/>
        </w:rPr>
        <w:t>10 iki 25 dienos</w:t>
      </w:r>
      <w:r w:rsidRPr="00FB27D2">
        <w:rPr>
          <w:rFonts w:eastAsia="Calibri"/>
        </w:rPr>
        <w:t>. Jei mokėjimo diena sutampa su poilsio diena, išmokos išmokamos artimiausią darbo dieną prieš ar po poilsio dienos;</w:t>
      </w:r>
    </w:p>
    <w:p w14:paraId="6E85719B" w14:textId="77777777" w:rsidR="006A059A" w:rsidRPr="00FB27D2" w:rsidRDefault="006A059A" w:rsidP="006A059A">
      <w:pPr>
        <w:pStyle w:val="Sraopastraipa"/>
        <w:numPr>
          <w:ilvl w:val="2"/>
          <w:numId w:val="1"/>
        </w:numPr>
        <w:tabs>
          <w:tab w:val="left" w:pos="720"/>
          <w:tab w:val="left" w:pos="1260"/>
          <w:tab w:val="left" w:pos="1560"/>
        </w:tabs>
        <w:ind w:left="0" w:firstLine="720"/>
        <w:jc w:val="both"/>
        <w:rPr>
          <w:rFonts w:eastAsia="Calibri"/>
        </w:rPr>
      </w:pPr>
      <w:r w:rsidRPr="00FB27D2">
        <w:rPr>
          <w:rFonts w:eastAsia="Calibri"/>
        </w:rPr>
        <w:t xml:space="preserve"> paslaugos išmokos jų gavėjams teikiamos darbo dienomis paslaugų tiekėjo darbo valandomis;</w:t>
      </w:r>
    </w:p>
    <w:p w14:paraId="0D5E209E" w14:textId="77777777" w:rsidR="00AA07E1" w:rsidRDefault="006A059A" w:rsidP="00AA07E1">
      <w:pPr>
        <w:pStyle w:val="Sraopastraipa"/>
        <w:numPr>
          <w:ilvl w:val="2"/>
          <w:numId w:val="1"/>
        </w:numPr>
        <w:tabs>
          <w:tab w:val="left" w:pos="720"/>
          <w:tab w:val="left" w:pos="1260"/>
          <w:tab w:val="left" w:pos="1560"/>
        </w:tabs>
        <w:ind w:left="0" w:firstLine="720"/>
        <w:jc w:val="both"/>
        <w:rPr>
          <w:rFonts w:eastAsia="Calibri"/>
        </w:rPr>
      </w:pPr>
      <w:r w:rsidRPr="00FB27D2">
        <w:rPr>
          <w:rFonts w:eastAsia="Calibri"/>
        </w:rPr>
        <w:t xml:space="preserve"> duomenys tiekėjui bus pateikiami pagal iš anksto suderintą išmokų duomenų struktūrą ir formatą, einamojo mėnesio duomenis perkančioji organizacija pateikia tiekėjui kiekvieną mėnesį nuo 5 iki 10 dienos, paraleliai</w:t>
      </w:r>
      <w:r w:rsidRPr="00684CCA">
        <w:rPr>
          <w:rFonts w:eastAsia="Calibri"/>
        </w:rPr>
        <w:t xml:space="preserve"> </w:t>
      </w:r>
      <w:r>
        <w:rPr>
          <w:rFonts w:eastAsia="Calibri"/>
        </w:rPr>
        <w:t>p</w:t>
      </w:r>
      <w:r w:rsidRPr="00684CCA">
        <w:rPr>
          <w:rFonts w:eastAsia="Calibri"/>
        </w:rPr>
        <w:t>erkančioji organizacija į tiekėjo nurodytą sąskaitą (banko rekvizitai) perveda lėšas, skirtas išmokoms mokėti;</w:t>
      </w:r>
    </w:p>
    <w:p w14:paraId="72183E55" w14:textId="4C0F989A" w:rsidR="006A059A" w:rsidRPr="00AA07E1" w:rsidRDefault="006A059A" w:rsidP="00AA07E1">
      <w:pPr>
        <w:pStyle w:val="Sraopastraipa"/>
        <w:numPr>
          <w:ilvl w:val="2"/>
          <w:numId w:val="1"/>
        </w:numPr>
        <w:tabs>
          <w:tab w:val="left" w:pos="720"/>
          <w:tab w:val="left" w:pos="1260"/>
          <w:tab w:val="left" w:pos="1560"/>
        </w:tabs>
        <w:ind w:left="0" w:firstLine="720"/>
        <w:jc w:val="both"/>
        <w:rPr>
          <w:rFonts w:eastAsia="Calibri"/>
        </w:rPr>
      </w:pPr>
      <w:r w:rsidRPr="00AA07E1">
        <w:rPr>
          <w:rFonts w:eastAsia="Calibri"/>
        </w:rPr>
        <w:t xml:space="preserve">išmokos išmokamos gavėjui pateikus asmens dokumentą, pasirašant išmokų kvituose, bei nurodant datą, vardą ir pavardę ; </w:t>
      </w:r>
    </w:p>
    <w:p w14:paraId="271C499A" w14:textId="77777777" w:rsidR="006A059A" w:rsidRPr="00560389" w:rsidRDefault="006A059A" w:rsidP="006A059A">
      <w:pPr>
        <w:pStyle w:val="Sraopastraipa"/>
        <w:numPr>
          <w:ilvl w:val="2"/>
          <w:numId w:val="1"/>
        </w:numPr>
        <w:tabs>
          <w:tab w:val="left" w:pos="720"/>
          <w:tab w:val="left" w:pos="1260"/>
          <w:tab w:val="left" w:pos="1560"/>
        </w:tabs>
        <w:ind w:left="0" w:firstLine="720"/>
        <w:jc w:val="both"/>
        <w:rPr>
          <w:rFonts w:eastAsia="Calibri"/>
        </w:rPr>
      </w:pPr>
      <w:r>
        <w:rPr>
          <w:rFonts w:eastAsia="Calibri"/>
        </w:rPr>
        <w:t xml:space="preserve"> </w:t>
      </w:r>
      <w:r w:rsidRPr="00560389">
        <w:rPr>
          <w:rFonts w:eastAsia="Calibri"/>
        </w:rPr>
        <w:t xml:space="preserve">išmokas išmokant išmokų gavėjo globėjui ar įgaliotam asmeniui, šis pateikia savo asmens tapatybę patvirtinantį dokumentą, teismo nutartį arba teisės aktų nustatyta tvarka patvirtintą įgaliojimą; </w:t>
      </w:r>
    </w:p>
    <w:p w14:paraId="03406334" w14:textId="77777777" w:rsidR="006A059A" w:rsidRDefault="006A059A" w:rsidP="006A059A">
      <w:pPr>
        <w:pStyle w:val="Sraopastraipa"/>
        <w:numPr>
          <w:ilvl w:val="2"/>
          <w:numId w:val="1"/>
        </w:numPr>
        <w:tabs>
          <w:tab w:val="left" w:pos="720"/>
          <w:tab w:val="left" w:pos="1260"/>
          <w:tab w:val="left" w:pos="1560"/>
        </w:tabs>
        <w:ind w:left="0" w:firstLine="720"/>
        <w:jc w:val="both"/>
        <w:rPr>
          <w:rFonts w:eastAsia="Calibri"/>
        </w:rPr>
      </w:pPr>
      <w:r w:rsidRPr="00684CCA">
        <w:rPr>
          <w:rFonts w:eastAsia="Calibri"/>
        </w:rPr>
        <w:t xml:space="preserve"> tiekėjas pateikia gavėjų, kuriems nebuvo išmokėtos išmokos, vardinį sąrašą, kuriame nurodo išmokų gavėjo vardą ir pavardę, bylos numerį, neišmokėtas sumas ir neišmokėjimo priežastį;</w:t>
      </w:r>
    </w:p>
    <w:p w14:paraId="582A7597" w14:textId="77777777" w:rsidR="006A059A" w:rsidRDefault="006A059A" w:rsidP="006A059A">
      <w:pPr>
        <w:pStyle w:val="Sraopastraipa"/>
        <w:numPr>
          <w:ilvl w:val="2"/>
          <w:numId w:val="1"/>
        </w:numPr>
        <w:tabs>
          <w:tab w:val="left" w:pos="720"/>
          <w:tab w:val="left" w:pos="1260"/>
          <w:tab w:val="left" w:pos="1560"/>
        </w:tabs>
        <w:ind w:left="0" w:firstLine="720"/>
        <w:jc w:val="both"/>
        <w:rPr>
          <w:rFonts w:eastAsia="Calibri"/>
        </w:rPr>
      </w:pPr>
      <w:r>
        <w:rPr>
          <w:rFonts w:eastAsia="Calibri"/>
        </w:rPr>
        <w:t>p</w:t>
      </w:r>
      <w:r w:rsidRPr="00684CCA">
        <w:rPr>
          <w:rFonts w:eastAsia="Calibri"/>
        </w:rPr>
        <w:t xml:space="preserve">erkančiajai organizacijai iki mėnesio 28 dienos surašius išmokų išmokėjimo suderinimo aktą, kuriame suderinama priskaičiuotos, pervestos, išmokėtos ir neišmokėtos išmokų sumos, tiekėjas grąžina kiekvieną mėnesį neišmokėtą pinigų likutį; </w:t>
      </w:r>
    </w:p>
    <w:p w14:paraId="6FEE086F" w14:textId="77777777" w:rsidR="006A059A" w:rsidRDefault="006A059A" w:rsidP="006A059A">
      <w:pPr>
        <w:pStyle w:val="Sraopastraipa"/>
        <w:numPr>
          <w:ilvl w:val="2"/>
          <w:numId w:val="1"/>
        </w:numPr>
        <w:tabs>
          <w:tab w:val="left" w:pos="720"/>
          <w:tab w:val="left" w:pos="1260"/>
          <w:tab w:val="left" w:pos="1560"/>
        </w:tabs>
        <w:ind w:left="0" w:firstLine="720"/>
        <w:jc w:val="both"/>
        <w:rPr>
          <w:rFonts w:eastAsia="Calibri"/>
        </w:rPr>
      </w:pPr>
      <w:r>
        <w:rPr>
          <w:rFonts w:eastAsia="Calibri"/>
        </w:rPr>
        <w:t xml:space="preserve"> </w:t>
      </w:r>
      <w:r w:rsidRPr="00684CCA">
        <w:rPr>
          <w:rFonts w:eastAsia="Calibri"/>
        </w:rPr>
        <w:t>tiekėjas grąžina perkančiajai organizacijai neišmokėtą pinigų likutį metų pabaigoje iki gruodžio 24 d.;</w:t>
      </w:r>
    </w:p>
    <w:p w14:paraId="19C66E5B" w14:textId="77777777" w:rsidR="006A059A" w:rsidRDefault="006A059A" w:rsidP="006A059A">
      <w:pPr>
        <w:pStyle w:val="Sraopastraipa"/>
        <w:numPr>
          <w:ilvl w:val="2"/>
          <w:numId w:val="1"/>
        </w:numPr>
        <w:tabs>
          <w:tab w:val="left" w:pos="720"/>
          <w:tab w:val="left" w:pos="1260"/>
          <w:tab w:val="left" w:pos="1560"/>
        </w:tabs>
        <w:ind w:left="0" w:firstLine="720"/>
        <w:jc w:val="both"/>
        <w:rPr>
          <w:rFonts w:eastAsia="Calibri"/>
        </w:rPr>
      </w:pPr>
      <w:r w:rsidRPr="00684CCA">
        <w:rPr>
          <w:rFonts w:eastAsia="Calibri"/>
        </w:rPr>
        <w:t>paslaugų teikimo vieta – Pakruojo rajono savivaldybė;</w:t>
      </w:r>
    </w:p>
    <w:p w14:paraId="2D4D54DA" w14:textId="77777777" w:rsidR="006A059A" w:rsidRPr="00684CCA" w:rsidRDefault="006A059A" w:rsidP="006A059A">
      <w:pPr>
        <w:pStyle w:val="Sraopastraipa"/>
        <w:numPr>
          <w:ilvl w:val="1"/>
          <w:numId w:val="1"/>
        </w:numPr>
        <w:tabs>
          <w:tab w:val="left" w:pos="720"/>
          <w:tab w:val="left" w:pos="1260"/>
          <w:tab w:val="left" w:pos="1560"/>
        </w:tabs>
        <w:ind w:left="0" w:firstLine="720"/>
        <w:jc w:val="both"/>
        <w:rPr>
          <w:rFonts w:eastAsia="Calibri"/>
        </w:rPr>
      </w:pPr>
      <w:r w:rsidRPr="00684CCA">
        <w:rPr>
          <w:rFonts w:eastAsia="Calibri"/>
        </w:rPr>
        <w:t>Tiekėjas privalės:</w:t>
      </w:r>
    </w:p>
    <w:p w14:paraId="0ABD060A" w14:textId="77777777" w:rsidR="006A059A" w:rsidRDefault="006A059A" w:rsidP="006A059A">
      <w:pPr>
        <w:pStyle w:val="Sraopastraipa"/>
        <w:numPr>
          <w:ilvl w:val="2"/>
          <w:numId w:val="1"/>
        </w:numPr>
        <w:tabs>
          <w:tab w:val="left" w:pos="720"/>
          <w:tab w:val="left" w:pos="1260"/>
          <w:tab w:val="left" w:pos="1560"/>
        </w:tabs>
        <w:ind w:left="0" w:firstLine="720"/>
        <w:jc w:val="both"/>
        <w:rPr>
          <w:rFonts w:eastAsia="Calibri"/>
        </w:rPr>
      </w:pPr>
      <w:r>
        <w:rPr>
          <w:rFonts w:eastAsia="Calibri"/>
        </w:rPr>
        <w:t xml:space="preserve"> </w:t>
      </w:r>
      <w:r w:rsidRPr="00684CCA">
        <w:rPr>
          <w:rFonts w:eastAsia="Calibri"/>
        </w:rPr>
        <w:t>užtikrinti saugų išmokų pristatymą gavėjams;</w:t>
      </w:r>
    </w:p>
    <w:p w14:paraId="109D751E" w14:textId="77777777" w:rsidR="006A059A" w:rsidRDefault="006A059A" w:rsidP="006A059A">
      <w:pPr>
        <w:pStyle w:val="Sraopastraipa"/>
        <w:numPr>
          <w:ilvl w:val="2"/>
          <w:numId w:val="1"/>
        </w:numPr>
        <w:tabs>
          <w:tab w:val="left" w:pos="720"/>
          <w:tab w:val="left" w:pos="1260"/>
          <w:tab w:val="left" w:pos="1560"/>
        </w:tabs>
        <w:ind w:left="0" w:firstLine="720"/>
        <w:jc w:val="both"/>
        <w:rPr>
          <w:rFonts w:eastAsia="Calibri"/>
        </w:rPr>
      </w:pPr>
      <w:r>
        <w:rPr>
          <w:rFonts w:eastAsia="Calibri"/>
        </w:rPr>
        <w:t xml:space="preserve"> </w:t>
      </w:r>
      <w:r w:rsidRPr="00684CCA">
        <w:rPr>
          <w:rFonts w:eastAsia="Calibri"/>
        </w:rPr>
        <w:t xml:space="preserve">užtikrinti galimybę išmokas gavėjams atsiimti </w:t>
      </w:r>
      <w:r>
        <w:rPr>
          <w:rFonts w:eastAsia="Calibri"/>
        </w:rPr>
        <w:t>tiekėjo</w:t>
      </w:r>
      <w:r w:rsidRPr="00684CCA">
        <w:rPr>
          <w:rFonts w:eastAsia="Calibri"/>
        </w:rPr>
        <w:t xml:space="preserve"> įstaigoje;</w:t>
      </w:r>
    </w:p>
    <w:p w14:paraId="03A2BE51" w14:textId="77777777" w:rsidR="006A059A" w:rsidRDefault="006A059A" w:rsidP="006A059A">
      <w:pPr>
        <w:pStyle w:val="Sraopastraipa"/>
        <w:numPr>
          <w:ilvl w:val="2"/>
          <w:numId w:val="1"/>
        </w:numPr>
        <w:tabs>
          <w:tab w:val="left" w:pos="720"/>
          <w:tab w:val="left" w:pos="1260"/>
          <w:tab w:val="left" w:pos="1560"/>
        </w:tabs>
        <w:ind w:left="0" w:firstLine="720"/>
        <w:jc w:val="both"/>
        <w:rPr>
          <w:rFonts w:eastAsia="Calibri"/>
        </w:rPr>
      </w:pPr>
      <w:r>
        <w:rPr>
          <w:rFonts w:eastAsia="Calibri"/>
        </w:rPr>
        <w:lastRenderedPageBreak/>
        <w:t xml:space="preserve"> </w:t>
      </w:r>
      <w:r w:rsidRPr="00684CCA">
        <w:rPr>
          <w:rFonts w:eastAsia="Calibri"/>
        </w:rPr>
        <w:t>esant ekstremaliai situacijai ir (ar) karantinui užtikrinti saugų ir tinkamą išmokų pristatymą vadovaujantis Lietuvos Respublikos įstatymais, sveikatos apsaugos bei vidaus reikalų ministrų įsakymais;</w:t>
      </w:r>
    </w:p>
    <w:p w14:paraId="156BE8AB" w14:textId="77777777" w:rsidR="006A059A" w:rsidRDefault="006A059A" w:rsidP="006A059A">
      <w:pPr>
        <w:pStyle w:val="Sraopastraipa"/>
        <w:numPr>
          <w:ilvl w:val="2"/>
          <w:numId w:val="1"/>
        </w:numPr>
        <w:tabs>
          <w:tab w:val="left" w:pos="720"/>
          <w:tab w:val="left" w:pos="1260"/>
          <w:tab w:val="left" w:pos="1560"/>
        </w:tabs>
        <w:ind w:left="0" w:firstLine="720"/>
        <w:jc w:val="both"/>
        <w:rPr>
          <w:rFonts w:eastAsia="Calibri"/>
        </w:rPr>
      </w:pPr>
      <w:r>
        <w:rPr>
          <w:rFonts w:eastAsia="Calibri"/>
        </w:rPr>
        <w:t xml:space="preserve"> </w:t>
      </w:r>
      <w:r w:rsidRPr="00684CCA">
        <w:rPr>
          <w:rFonts w:eastAsia="Calibri"/>
        </w:rPr>
        <w:t>užtikrinti išmokų gavėjų duomenų apsaugą;</w:t>
      </w:r>
    </w:p>
    <w:p w14:paraId="67C9A749" w14:textId="77777777" w:rsidR="006A059A" w:rsidRDefault="006A059A" w:rsidP="006A059A">
      <w:pPr>
        <w:pStyle w:val="Sraopastraipa"/>
        <w:numPr>
          <w:ilvl w:val="2"/>
          <w:numId w:val="1"/>
        </w:numPr>
        <w:tabs>
          <w:tab w:val="left" w:pos="720"/>
          <w:tab w:val="left" w:pos="1260"/>
          <w:tab w:val="left" w:pos="1560"/>
        </w:tabs>
        <w:ind w:left="0" w:firstLine="720"/>
        <w:jc w:val="both"/>
        <w:rPr>
          <w:rFonts w:eastAsia="Calibri"/>
        </w:rPr>
      </w:pPr>
      <w:r>
        <w:rPr>
          <w:rFonts w:eastAsia="Calibri"/>
        </w:rPr>
        <w:t xml:space="preserve"> </w:t>
      </w:r>
      <w:r w:rsidRPr="00684CCA">
        <w:rPr>
          <w:rFonts w:eastAsia="Calibri"/>
        </w:rPr>
        <w:t>prisiimti riziką už išmokų praradimą iki jų pristatymo gavėjams;</w:t>
      </w:r>
    </w:p>
    <w:p w14:paraId="3E237A14" w14:textId="77777777" w:rsidR="006A059A" w:rsidRDefault="006A059A" w:rsidP="006A059A">
      <w:pPr>
        <w:pStyle w:val="Sraopastraipa"/>
        <w:numPr>
          <w:ilvl w:val="2"/>
          <w:numId w:val="1"/>
        </w:numPr>
        <w:tabs>
          <w:tab w:val="left" w:pos="720"/>
          <w:tab w:val="left" w:pos="1260"/>
          <w:tab w:val="left" w:pos="1560"/>
        </w:tabs>
        <w:ind w:left="0" w:firstLine="720"/>
        <w:jc w:val="both"/>
        <w:rPr>
          <w:rFonts w:eastAsia="Calibri"/>
        </w:rPr>
      </w:pPr>
      <w:r>
        <w:rPr>
          <w:rFonts w:eastAsia="Calibri"/>
        </w:rPr>
        <w:t xml:space="preserve"> </w:t>
      </w:r>
      <w:r w:rsidRPr="00684CCA">
        <w:rPr>
          <w:rFonts w:eastAsia="Calibri"/>
        </w:rPr>
        <w:t>nuostolius, atsiradusius už išmokų praradimą iki jų pristatymo gavėjams, atlyginti patiems gavėjams per 3 kalendorines dienas nuo jų atsiradimo dienos;</w:t>
      </w:r>
    </w:p>
    <w:p w14:paraId="720F33F2" w14:textId="77777777" w:rsidR="006A059A" w:rsidRDefault="006A059A" w:rsidP="006A059A">
      <w:pPr>
        <w:pStyle w:val="Sraopastraipa"/>
        <w:numPr>
          <w:ilvl w:val="2"/>
          <w:numId w:val="1"/>
        </w:numPr>
        <w:tabs>
          <w:tab w:val="left" w:pos="720"/>
          <w:tab w:val="left" w:pos="1260"/>
          <w:tab w:val="left" w:pos="1560"/>
        </w:tabs>
        <w:ind w:left="0" w:firstLine="720"/>
        <w:jc w:val="both"/>
        <w:rPr>
          <w:rFonts w:eastAsia="Calibri"/>
        </w:rPr>
      </w:pPr>
      <w:r>
        <w:rPr>
          <w:rFonts w:eastAsia="Calibri"/>
        </w:rPr>
        <w:t xml:space="preserve"> </w:t>
      </w:r>
      <w:r w:rsidRPr="00684CCA">
        <w:rPr>
          <w:rFonts w:eastAsia="Calibri"/>
        </w:rPr>
        <w:t xml:space="preserve">nedelsdamas raštu informuoti Pakruojo rajono savivaldybės administraciją apie bet kurias aplinkybes, kurios trukdo ar gali sutrukdyti užbaigti </w:t>
      </w:r>
      <w:r>
        <w:rPr>
          <w:rFonts w:eastAsia="Calibri"/>
        </w:rPr>
        <w:t>p</w:t>
      </w:r>
      <w:r w:rsidRPr="00684CCA">
        <w:rPr>
          <w:rFonts w:eastAsia="Calibri"/>
        </w:rPr>
        <w:t>aslaugų teikimą nustatytais terminais;</w:t>
      </w:r>
    </w:p>
    <w:p w14:paraId="4C48AD38" w14:textId="77777777" w:rsidR="006A059A" w:rsidRPr="00DD503D" w:rsidRDefault="006A059A" w:rsidP="006A059A">
      <w:pPr>
        <w:pStyle w:val="Sraopastraipa"/>
        <w:numPr>
          <w:ilvl w:val="2"/>
          <w:numId w:val="1"/>
        </w:numPr>
        <w:tabs>
          <w:tab w:val="left" w:pos="720"/>
          <w:tab w:val="left" w:pos="1260"/>
          <w:tab w:val="left" w:pos="1560"/>
        </w:tabs>
        <w:ind w:left="0" w:firstLine="720"/>
        <w:jc w:val="both"/>
        <w:rPr>
          <w:rFonts w:eastAsia="Calibri"/>
        </w:rPr>
      </w:pPr>
      <w:r>
        <w:rPr>
          <w:rFonts w:eastAsia="Calibri"/>
        </w:rPr>
        <w:t xml:space="preserve"> </w:t>
      </w:r>
      <w:r w:rsidRPr="00DD503D">
        <w:rPr>
          <w:rFonts w:eastAsia="Calibri"/>
        </w:rPr>
        <w:t>užtikrinti sutarties vykdymo laikotarpiu gautos ir su sutarties vykdymu susijusios informacijos konfidencialumą bei apsaugą;</w:t>
      </w:r>
    </w:p>
    <w:p w14:paraId="1B2A232D" w14:textId="77777777" w:rsidR="006A059A" w:rsidRPr="00684CCA" w:rsidRDefault="006A059A" w:rsidP="006A059A">
      <w:pPr>
        <w:pStyle w:val="Sraopastraipa"/>
        <w:numPr>
          <w:ilvl w:val="2"/>
          <w:numId w:val="1"/>
        </w:numPr>
        <w:tabs>
          <w:tab w:val="left" w:pos="720"/>
          <w:tab w:val="left" w:pos="1260"/>
          <w:tab w:val="left" w:pos="1560"/>
        </w:tabs>
        <w:ind w:left="0" w:firstLine="720"/>
        <w:jc w:val="both"/>
        <w:rPr>
          <w:rFonts w:eastAsia="Calibri"/>
        </w:rPr>
      </w:pPr>
      <w:r>
        <w:rPr>
          <w:rFonts w:eastAsia="Calibri"/>
        </w:rPr>
        <w:t xml:space="preserve"> p</w:t>
      </w:r>
      <w:r w:rsidRPr="00DD503D">
        <w:rPr>
          <w:rFonts w:eastAsia="Calibri"/>
        </w:rPr>
        <w:t>aslaugos tiekėjas savo iniciatyva gali teikti Paslaugos gavėjui derinimui naujus grafikus, taikomus nuo kito paslaugų teikimo mėnesio. Naujai suderintas grafikas taikomas kitą mėnesį teikiamoms paslaugoms. Nepavykus grafiko suderinti iki einamojo mėnesio paskutinės darbo dienos, Tiekėjas turi toliau laikytis Paslaugos gavėjo grafiko. Tiekėjas, savo iniciatyva teikdamas Paslaugos gavėjui derinti grafiką, įsipareigoja nekeisti išmokos mokėjimo datos ilgesniam negu 2 (dviejų) dienų terminui (t. y. siūloma arba 2 (dvejomis) dienomis anksčiau grafike nurodytos išmokos mokėjimo datos, arba 2 (dvejomis) dienomis vėliau grafike nurodytos išmokos mokėjimo datos) lyginant su galiojančiame grafike nurodytais terminais ir privalo prieš mėnesį informuoti išmokos gavėją apie išmokos mokėjimo datos pasikeitimą. Jeigu Tiekėjas nusprendžia išmokos mokėjimo datą galiojančiame grafike keisti ilgesniam negu 2 (dviejų) dienų terminui, Tiekėjas privalo gauti raštišką išmokos gavėjo sutikimą. Paslaugos gavėjui pareikalavus, Tiekėjas turi pateikti įrodymus apie Tiekėjo ir išmokos gavėjo raštu suderintą išmokos pristatymo dienos pakeitimą.</w:t>
      </w:r>
    </w:p>
    <w:p w14:paraId="3A94230E" w14:textId="77777777" w:rsidR="006A059A" w:rsidRPr="00684CCA" w:rsidRDefault="006A059A" w:rsidP="006A059A">
      <w:pPr>
        <w:pStyle w:val="Sraopastraipa"/>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60"/>
          <w:tab w:val="left" w:pos="1560"/>
        </w:tabs>
        <w:autoSpaceDN w:val="0"/>
        <w:snapToGrid w:val="0"/>
        <w:ind w:left="0" w:firstLine="720"/>
        <w:jc w:val="both"/>
        <w:rPr>
          <w:b/>
        </w:rPr>
      </w:pPr>
      <w:r w:rsidRPr="00684CCA">
        <w:rPr>
          <w:b/>
        </w:rPr>
        <w:t>Baigiamosios nuostatos.</w:t>
      </w:r>
    </w:p>
    <w:p w14:paraId="6011A248" w14:textId="5EAA4880" w:rsidR="006A059A" w:rsidRDefault="006A059A" w:rsidP="006A059A">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left" w:pos="709"/>
          <w:tab w:val="left" w:pos="1260"/>
          <w:tab w:val="left" w:pos="1440"/>
          <w:tab w:val="left" w:pos="1560"/>
        </w:tabs>
        <w:ind w:left="0" w:firstLine="720"/>
        <w:jc w:val="both"/>
      </w:pPr>
      <w:r w:rsidRPr="00684CCA">
        <w:t xml:space="preserve">Į </w:t>
      </w:r>
      <w:r w:rsidR="00097BD9">
        <w:t>P</w:t>
      </w:r>
      <w:r>
        <w:t>aslaugų</w:t>
      </w:r>
      <w:r w:rsidRPr="00684CCA">
        <w:t xml:space="preserve"> kainą turi būti įtrauktos visos išlaidos (tame tarpe ir pirkimo sutarties vykdymo išlaidos), visi mokesčiai, atsiskaitymo dokumentų pateikimo sąskaitų administravimo informacin</w:t>
      </w:r>
      <w:r w:rsidR="006B42FB">
        <w:t xml:space="preserve">ėje </w:t>
      </w:r>
      <w:r w:rsidRPr="00684CCA">
        <w:t>sistem</w:t>
      </w:r>
      <w:r w:rsidR="006B42FB">
        <w:t>oje</w:t>
      </w:r>
      <w:r w:rsidRPr="00684CCA">
        <w:t xml:space="preserve"> „SABIS“ kaštai ir PVM</w:t>
      </w:r>
      <w:r>
        <w:t>;</w:t>
      </w:r>
    </w:p>
    <w:p w14:paraId="1F8B87F7" w14:textId="30A9E8E0" w:rsidR="006A059A" w:rsidRPr="00684CCA" w:rsidRDefault="0003710E" w:rsidP="006A059A">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left" w:pos="709"/>
          <w:tab w:val="left" w:pos="1260"/>
          <w:tab w:val="left" w:pos="1440"/>
          <w:tab w:val="left" w:pos="1560"/>
        </w:tabs>
        <w:ind w:left="0" w:firstLine="720"/>
        <w:jc w:val="both"/>
      </w:pPr>
      <w:r>
        <w:t>E</w:t>
      </w:r>
      <w:r w:rsidR="006A059A" w:rsidRPr="00DD503D">
        <w:t xml:space="preserve">sant poreikiui, </w:t>
      </w:r>
      <w:r>
        <w:t>perkančioji organizacija ir paslaugų tiekėjas</w:t>
      </w:r>
      <w:r w:rsidR="006A059A" w:rsidRPr="00DD503D">
        <w:t xml:space="preserve"> gali susitarti dėl elektroninės formos išmokų mokėjimo kvitų naudojimo, nekeičiant </w:t>
      </w:r>
      <w:r>
        <w:t>e</w:t>
      </w:r>
      <w:r w:rsidR="006A059A" w:rsidRPr="00DD503D">
        <w:t xml:space="preserve">sminių sutarties sąlygų ir </w:t>
      </w:r>
      <w:r>
        <w:t>s</w:t>
      </w:r>
      <w:r w:rsidR="006A059A" w:rsidRPr="00DD503D">
        <w:t>utartyje numatyto įkainio</w:t>
      </w:r>
      <w:r w:rsidR="006B42FB">
        <w:t>.</w:t>
      </w:r>
    </w:p>
    <w:p w14:paraId="46EBC01C" w14:textId="77777777" w:rsidR="006A059A" w:rsidRDefault="006A059A" w:rsidP="006A059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left" w:pos="709"/>
          <w:tab w:val="left" w:pos="1260"/>
          <w:tab w:val="left" w:pos="1440"/>
        </w:tabs>
        <w:jc w:val="center"/>
      </w:pPr>
    </w:p>
    <w:p w14:paraId="5D35C08C" w14:textId="77777777" w:rsidR="006A059A" w:rsidRPr="00513275" w:rsidRDefault="006A059A" w:rsidP="006A059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left" w:pos="709"/>
          <w:tab w:val="left" w:pos="1260"/>
          <w:tab w:val="left" w:pos="1440"/>
        </w:tabs>
        <w:jc w:val="center"/>
      </w:pPr>
      <w:r>
        <w:t>_______________</w:t>
      </w:r>
    </w:p>
    <w:p w14:paraId="12EB6A6B" w14:textId="77777777" w:rsidR="00062DFC" w:rsidRDefault="00062DFC"/>
    <w:sectPr w:rsidR="00062DFC" w:rsidSect="00F5471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B7FDD" w14:textId="77777777" w:rsidR="000A3D63" w:rsidRDefault="000A3D63" w:rsidP="00397F13">
      <w:r>
        <w:separator/>
      </w:r>
    </w:p>
  </w:endnote>
  <w:endnote w:type="continuationSeparator" w:id="0">
    <w:p w14:paraId="355E708D" w14:textId="77777777" w:rsidR="000A3D63" w:rsidRDefault="000A3D63" w:rsidP="0039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154770"/>
      <w:docPartObj>
        <w:docPartGallery w:val="Page Numbers (Bottom of Page)"/>
        <w:docPartUnique/>
      </w:docPartObj>
    </w:sdtPr>
    <w:sdtContent>
      <w:p w14:paraId="51543F39" w14:textId="75426029" w:rsidR="00397F13" w:rsidRDefault="00397F13">
        <w:pPr>
          <w:pStyle w:val="Porat"/>
          <w:jc w:val="center"/>
        </w:pPr>
        <w:r>
          <w:fldChar w:fldCharType="begin"/>
        </w:r>
        <w:r>
          <w:instrText>PAGE   \* MERGEFORMAT</w:instrText>
        </w:r>
        <w:r>
          <w:fldChar w:fldCharType="separate"/>
        </w:r>
        <w:r>
          <w:t>2</w:t>
        </w:r>
        <w:r>
          <w:fldChar w:fldCharType="end"/>
        </w:r>
      </w:p>
    </w:sdtContent>
  </w:sdt>
  <w:p w14:paraId="01B5DDEF" w14:textId="77777777" w:rsidR="00397F13" w:rsidRDefault="00397F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D4937" w14:textId="77777777" w:rsidR="000A3D63" w:rsidRDefault="000A3D63" w:rsidP="00397F13">
      <w:r>
        <w:separator/>
      </w:r>
    </w:p>
  </w:footnote>
  <w:footnote w:type="continuationSeparator" w:id="0">
    <w:p w14:paraId="5F6C078C" w14:textId="77777777" w:rsidR="000A3D63" w:rsidRDefault="000A3D63" w:rsidP="00397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3"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4"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646277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9972865">
    <w:abstractNumId w:val="2"/>
  </w:num>
  <w:num w:numId="3" w16cid:durableId="1979647800">
    <w:abstractNumId w:val="1"/>
  </w:num>
  <w:num w:numId="4" w16cid:durableId="914511233">
    <w:abstractNumId w:val="0"/>
  </w:num>
  <w:num w:numId="5" w16cid:durableId="263732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2D"/>
    <w:rsid w:val="00001DEC"/>
    <w:rsid w:val="0003710E"/>
    <w:rsid w:val="00062DFC"/>
    <w:rsid w:val="00097BD9"/>
    <w:rsid w:val="000A3D63"/>
    <w:rsid w:val="002B1B7F"/>
    <w:rsid w:val="00397F13"/>
    <w:rsid w:val="003F6753"/>
    <w:rsid w:val="00494AFF"/>
    <w:rsid w:val="004C5894"/>
    <w:rsid w:val="005D782D"/>
    <w:rsid w:val="00637F76"/>
    <w:rsid w:val="00693EF1"/>
    <w:rsid w:val="006A059A"/>
    <w:rsid w:val="006B42FB"/>
    <w:rsid w:val="008440D8"/>
    <w:rsid w:val="00912C49"/>
    <w:rsid w:val="009373D7"/>
    <w:rsid w:val="00AA07E1"/>
    <w:rsid w:val="00AE7857"/>
    <w:rsid w:val="00BC1EDC"/>
    <w:rsid w:val="00CA46B4"/>
    <w:rsid w:val="00CC0C98"/>
    <w:rsid w:val="00D43E14"/>
    <w:rsid w:val="00E30B51"/>
    <w:rsid w:val="00ED0138"/>
    <w:rsid w:val="00EF0602"/>
    <w:rsid w:val="00F54715"/>
    <w:rsid w:val="00FB2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3C44"/>
  <w15:chartTrackingRefBased/>
  <w15:docId w15:val="{33E73ABD-FA63-4CC2-BAFE-04642829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A059A"/>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Antrat1">
    <w:name w:val="heading 1"/>
    <w:aliases w:val="Appendix"/>
    <w:basedOn w:val="prastasis"/>
    <w:next w:val="prastasis"/>
    <w:link w:val="Antrat1Diagrama"/>
    <w:uiPriority w:val="9"/>
    <w:qFormat/>
    <w:rsid w:val="006A059A"/>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Antrat2">
    <w:name w:val="heading 2"/>
    <w:aliases w:val="Title Header2,Char15,Title Header2 Char"/>
    <w:basedOn w:val="prastasis"/>
    <w:next w:val="prastasis"/>
    <w:link w:val="Antrat2Diagrama"/>
    <w:uiPriority w:val="9"/>
    <w:qFormat/>
    <w:rsid w:val="006A059A"/>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uiPriority w:val="9"/>
    <w:qFormat/>
    <w:rsid w:val="006A059A"/>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qFormat/>
    <w:rsid w:val="006A059A"/>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aliases w:val=" Char12,Char12"/>
    <w:basedOn w:val="prastasis"/>
    <w:next w:val="prastasis"/>
    <w:link w:val="Antrat5Diagrama"/>
    <w:uiPriority w:val="9"/>
    <w:qFormat/>
    <w:rsid w:val="006A059A"/>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uiPriority w:val="9"/>
    <w:qFormat/>
    <w:rsid w:val="006A059A"/>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uiPriority w:val="9"/>
    <w:qFormat/>
    <w:rsid w:val="006A059A"/>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uiPriority w:val="9"/>
    <w:qFormat/>
    <w:rsid w:val="006A059A"/>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uiPriority w:val="9"/>
    <w:qFormat/>
    <w:rsid w:val="006A059A"/>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6A059A"/>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Char15 Diagrama,Title Header2 Char Diagrama"/>
    <w:basedOn w:val="Numatytasispastraiposriftas"/>
    <w:link w:val="Antrat2"/>
    <w:uiPriority w:val="9"/>
    <w:rsid w:val="006A059A"/>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uiPriority w:val="9"/>
    <w:rsid w:val="006A059A"/>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6A059A"/>
    <w:rPr>
      <w:rFonts w:ascii="Times New Roman" w:eastAsia="Times New Roman" w:hAnsi="Times New Roman" w:cs="Times New Roman"/>
      <w:b/>
      <w:kern w:val="0"/>
      <w:sz w:val="44"/>
      <w:szCs w:val="20"/>
      <w14:ligatures w14:val="none"/>
    </w:rPr>
  </w:style>
  <w:style w:type="character" w:customStyle="1" w:styleId="Antrat5Diagrama">
    <w:name w:val="Antraštė 5 Diagrama"/>
    <w:aliases w:val=" Char12 Diagrama,Char12 Diagrama"/>
    <w:basedOn w:val="Numatytasispastraiposriftas"/>
    <w:link w:val="Antrat5"/>
    <w:uiPriority w:val="9"/>
    <w:rsid w:val="006A059A"/>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6A059A"/>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6A059A"/>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6A059A"/>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6A059A"/>
    <w:rPr>
      <w:rFonts w:ascii="Times New Roman" w:eastAsia="Times New Roman" w:hAnsi="Times New Roman" w:cs="Times New Roman"/>
      <w:kern w:val="0"/>
      <w:sz w:val="40"/>
      <w:szCs w:val="20"/>
      <w14:ligatures w14:val="none"/>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6A059A"/>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6A059A"/>
    <w:rPr>
      <w:rFonts w:ascii="Times New Roman" w:eastAsia="Arial Unicode MS" w:hAnsi="Times New Roman" w:cs="Times New Roman"/>
      <w:kern w:val="0"/>
      <w:sz w:val="24"/>
      <w:szCs w:val="24"/>
      <w:bdr w:val="nil"/>
      <w14:ligatures w14:val="none"/>
    </w:rPr>
  </w:style>
  <w:style w:type="paragraph" w:styleId="Antrats">
    <w:name w:val="header"/>
    <w:basedOn w:val="prastasis"/>
    <w:link w:val="AntratsDiagrama"/>
    <w:uiPriority w:val="99"/>
    <w:unhideWhenUsed/>
    <w:rsid w:val="00397F13"/>
    <w:pPr>
      <w:tabs>
        <w:tab w:val="center" w:pos="4513"/>
        <w:tab w:val="right" w:pos="9026"/>
      </w:tabs>
    </w:pPr>
  </w:style>
  <w:style w:type="character" w:customStyle="1" w:styleId="AntratsDiagrama">
    <w:name w:val="Antraštės Diagrama"/>
    <w:basedOn w:val="Numatytasispastraiposriftas"/>
    <w:link w:val="Antrats"/>
    <w:uiPriority w:val="99"/>
    <w:rsid w:val="00397F13"/>
    <w:rPr>
      <w:rFonts w:ascii="Times New Roman" w:eastAsia="Arial Unicode MS" w:hAnsi="Times New Roman" w:cs="Times New Roman"/>
      <w:kern w:val="0"/>
      <w:sz w:val="24"/>
      <w:szCs w:val="24"/>
      <w:bdr w:val="nil"/>
      <w14:ligatures w14:val="none"/>
    </w:rPr>
  </w:style>
  <w:style w:type="paragraph" w:styleId="Porat">
    <w:name w:val="footer"/>
    <w:basedOn w:val="prastasis"/>
    <w:link w:val="PoratDiagrama"/>
    <w:uiPriority w:val="99"/>
    <w:unhideWhenUsed/>
    <w:rsid w:val="00397F13"/>
    <w:pPr>
      <w:tabs>
        <w:tab w:val="center" w:pos="4513"/>
        <w:tab w:val="right" w:pos="9026"/>
      </w:tabs>
    </w:pPr>
  </w:style>
  <w:style w:type="character" w:customStyle="1" w:styleId="PoratDiagrama">
    <w:name w:val="Poraštė Diagrama"/>
    <w:basedOn w:val="Numatytasispastraiposriftas"/>
    <w:link w:val="Porat"/>
    <w:uiPriority w:val="99"/>
    <w:rsid w:val="00397F13"/>
    <w:rPr>
      <w:rFonts w:ascii="Times New Roman" w:eastAsia="Arial Unicode MS" w:hAnsi="Times New Roman" w:cs="Times New Roman"/>
      <w:kern w:val="0"/>
      <w:sz w:val="24"/>
      <w:szCs w:val="24"/>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3219</Words>
  <Characters>1836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 Sav</dc:creator>
  <cp:keywords/>
  <dc:description/>
  <cp:lastModifiedBy>Pak Sav</cp:lastModifiedBy>
  <cp:revision>13</cp:revision>
  <dcterms:created xsi:type="dcterms:W3CDTF">2025-01-07T13:57:00Z</dcterms:created>
  <dcterms:modified xsi:type="dcterms:W3CDTF">2025-01-08T12:05:00Z</dcterms:modified>
</cp:coreProperties>
</file>