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6.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bookmarkStart w:id="2" w:name="_Hlk80274242"/>
            <w:r>
              <w:rPr>
                <w:rFonts w:ascii="Arial Narrow" w:hAnsi="Arial Narrow"/>
                <w:b/>
                <w:caps/>
                <w:color w:val="FFFFFF"/>
                <w:sz w:val="20"/>
                <w:szCs w:val="16"/>
              </w:rPr>
              <w:t xml:space="preserve">1. PIRKIMO OBJEKTAS</w:t>
            </w:r>
          </w:p>
        </w:tc>
      </w:tr>
      <w:bookmarkEnd w:id="2"/>
    </w:tbl>
    <w:p w14:paraId="75645062">
      <w:pPr>
        <w:spacing/>
        <w:jc w:val="left"/>
        <w:rPr>
          <w:rFonts w:ascii="Arial Narrow" w:hAnsi="Arial Narrow"/>
          <w:b/>
          <w:caps/>
        </w:rPr>
      </w:pPr>
    </w:p>
    <w:p w14:paraId="75645063">
      <w:pPr>
        <w:pStyle w:val="Bodytext20"/>
        <w:numPr>
          <w:ilvl w:val="1"/>
          <w:numId w:val="18"/>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Pavadinimas:</w:t>
      </w:r>
    </w:p>
    <w:p w14:paraId="75645064">
      <w:pPr>
        <w:pStyle w:val="Bodytext20"/>
        <w:shd w:val="clear" w:color="auto" w:fill="auto"/>
        <w:tabs>
          <w:tab w:val="left" w:pos="0"/>
        </w:tabs>
        <w:spacing w:line="240" w:lineRule="auto"/>
        <w:ind w:right="55" w:firstLine="0"/>
        <w:jc w:val="both"/>
        <w:rPr>
          <w:rFonts w:ascii="Arial Narrow" w:hAnsi="Arial Narrow"/>
          <w:i w:val="0"/>
          <w:iCs w:val="0"/>
          <w:sz w:val="20"/>
          <w:szCs w:val="20"/>
        </w:rPr>
      </w:pPr>
    </w:p>
    <w:p w14:paraId="75645065">
      <w:pPr>
        <w:spacing/>
        <w:rPr>
          <w:rFonts w:ascii="Arial Narrow" w:hAnsi="Arial Narrow" w:eastAsiaTheme="minorHAnsi" w:cstheme="minorBidi"/>
          <w:b/>
          <w:noProof/>
          <w:sz w:val="20"/>
          <w:szCs w:val="24"/>
        </w:rPr>
      </w:pPr>
      <w:r>
        <w:rPr>
          <w:rFonts w:ascii="Arial Narrow" w:hAnsi="Arial Narrow" w:eastAsiaTheme="minorHAnsi" w:cstheme="minorBidi"/>
          <w:b/>
          <w:noProof/>
          <w:sz w:val="20"/>
          <w:szCs w:val="24"/>
        </w:rPr>
        <w:t xml:space="preserve">Valstybinės reikšmės magistralinio kelio A12 Ryga*–Šiauliai–Tauragė–Kaliningradas* r</w:t>
      </w:r>
      <w:r>
        <w:rPr>
          <w:rFonts w:ascii="Arial Narrow" w:hAnsi="Arial Narrow" w:eastAsiaTheme="minorHAnsi" w:cstheme="minorBidi"/>
          <w:b/>
          <w:noProof/>
          <w:sz w:val="20"/>
          <w:szCs w:val="24"/>
        </w:rPr>
        <w:t xml:space="preserve">uožo nuo 67,256 iki 80,416 km paprastojo remonto aprašo parengimas ir darbų atlikimas.</w:t>
      </w:r>
    </w:p>
    <w:p w14:paraId="75645066">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p w14:paraId="75645067">
      <w:pPr>
        <w:pStyle w:val="Bodytext20"/>
        <w:numPr>
          <w:ilvl w:val="1"/>
          <w:numId w:val="18"/>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Remontuojamo objekto duomenys:</w:t>
      </w:r>
    </w:p>
    <w:p w14:paraId="75645068">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p>
    <w:tbl>
      <w:tblPr>
        <w:tblStyle w:val="Lentelstinklelis1"/>
        <w:tblW w:w="9649"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59"/>
        <w:gridCol w:w="992"/>
        <w:gridCol w:w="992"/>
        <w:gridCol w:w="993"/>
        <w:gridCol w:w="992"/>
        <w:gridCol w:w="1417"/>
        <w:gridCol w:w="1418"/>
        <w:gridCol w:w="1286"/>
      </w:tblGrid>
      <w:tr>
        <w:trPr>
          <w:jc w:val="right"/>
        </w:trPr>
        <w:tc>
          <w:tcPr>
            <w:tcW w:type="dxa" w:w="1559"/>
            <w:tcBorders/>
            <w:shd w:fill="005063" w:color="auto" w:val="clear"/>
            <w:vAlign w:val="center"/>
          </w:tcPr>
          <w:p>
            <w:pPr>
              <w:spacing/>
              <w:jc w:val="center"/>
              <w:rPr>
                <w:rFonts w:ascii="Arial Narrow" w:hAnsi="Arial Narrow" w:eastAsiaTheme="minorHAnsi"/>
                <w:b/>
                <w:bCs/>
                <w:sz w:val="20"/>
                <w:lang w:eastAsia="en-US"/>
              </w:rPr>
            </w:pP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Ruožas</w:t>
            </w:r>
          </w:p>
          <w:p>
            <w:pPr>
              <w:spacing/>
              <w:jc w:val="left"/>
              <w:rPr>
                <w:rFonts w:ascii="Arial Narrow" w:hAnsi="Arial Narrow" w:eastAsiaTheme="minorHAnsi"/>
                <w:b/>
                <w:bCs/>
                <w:sz w:val="20"/>
                <w:lang w:eastAsia="en-US"/>
              </w:rPr>
            </w:pPr>
          </w:p>
        </w:tc>
        <w:tc>
          <w:tcPr>
            <w:tcW w:type="dxa" w:w="1984"/>
            <w:gridSpan w:val="2"/>
            <w:tcBorders/>
            <w:shd w:fill="005063" w:color="auto" w:val="clear"/>
            <w:vAlign w:val="center"/>
          </w:tcPr>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Ruožo pradžios koordinatės</w:t>
            </w: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LKS-94</w:t>
            </w:r>
          </w:p>
        </w:tc>
        <w:tc>
          <w:tcPr>
            <w:tcW w:type="dxa" w:w="1985"/>
            <w:gridSpan w:val="2"/>
            <w:tcBorders/>
            <w:shd w:fill="005063" w:color="auto" w:val="clear"/>
            <w:vAlign w:val="center"/>
          </w:tcPr>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Ruožo pabaigos koordinatės</w:t>
            </w: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LKS-94</w:t>
            </w:r>
          </w:p>
        </w:tc>
        <w:tc>
          <w:tcPr>
            <w:tcW w:type="dxa" w:w="1417"/>
            <w:tcBorders/>
            <w:shd w:fill="005063" w:color="auto" w:val="clear"/>
            <w:vAlign w:val="center"/>
          </w:tcPr>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Vidutinis metinis paros eismo intensyvumas,</w:t>
            </w: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aut./parą</w:t>
            </w:r>
          </w:p>
        </w:tc>
        <w:tc>
          <w:tcPr>
            <w:tcW w:type="dxa" w:w="1418"/>
            <w:tcBorders/>
            <w:shd w:fill="005063" w:color="auto" w:val="clear"/>
            <w:vAlign w:val="center"/>
          </w:tcPr>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Vidutinis metinis sunkiasvorio transporto eismo intensyvumas,</w:t>
            </w: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aut./parą</w:t>
            </w:r>
          </w:p>
        </w:tc>
        <w:tc>
          <w:tcPr>
            <w:tcW w:type="dxa" w:w="1286"/>
            <w:tcBorders/>
            <w:shd w:fill="005063" w:color="auto" w:val="clear"/>
            <w:vAlign w:val="center"/>
          </w:tcPr>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Dangos konstrukcijos</w:t>
            </w:r>
          </w:p>
          <w:p>
            <w:pPr>
              <w:spacing/>
              <w:jc w:val="center"/>
              <w:rPr>
                <w:rFonts w:ascii="Arial Narrow" w:hAnsi="Arial Narrow" w:eastAsiaTheme="minorHAnsi"/>
                <w:b/>
                <w:bCs/>
                <w:sz w:val="20"/>
                <w:lang w:eastAsia="en-US"/>
              </w:rPr>
            </w:pPr>
            <w:r>
              <w:rPr>
                <w:rFonts w:ascii="Arial Narrow" w:hAnsi="Arial Narrow" w:eastAsiaTheme="minorHAnsi"/>
                <w:b/>
                <w:bCs/>
                <w:sz w:val="20"/>
                <w:lang w:eastAsia="en-US"/>
              </w:rPr>
              <w:t xml:space="preserve">klasė</w:t>
            </w:r>
          </w:p>
        </w:tc>
      </w:tr>
      <w:tr>
        <w:trPr>
          <w:jc w:val="right"/>
        </w:trPr>
        <w:tc>
          <w:tcPr>
            <w:tcW w:type="dxa" w:w="1559"/>
            <w:vMerge w:val="restart"/>
            <w:tcBorders/>
            <w:vAlign w:val="center"/>
          </w:tcPr>
          <w:p>
            <w:pPr>
              <w:spacing/>
              <w:ind w:left="-113"/>
              <w:jc w:val="center"/>
              <w:rPr>
                <w:rFonts w:ascii="Arial Narrow" w:hAnsi="Arial Narrow" w:eastAsiaTheme="minorHAnsi"/>
                <w:color w:val="FF0000"/>
                <w:sz w:val="20"/>
                <w:lang w:eastAsia="en-US"/>
              </w:rPr>
            </w:pPr>
            <w:r>
              <w:rPr>
                <w:rFonts w:ascii="Arial Narrow" w:hAnsi="Arial Narrow" w:eastAsiaTheme="minorHAnsi"/>
                <w:color w:val="000000"/>
                <w:sz w:val="20"/>
              </w:rPr>
              <w:t xml:space="preserve">nuo 67,256 iki 80,416 km</w:t>
            </w:r>
          </w:p>
        </w:tc>
        <w:tc>
          <w:tcPr>
            <w:tcW w:type="dxa" w:w="992"/>
            <w:tcBorders/>
            <w:vAlign w:val="center"/>
          </w:tcPr>
          <w:p>
            <w:pPr>
              <w:spacing/>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x</w:t>
            </w:r>
          </w:p>
        </w:tc>
        <w:tc>
          <w:tcPr>
            <w:tcW w:type="dxa" w:w="992"/>
            <w:tcBorders/>
            <w:vAlign w:val="center"/>
          </w:tcPr>
          <w:p>
            <w:pPr>
              <w:spacing/>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y</w:t>
            </w:r>
          </w:p>
        </w:tc>
        <w:tc>
          <w:tcPr>
            <w:tcW w:type="dxa" w:w="993"/>
            <w:tcBorders/>
            <w:vAlign w:val="center"/>
          </w:tcPr>
          <w:p>
            <w:pPr>
              <w:spacing/>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x</w:t>
            </w:r>
          </w:p>
        </w:tc>
        <w:tc>
          <w:tcPr>
            <w:tcW w:type="dxa" w:w="992"/>
            <w:tcBorders/>
            <w:vAlign w:val="center"/>
          </w:tcPr>
          <w:p>
            <w:pPr>
              <w:spacing/>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y</w:t>
            </w:r>
          </w:p>
        </w:tc>
        <w:tc>
          <w:tcPr>
            <w:tcW w:type="dxa" w:w="1417"/>
            <w:vMerge w:val="restart"/>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16432</w:t>
            </w:r>
          </w:p>
        </w:tc>
        <w:tc>
          <w:tcPr>
            <w:tcW w:type="dxa" w:w="1418"/>
            <w:vMerge w:val="restart"/>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1271</w:t>
            </w:r>
          </w:p>
        </w:tc>
        <w:tc>
          <w:tcPr>
            <w:tcW w:type="dxa" w:w="1286"/>
            <w:vMerge w:val="restart"/>
            <w:tcBorders/>
            <w:vAlign w:val="center"/>
          </w:tcPr>
          <w:p>
            <w:pPr>
              <w:spacing/>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  DK 32</w:t>
            </w:r>
          </w:p>
        </w:tc>
      </w:tr>
      <w:tr>
        <w:trPr>
          <w:jc w:val="right"/>
        </w:trPr>
        <w:tc>
          <w:tcPr>
            <w:tcW w:type="dxa" w:w="1559"/>
            <w:vMerge w:val="continue"/>
            <w:tcBorders/>
            <w:vAlign w:val="center"/>
          </w:tcPr>
          <w:p>
            <w:pPr>
              <w:spacing/>
              <w:ind w:left="-113" w:right="-113"/>
              <w:jc w:val="center"/>
              <w:rPr>
                <w:rFonts w:ascii="Arial Narrow" w:hAnsi="Arial Narrow" w:eastAsiaTheme="minorHAnsi"/>
                <w:color w:val="FF0000"/>
                <w:sz w:val="20"/>
                <w:lang w:eastAsia="en-US"/>
              </w:rPr>
            </w:pPr>
          </w:p>
        </w:tc>
        <w:tc>
          <w:tcPr>
            <w:tcW w:type="dxa" w:w="992"/>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6191388</w:t>
            </w:r>
          </w:p>
        </w:tc>
        <w:tc>
          <w:tcPr>
            <w:tcW w:type="dxa" w:w="992"/>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446484</w:t>
            </w:r>
          </w:p>
        </w:tc>
        <w:tc>
          <w:tcPr>
            <w:tcW w:type="dxa" w:w="993"/>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 6181200</w:t>
            </w:r>
          </w:p>
        </w:tc>
        <w:tc>
          <w:tcPr>
            <w:tcW w:type="dxa" w:w="992"/>
            <w:tcBorders/>
            <w:vAlign w:val="center"/>
          </w:tcPr>
          <w:p>
            <w:pPr>
              <w:spacing/>
              <w:ind w:left="-113" w:right="-113"/>
              <w:jc w:val="center"/>
              <w:rPr>
                <w:rFonts w:ascii="Arial Narrow" w:hAnsi="Arial Narrow" w:eastAsiaTheme="minorHAnsi"/>
                <w:color w:val="000000"/>
                <w:sz w:val="20"/>
                <w:lang w:eastAsia="en-US"/>
              </w:rPr>
            </w:pPr>
            <w:r>
              <w:rPr>
                <w:rFonts w:ascii="Arial Narrow" w:hAnsi="Arial Narrow" w:eastAsiaTheme="minorHAnsi"/>
                <w:color w:val="000000"/>
                <w:sz w:val="20"/>
                <w:lang w:eastAsia="en-US"/>
              </w:rPr>
              <w:t xml:space="preserve">438389</w:t>
            </w:r>
          </w:p>
        </w:tc>
        <w:tc>
          <w:tcPr>
            <w:tcW w:type="dxa" w:w="1417"/>
            <w:vMerge w:val="continue"/>
            <w:tcBorders/>
            <w:vAlign w:val="center"/>
          </w:tcPr>
          <w:p>
            <w:pPr>
              <w:spacing/>
              <w:jc w:val="left"/>
              <w:rPr>
                <w:color w:val="000000"/>
                <w:sz w:val="22"/>
                <w:szCs w:val="22"/>
              </w:rPr>
            </w:pPr>
          </w:p>
        </w:tc>
        <w:tc>
          <w:tcPr>
            <w:tcW w:type="dxa" w:w="1418"/>
            <w:vMerge w:val="continue"/>
            <w:tcBorders/>
            <w:vAlign w:val="center"/>
          </w:tcPr>
          <w:p>
            <w:pPr>
              <w:spacing/>
              <w:jc w:val="left"/>
              <w:rPr>
                <w:color w:val="000000"/>
                <w:sz w:val="22"/>
                <w:szCs w:val="22"/>
              </w:rPr>
            </w:pPr>
          </w:p>
        </w:tc>
        <w:tc>
          <w:tcPr>
            <w:tcW w:type="dxa" w:w="1286"/>
            <w:vMerge w:val="continue"/>
            <w:tcBorders/>
            <w:vAlign w:val="center"/>
          </w:tcPr>
          <w:p>
            <w:pPr>
              <w:spacing/>
              <w:jc w:val="left"/>
              <w:rPr>
                <w:color w:val="000000"/>
                <w:sz w:val="22"/>
                <w:szCs w:val="22"/>
              </w:rPr>
            </w:pPr>
          </w:p>
        </w:tc>
      </w:tr>
    </w:tbl>
    <w:p w14:paraId="75645089">
      <w:pPr>
        <w:pStyle w:val="Bodytext20"/>
        <w:shd w:val="clear" w:color="auto" w:fill="auto"/>
        <w:tabs>
          <w:tab w:val="left" w:pos="0"/>
        </w:tabs>
        <w:spacing w:line="240" w:lineRule="auto"/>
        <w:ind w:left="360" w:right="55" w:firstLine="0"/>
        <w:jc w:val="both"/>
        <w:rPr>
          <w:rFonts w:ascii="Arial Narrow" w:hAnsi="Arial Narrow"/>
          <w:i w:val="0"/>
          <w:iCs w:val="0"/>
          <w:color w:val="FF0000"/>
          <w:sz w:val="20"/>
          <w:szCs w:val="20"/>
        </w:rPr>
      </w:pPr>
    </w:p>
    <w:p w14:paraId="7564508A">
      <w:pPr>
        <w:pStyle w:val="Bodytext20"/>
        <w:shd w:val="clear" w:color="auto" w:fill="auto"/>
        <w:tabs>
          <w:tab w:val="left" w:pos="0"/>
        </w:tabs>
        <w:spacing w:line="240" w:lineRule="auto"/>
        <w:ind w:left="360" w:right="55" w:firstLine="0"/>
        <w:jc w:val="both"/>
        <w:rPr>
          <w:rFonts w:ascii="Arial Narrow" w:hAnsi="Arial Narrow"/>
          <w:i w:val="0"/>
          <w:iCs w:val="0"/>
          <w:sz w:val="20"/>
          <w:szCs w:val="20"/>
        </w:rPr>
      </w:pPr>
      <w:r>
        <w:rPr>
          <w:rFonts w:ascii="Arial Narrow" w:hAnsi="Arial Narrow"/>
          <w:i w:val="0"/>
          <w:iCs w:val="0"/>
          <w:sz w:val="20"/>
          <w:szCs w:val="20"/>
        </w:rPr>
        <w:t xml:space="preserve">Pastaba: Objekto pradžia ir pabaiga tikslinama aprašo rengimo metu.</w:t>
      </w:r>
    </w:p>
    <w:p w14:paraId="7564508B">
      <w:pPr>
        <w:spacing/>
        <w:jc w:val="left"/>
        <w:rPr>
          <w:rFonts w:ascii="Arial Narrow" w:hAnsi="Arial Narrow"/>
          <w:b/>
          <w:caps/>
        </w:rPr>
      </w:pP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2. BENDROJI INFORMACIJA</w:t>
            </w:r>
          </w:p>
        </w:tc>
      </w:tr>
    </w:tbl>
    <w:p w14:paraId="7564508E">
      <w:pPr>
        <w:spacing/>
        <w:jc w:val="left"/>
        <w:rPr>
          <w:rFonts w:ascii="Arial Narrow" w:hAnsi="Arial Narrow"/>
          <w:b/>
          <w:caps/>
        </w:rPr>
      </w:pPr>
    </w:p>
    <w:p w14:paraId="7564508F">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BVPŽ kodas: 45233220-7, 71320000-7</w:t>
      </w:r>
    </w:p>
    <w:p w14:paraId="75645090">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Statytojas:  AB „Via Lietuva“</w:t>
      </w:r>
    </w:p>
    <w:p w14:paraId="75645091">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Užsakovas:  AB „Via Lietuva“</w:t>
      </w:r>
    </w:p>
    <w:p w14:paraId="75645092">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Statybos rūšis:  Paprastasis remontas</w:t>
      </w:r>
    </w:p>
    <w:p w14:paraId="75645093">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Statinio kategorija:  Ypatingasis statinys</w:t>
      </w:r>
    </w:p>
    <w:p w14:paraId="75645094">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Inžinerinių statinių grupė:  Susisiekimo komunikacijos, kiti inžineriniai statiniai</w:t>
      </w:r>
    </w:p>
    <w:p w14:paraId="75645095">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Inžinerinių statinių pogrupis: keliai, kiti transporto statiniai</w:t>
      </w:r>
    </w:p>
    <w:p w14:paraId="75645096">
      <w:pPr>
        <w:pStyle w:val="Bodytext20"/>
        <w:numPr>
          <w:ilvl w:val="1"/>
          <w:numId w:val="2"/>
        </w:numPr>
        <w:shd w:val="clear" w:color="auto" w:fill="auto"/>
        <w:tabs>
          <w:tab w:val="left" w:pos="0"/>
        </w:tabs>
        <w:spacing w:line="240" w:lineRule="auto"/>
        <w:ind w:right="55"/>
        <w:jc w:val="both"/>
        <w:rPr>
          <w:rFonts w:ascii="Arial Narrow" w:hAnsi="Arial Narrow"/>
          <w:i w:val="0"/>
          <w:iCs w:val="0"/>
          <w:color w:val="000000"/>
          <w:sz w:val="20"/>
          <w:szCs w:val="20"/>
        </w:rPr>
      </w:pPr>
      <w:r>
        <w:rPr>
          <w:rFonts w:ascii="Arial Narrow" w:hAnsi="Arial Narrow"/>
          <w:i w:val="0"/>
          <w:iCs w:val="0"/>
          <w:sz w:val="20"/>
          <w:szCs w:val="20"/>
        </w:rPr>
        <w:t xml:space="preserve">Sklypo Nr.: </w:t>
      </w:r>
      <w:r>
        <w:rPr>
          <w:rFonts w:ascii="Arial Narrow" w:hAnsi="Arial Narrow"/>
          <w:i w:val="0"/>
          <w:iCs w:val="0"/>
          <w:color w:val="000000"/>
          <w:sz w:val="20"/>
          <w:szCs w:val="20"/>
        </w:rPr>
        <w:t xml:space="preserve">4400-1524-7200, 4400-1523-4945, 4400-1484-5460</w:t>
      </w:r>
    </w:p>
    <w:p w14:paraId="75645097">
      <w:pPr>
        <w:pStyle w:val="Bodytext20"/>
        <w:numPr>
          <w:ilvl w:val="1"/>
          <w:numId w:val="2"/>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Statinio Nr.</w:t>
      </w:r>
      <w:r>
        <w:rPr>
          <w:rFonts w:ascii="Arial Narrow" w:hAnsi="Arial Narrow"/>
          <w:i w:val="0"/>
          <w:iCs w:val="0"/>
          <w:color w:val="000000"/>
          <w:sz w:val="20"/>
          <w:szCs w:val="20"/>
        </w:rPr>
        <w:t xml:space="preserve">: 4400-1256-4174, 4400-1084-6236</w:t>
      </w:r>
    </w:p>
    <w:p w14:paraId="75645098">
      <w:pPr>
        <w:pStyle w:val="Bodytext20"/>
        <w:numPr>
          <w:ilvl w:val="1"/>
          <w:numId w:val="2"/>
        </w:numPr>
        <w:shd w:val="clear" w:color="auto" w:fill="auto"/>
        <w:tabs>
          <w:tab w:val="left" w:pos="426"/>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Darbų atlikimo tvarka:</w:t>
      </w:r>
    </w:p>
    <w:p w14:paraId="75645099">
      <w:pPr>
        <w:pStyle w:val="Bodytext20"/>
        <w:numPr>
          <w:ilvl w:val="2"/>
          <w:numId w:val="2"/>
        </w:numPr>
        <w:shd w:val="clear" w:color="auto" w:fill="auto"/>
        <w:tabs>
          <w:tab w:val="left" w:pos="0"/>
        </w:tabs>
        <w:spacing w:line="240" w:lineRule="auto"/>
        <w:ind w:left="567" w:right="55" w:hanging="567"/>
        <w:jc w:val="both"/>
        <w:rPr>
          <w:rFonts w:ascii="Arial Narrow" w:hAnsi="Arial Narrow"/>
          <w:i w:val="0"/>
          <w:iCs w:val="0"/>
          <w:sz w:val="20"/>
          <w:szCs w:val="20"/>
        </w:rPr>
      </w:pPr>
      <w:r>
        <w:rPr>
          <w:rFonts w:ascii="Arial Narrow" w:hAnsi="Arial Narrow"/>
          <w:i w:val="0"/>
          <w:iCs w:val="0"/>
          <w:sz w:val="20"/>
          <w:szCs w:val="20"/>
        </w:rPr>
        <w:t xml:space="preserve">Paprastojo remonto aprašo (toliau – Aprašas) parengimas ir pataisymas pagal Užsakovo pastabas;</w:t>
      </w:r>
    </w:p>
    <w:p w14:paraId="7564509A">
      <w:pPr>
        <w:pStyle w:val="Bodytext20"/>
        <w:numPr>
          <w:ilvl w:val="2"/>
          <w:numId w:val="2"/>
        </w:numPr>
        <w:shd w:val="clear" w:color="auto" w:fill="auto"/>
        <w:tabs>
          <w:tab w:val="left" w:pos="0"/>
        </w:tabs>
        <w:spacing w:line="240" w:lineRule="auto"/>
        <w:ind w:left="567" w:right="55" w:hanging="567"/>
        <w:jc w:val="both"/>
        <w:rPr>
          <w:rFonts w:ascii="Arial Narrow" w:hAnsi="Arial Narrow"/>
          <w:i w:val="0"/>
          <w:iCs w:val="0"/>
          <w:sz w:val="20"/>
          <w:szCs w:val="20"/>
        </w:rPr>
      </w:pPr>
      <w:r>
        <w:rPr>
          <w:rFonts w:ascii="Arial Narrow" w:hAnsi="Arial Narrow"/>
          <w:i w:val="0"/>
          <w:iCs w:val="0"/>
          <w:sz w:val="20"/>
          <w:szCs w:val="20"/>
        </w:rPr>
        <w:t xml:space="preserve">Statinio paprastojo remonto darbų atlikimas pagal Užsakovo patvirtintą Aprašą.</w:t>
      </w:r>
    </w:p>
    <w:p w14:paraId="7564509B">
      <w:pPr>
        <w:spacing/>
        <w:jc w:val="left"/>
        <w:rPr>
          <w:rFonts w:ascii="Arial Narrow" w:hAnsi="Arial Narrow"/>
          <w:b/>
          <w:caps/>
        </w:rPr>
      </w:pP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3. PAPRASTOJO REMONTO APRAŠO PARENGIMAS</w:t>
            </w:r>
          </w:p>
        </w:tc>
      </w:tr>
    </w:tbl>
    <w:p w14:paraId="7564509E">
      <w:pPr>
        <w:spacing/>
        <w:jc w:val="left"/>
        <w:rPr>
          <w:rFonts w:ascii="Arial Narrow" w:hAnsi="Arial Narrow"/>
          <w:b/>
          <w:caps/>
        </w:rPr>
      </w:pPr>
    </w:p>
    <w:p w14:paraId="7564509F">
      <w:pPr>
        <w:pStyle w:val="Sraopastraipa"/>
        <w:numPr>
          <w:ilvl w:val="1"/>
          <w:numId w:val="9"/>
        </w:numPr>
        <w:tabs>
          <w:tab w:val="left" w:pos="284"/>
        </w:tabs>
        <w:suppressAutoHyphens/>
        <w:spacing/>
        <w:ind w:left="567" w:hanging="567"/>
        <w:jc w:val="both"/>
        <w:rPr>
          <w:rFonts w:ascii="Arial Nova" w:hAnsi="Arial Nova" w:eastAsia="Arial Nova" w:cs="Arial Nova"/>
          <w:b/>
          <w:bCs/>
          <w:noProof/>
        </w:rPr>
      </w:pPr>
      <w:r>
        <w:rPr>
          <w:rFonts w:ascii="Arial Nova" w:hAnsi="Arial Nova" w:eastAsia="Arial Nova" w:cs="Arial Nova"/>
          <w:b/>
          <w:bCs/>
        </w:rPr>
        <w:t xml:space="preserve">Teisės aktai ir normatyviniai dokumentai, kuriais privalu vadovautis:</w:t>
      </w:r>
    </w:p>
    <w:p w14:paraId="756450A0">
      <w:pPr>
        <w:pStyle w:val="Sraopastraipa"/>
        <w:numPr>
          <w:ilvl w:val="2"/>
          <w:numId w:val="9"/>
        </w:numPr>
        <w:tabs>
          <w:tab w:val="left" w:pos="567"/>
        </w:tabs>
        <w:suppressAutoHyphens/>
        <w:spacing/>
        <w:ind w:left="0" w:firstLine="0"/>
        <w:jc w:val="both"/>
        <w:rPr>
          <w:rFonts w:ascii="Arial Nova" w:hAnsi="Arial Nova" w:eastAsia="Arial Nova" w:cs="Arial Nova"/>
          <w:noProof/>
        </w:rPr>
      </w:pPr>
      <w:r>
        <w:rPr>
          <w:rFonts w:ascii="Arial Nova" w:hAnsi="Arial Nova" w:eastAsia="Arial Nova" w:cs="Arial Nova"/>
        </w:rPr>
        <w:t xml:space="preserve">Lietuvos Respublikos Statybos įstatymu, statybos techniniais reglamentais, higienos normomis, poįstatyminiais teisės aktais;</w:t>
      </w:r>
    </w:p>
    <w:p w14:paraId="756450A1">
      <w:pPr>
        <w:pStyle w:val="Sraopastraipa"/>
        <w:numPr>
          <w:ilvl w:val="2"/>
          <w:numId w:val="9"/>
        </w:numPr>
        <w:tabs>
          <w:tab w:val="left" w:pos="567"/>
        </w:tabs>
        <w:spacing/>
        <w:ind w:left="0" w:firstLine="0"/>
        <w:jc w:val="both"/>
        <w:rPr>
          <w:rFonts w:ascii="Arial Nova" w:hAnsi="Arial Nova" w:eastAsia="Arial Nova" w:cs="Arial Nova"/>
          <w:noProof/>
        </w:rPr>
      </w:pPr>
      <w:r>
        <w:rPr>
          <w:rFonts w:ascii="Arial Nova" w:hAnsi="Arial Nova" w:eastAsia="Arial Nova" w:cs="Arial Nova"/>
          <w:noProof/>
        </w:rPr>
        <w:t xml:space="preserve">kitais galiojančiais įstatymais, teisės aktais, statybos techniniais reglamentais ir kitais normatyviniais statybos techniniais dokumentais, įskaitant, bet neapsiribojant, nurodytais Užsakovo interneto svetainėje adresu </w:t>
      </w:r>
      <w:r>
        <w:rPr/>
        <w:fldChar w:fldCharType="begin"/>
      </w:r>
      <w:r>
        <w:rPr/>
        <w:instrText xml:space="preserve">HYPERLINK "https://vialietuva.lt/normatyviniai-dokumentai" </w:instrText>
      </w:r>
      <w:r>
        <w:rPr/>
        <w:fldChar w:fldCharType="separate"/>
      </w:r>
      <w:r>
        <w:rPr>
          <w:rStyle w:val="Hipersaitas"/>
          <w:rFonts w:ascii="Arial Nova" w:hAnsi="Arial Nova" w:eastAsia="Arial Nova" w:cs="Arial Nova"/>
          <w:noProof/>
        </w:rPr>
        <w:t xml:space="preserve">https://vialietuva.lt/normatyviniai-dokumentai</w:t>
      </w:r>
      <w:r>
        <w:rPr/>
        <w:fldChar w:fldCharType="end"/>
      </w:r>
      <w:r>
        <w:rPr>
          <w:rFonts w:ascii="Arial Nova" w:hAnsi="Arial Nova" w:eastAsia="Arial Nova" w:cs="Arial Nova"/>
          <w:noProof/>
        </w:rPr>
        <w:t xml:space="preserve">.</w:t>
      </w:r>
    </w:p>
    <w:p w14:paraId="756450A2">
      <w:pPr>
        <w:pStyle w:val="Sraopastraipa"/>
        <w:tabs>
          <w:tab w:val="left" w:pos="567"/>
        </w:tabs>
        <w:spacing/>
        <w:ind w:left="0"/>
        <w:jc w:val="both"/>
        <w:rPr>
          <w:rFonts w:ascii="Arial Nova" w:hAnsi="Arial Nova" w:eastAsia="Arial Nova" w:cs="Arial Nova"/>
          <w:noProof/>
        </w:rPr>
      </w:pPr>
    </w:p>
    <w:p w14:paraId="756450A3">
      <w:pPr>
        <w:pStyle w:val="Sraopastraipa"/>
        <w:numPr>
          <w:ilvl w:val="1"/>
          <w:numId w:val="9"/>
        </w:numPr>
        <w:spacing w:line="259" w:lineRule="auto"/>
        <w:ind w:left="567" w:hanging="567"/>
        <w:jc w:val="both"/>
        <w:rPr>
          <w:rFonts w:ascii="Arial Nova" w:hAnsi="Arial Nova" w:eastAsia="Arial Nova" w:cs="Arial Nova"/>
          <w:b/>
          <w:bCs/>
        </w:rPr>
      </w:pPr>
      <w:r>
        <w:rPr>
          <w:rFonts w:ascii="Arial Nova" w:hAnsi="Arial Nova" w:eastAsia="Arial Nova" w:cs="Arial Nova"/>
          <w:b/>
          <w:bCs/>
        </w:rPr>
        <w:t xml:space="preserve">Tyrinėjimai</w:t>
      </w:r>
    </w:p>
    <w:p w14:paraId="756450A4">
      <w:pPr>
        <w:pStyle w:val="Sraopastraipa"/>
        <w:spacing/>
        <w:ind w:left="0"/>
        <w:jc w:val="both"/>
        <w:rPr>
          <w:rFonts w:ascii="Arial Nova" w:hAnsi="Arial Nova" w:eastAsia="Arial Nova" w:cs="Arial Nova"/>
          <w:noProof/>
        </w:rPr>
      </w:pPr>
      <w:r>
        <w:rPr>
          <w:rFonts w:ascii="Arial Nova" w:hAnsi="Arial Nova" w:eastAsia="Arial Nova" w:cs="Arial Nova"/>
          <w:noProof/>
        </w:rPr>
        <w:t xml:space="preserve">Tiekėjas privalo atlikti visus reikiamus inžinerinius tyrinėjimus (vizualinės apžiūros, kelio ir kelio statinių geometriniai ir kt.), reikalingus Aprašui parengti bei paprastojo remonto darbams atlikti, kurie nurodyti Techninės specifikacijos 4 punkte. Visų inžinerinių tyrinėjimų ataskaitos pateikiamos Užsakovui, kaip Aprašo dalis. </w:t>
      </w:r>
    </w:p>
    <w:p w14:paraId="756450A5">
      <w:pPr>
        <w:pStyle w:val="Sraopastraipa"/>
        <w:spacing/>
        <w:ind w:left="0"/>
        <w:jc w:val="both"/>
        <w:rPr>
          <w:rFonts w:ascii="Arial Nova" w:hAnsi="Arial Nova" w:eastAsia="Arial Nova" w:cs="Arial Nova"/>
          <w:noProof/>
        </w:rPr>
      </w:pPr>
      <w:r>
        <w:rPr>
          <w:rFonts w:ascii="Arial Nova" w:hAnsi="Arial Nova" w:eastAsia="Arial Nova" w:cs="Arial Nova"/>
          <w:noProof/>
        </w:rPr>
        <w:t xml:space="preserve">Pastaba: Tiekėjui nėra privalomo reikalavimo atlikti geologinius tyrinėjimus, dėl šių tyrinėjimų reikalingumo Tiekėjas sprendžia savo nuožiūra. </w:t>
      </w:r>
    </w:p>
    <w:p w14:paraId="756450A6">
      <w:pPr>
        <w:pStyle w:val="Sraopastraipa"/>
        <w:spacing/>
        <w:ind w:left="0"/>
        <w:jc w:val="both"/>
        <w:rPr>
          <w:rFonts w:ascii="Arial Nova" w:hAnsi="Arial Nova" w:eastAsia="Arial Nova" w:cs="Arial Nova"/>
        </w:rPr>
      </w:pPr>
    </w:p>
    <w:p w14:paraId="756450A7">
      <w:pPr>
        <w:pStyle w:val="Sraopastraipa"/>
        <w:numPr>
          <w:ilvl w:val="1"/>
          <w:numId w:val="9"/>
        </w:numPr>
        <w:tabs>
          <w:tab w:val="left" w:pos="284"/>
        </w:tabs>
        <w:spacing w:line="259" w:lineRule="auto"/>
        <w:ind w:left="567" w:hanging="567"/>
        <w:jc w:val="both"/>
        <w:rPr>
          <w:rFonts w:ascii="Arial Nova" w:hAnsi="Arial Nova" w:eastAsia="Arial Nova" w:cs="Arial Nova"/>
          <w:b/>
          <w:bCs/>
          <w:noProof/>
        </w:rPr>
      </w:pPr>
      <w:r>
        <w:rPr>
          <w:rFonts w:ascii="Arial Nova" w:hAnsi="Arial Nova" w:eastAsia="Arial Nova" w:cs="Arial Nova"/>
          <w:b/>
          <w:bCs/>
          <w:noProof/>
        </w:rPr>
        <w:t xml:space="preserve">Bendrieji Aprašo parengimo reikalavimai</w:t>
      </w:r>
    </w:p>
    <w:p w14:paraId="756450A8">
      <w:pPr>
        <w:pStyle w:val="Sraopastraipa"/>
        <w:numPr>
          <w:ilvl w:val="2"/>
          <w:numId w:val="9"/>
        </w:numPr>
        <w:tabs>
          <w:tab w:val="left" w:pos="426"/>
        </w:tabs>
        <w:suppressAutoHyphens/>
        <w:spacing/>
        <w:ind w:left="0" w:firstLine="0"/>
        <w:jc w:val="both"/>
        <w:rPr>
          <w:rFonts w:ascii="Arial Nova" w:hAnsi="Arial Nova" w:eastAsia="Arial Nova" w:cs="Arial Nova"/>
          <w:noProof/>
        </w:rPr>
      </w:pPr>
      <w:r>
        <w:rPr>
          <w:rFonts w:ascii="Arial Nova" w:hAnsi="Arial Nova" w:eastAsia="Arial Nova" w:cs="Arial Nova"/>
          <w:noProof/>
        </w:rPr>
        <w:t xml:space="preserve">Aprašo sudėtis turi atitikti STR1.04.04:2017 „Statinio projektavimas, projekto ekspertizė“ reikalavimus. Aprašo sudėtyje privaloma pateikti sąnaudų žiniaraščius. Projektuotojas taip pat turi parengti įkainotą standartizuotą darbų kiekių žiniaraštį (SDKŽ), atitinkantį Aprašo sprendinius.</w:t>
      </w:r>
      <w:r>
        <w:rPr>
          <w:rFonts w:ascii="Arial Nova" w:hAnsi="Arial Nova" w:eastAsia="Arial Nova" w:cs="Arial Nova"/>
        </w:rPr>
        <w:t xml:space="preserve"> Žiniaraščiai rengiami pagal pridedamas formas.</w:t>
      </w:r>
    </w:p>
    <w:p w14:paraId="756450A9">
      <w:pPr>
        <w:pStyle w:val="Sraopastraipa"/>
        <w:numPr>
          <w:ilvl w:val="2"/>
          <w:numId w:val="9"/>
        </w:numPr>
        <w:tabs>
          <w:tab w:val="left" w:pos="426"/>
        </w:tabs>
        <w:suppressAutoHyphens/>
        <w:spacing/>
        <w:ind w:left="0" w:firstLine="0"/>
        <w:jc w:val="both"/>
        <w:rPr>
          <w:rFonts w:ascii="Arial Nova" w:hAnsi="Arial Nova" w:eastAsia="Arial Nova" w:cs="Arial Nova"/>
          <w:noProof/>
        </w:rPr>
      </w:pPr>
      <w:r>
        <w:rPr>
          <w:rFonts w:ascii="Arial Nova" w:hAnsi="Arial Nova" w:eastAsia="Arial Nova" w:cs="Arial Nova"/>
        </w:rPr>
        <w:t xml:space="preserve">Sutartyje nustatytais terminais ir tvarka parengtą ir suderintą Aprašą skaitmenine forma (tekstinius dokumentus *.</w:t>
      </w:r>
      <w:r>
        <w:rPr>
          <w:rFonts w:ascii="Arial Nova" w:hAnsi="Arial Nova" w:eastAsia="Arial Nova" w:cs="Arial Nova"/>
          <w:i/>
          <w:iCs/>
        </w:rPr>
        <w:t xml:space="preserve">doc</w:t>
      </w:r>
      <w:r>
        <w:rPr>
          <w:rFonts w:ascii="Arial Nova" w:hAnsi="Arial Nova" w:eastAsia="Arial Nova" w:cs="Arial Nova"/>
          <w:i/>
          <w:iCs/>
        </w:rPr>
        <w:t xml:space="preserve">,</w:t>
      </w:r>
      <w:r>
        <w:rPr>
          <w:rFonts w:ascii="Arial Nova" w:hAnsi="Arial Nova" w:eastAsia="Arial Nova" w:cs="Arial Nova"/>
        </w:rPr>
        <w:t xml:space="preserve"> *.</w:t>
      </w:r>
      <w:r>
        <w:rPr>
          <w:rFonts w:ascii="Arial Nova" w:hAnsi="Arial Nova" w:eastAsia="Arial Nova" w:cs="Arial Nova"/>
          <w:i/>
          <w:iCs/>
        </w:rPr>
        <w:t xml:space="preserve">pdf</w:t>
      </w:r>
      <w:r>
        <w:rPr>
          <w:rFonts w:ascii="Arial Nova" w:hAnsi="Arial Nova" w:eastAsia="Arial Nova" w:cs="Arial Nova"/>
        </w:rPr>
        <w:t xml:space="preserve"> ir brėžinius *.</w:t>
      </w:r>
      <w:r>
        <w:rPr>
          <w:rFonts w:ascii="Arial Nova" w:hAnsi="Arial Nova" w:eastAsia="Arial Nova" w:cs="Arial Nova"/>
          <w:i/>
          <w:iCs/>
        </w:rPr>
        <w:t xml:space="preserve">pdf</w:t>
      </w:r>
      <w:r>
        <w:rPr>
          <w:rFonts w:ascii="Arial Nova" w:hAnsi="Arial Nova" w:eastAsia="Arial Nova" w:cs="Arial Nova"/>
          <w:i/>
          <w:iCs/>
        </w:rPr>
        <w:t xml:space="preserve">, *.</w:t>
      </w:r>
      <w:r>
        <w:rPr>
          <w:rFonts w:ascii="Arial Nova" w:hAnsi="Arial Nova" w:eastAsia="Arial Nova" w:cs="Arial Nova"/>
          <w:i/>
          <w:iCs/>
        </w:rPr>
        <w:t xml:space="preserve">dwg</w:t>
      </w:r>
      <w:r>
        <w:rPr>
          <w:rFonts w:ascii="Arial Nova" w:hAnsi="Arial Nova" w:eastAsia="Arial Nova" w:cs="Arial Nova"/>
        </w:rPr>
        <w:t xml:space="preserve"> formatu (su elektroniniais parašais)) perduoti Statytojui (Užsakovui). Kiekvienas atskiras dokumentas turi turėti konkretų dokumento paskirtį ir esmę atitinkantį pavadinimą. Statinio Aprašo dokumentai turi būti įforminti vadovaujantis LST 1516.</w:t>
      </w:r>
    </w:p>
    <w:p w14:paraId="756450AA">
      <w:pPr>
        <w:pStyle w:val="Sraopastraipa"/>
        <w:numPr>
          <w:ilvl w:val="2"/>
          <w:numId w:val="9"/>
        </w:numPr>
        <w:tabs>
          <w:tab w:val="left" w:pos="426"/>
        </w:tabs>
        <w:suppressAutoHyphens/>
        <w:spacing/>
        <w:ind w:left="0" w:firstLine="0"/>
        <w:jc w:val="both"/>
        <w:rPr>
          <w:rFonts w:ascii="Arial Nova" w:hAnsi="Arial Nova" w:eastAsia="Arial Nova" w:cs="Arial Nova"/>
          <w:noProof/>
        </w:rPr>
      </w:pPr>
      <w:r>
        <w:rPr>
          <w:rFonts w:ascii="Arial Nova" w:hAnsi="Arial Nova" w:eastAsia="Arial Nova" w:cs="Arial Nova"/>
          <w:noProof/>
        </w:rPr>
        <w:t xml:space="preserve">Tuo atveju, jeigu remontuojant objektą išaiškėja, kad reikia koreguoti Aprašą (ne dėl Užsakovo pageidavimo, kuris nebuvo įvardintas pirkimo dokumentuose) visi su tuo susiję kaštai padengiami Tiekėjo sąskaita. Tiekėjo parengto Aprašo trūkumų šalinimas remonto metu papildomai nebus apmokamas.</w:t>
      </w:r>
    </w:p>
    <w:p w14:paraId="756450AB">
      <w:pPr>
        <w:pStyle w:val="Sraopastraipa"/>
        <w:numPr>
          <w:ilvl w:val="2"/>
          <w:numId w:val="9"/>
        </w:numPr>
        <w:tabs>
          <w:tab w:val="left" w:pos="426"/>
        </w:tabs>
        <w:suppressAutoHyphens/>
        <w:spacing/>
        <w:ind w:left="0" w:firstLine="0"/>
        <w:jc w:val="both"/>
        <w:rPr>
          <w:rFonts w:ascii="Arial Nova" w:hAnsi="Arial Nova" w:eastAsia="Arial Nova" w:cs="Arial Nova"/>
          <w:noProof/>
        </w:rPr>
      </w:pPr>
      <w:r>
        <w:rPr>
          <w:rFonts w:ascii="Arial Nova" w:hAnsi="Arial Nova" w:eastAsia="Arial Nova" w:cs="Arial Nova"/>
          <w:noProof/>
        </w:rPr>
        <w:t xml:space="preserve">Apraše turi būti numatyti minimalūs aplinkos apsaugos kriterijai kelio elementams, išvardytiems </w:t>
      </w:r>
      <w:r>
        <w:rPr>
          <w:rFonts w:ascii="Arial Nova" w:hAnsi="Arial Nova" w:eastAsia="Arial Nova" w:cs="Arial Nova"/>
          <w:i/>
          <w:iCs/>
          <w:noProof/>
        </w:rPr>
        <w:t xml:space="preserve">Aplinkos apsaugos kriterijų taikymo, vykdant žaliuosius pirkimus</w:t>
      </w:r>
      <w:r>
        <w:rPr>
          <w:rFonts w:ascii="Arial Nova" w:hAnsi="Arial Nova" w:eastAsia="Arial Nova" w:cs="Arial Nova"/>
          <w:noProof/>
        </w:rPr>
        <w:t xml:space="preserve"> tvarkos aprašo 2 priedo XVII skyriuje „Kelių projektavimo paslaugos ir statybos darbai, kelio elementai“.</w:t>
      </w:r>
    </w:p>
    <w:p w14:paraId="756450AC">
      <w:pPr>
        <w:pStyle w:val="Sraopastraipa"/>
        <w:numPr>
          <w:ilvl w:val="2"/>
          <w:numId w:val="9"/>
        </w:numPr>
        <w:tabs>
          <w:tab w:val="left" w:pos="426"/>
        </w:tabs>
        <w:suppressAutoHyphens/>
        <w:spacing/>
        <w:ind w:left="0" w:firstLine="0"/>
        <w:jc w:val="both"/>
        <w:rPr>
          <w:rFonts w:ascii="Arial Nova" w:hAnsi="Arial Nova" w:eastAsia="Arial Nova" w:cs="Arial Nova"/>
          <w:noProof/>
        </w:rPr>
      </w:pPr>
      <w:r>
        <w:rPr>
          <w:rFonts w:ascii="Arial Nova" w:hAnsi="Arial Nova" w:eastAsia="Arial Nova" w:cs="Arial Nova"/>
          <w:noProof/>
        </w:rPr>
        <w:t xml:space="preserve">Apraše turi būti pateikiama (neapsiribojant vien tik šia informacija): aiškinamasis raštas, techninės specifikacijos, dangų plano brėžinys (M1:500) ant topografinio arba ortofoto pagrindo, kelio dangos konstrukcijų brėžinys (įskaitant reikalingus kitų kelio elemento konstrukcinius brėžinius/detales), išilginio profilio brėžinys, eismo organizavimo sprendiniai (brėžinyje turi būti nurodyti projektuojami ir esami kelio ženklai, jų pastatymo vietos, horizontalusis ženklinimas ir kt), viaduko/tilto bendro vaizd</w:t>
      </w:r>
      <w:r>
        <w:rPr>
          <w:rFonts w:ascii="Arial Nova" w:hAnsi="Arial Nova" w:eastAsia="Arial Nova" w:cs="Arial Nova"/>
          <w:noProof/>
        </w:rPr>
        <w:t xml:space="preserve">o brėžinys, viaduko/tilto planas, </w:t>
      </w:r>
      <w:r>
        <w:rPr>
          <w:rFonts w:ascii="Arial Nova" w:hAnsi="Arial Nova" w:eastAsia="Arial Nova" w:cs="Arial Nova"/>
        </w:rPr>
        <w:t xml:space="preserve">skersinis pjūvis (-</w:t>
      </w:r>
      <w:r>
        <w:rPr>
          <w:rFonts w:ascii="Arial Nova" w:hAnsi="Arial Nova" w:eastAsia="Arial Nova" w:cs="Arial Nova"/>
        </w:rPr>
        <w:t xml:space="preserve">iai</w:t>
      </w:r>
      <w:r>
        <w:rPr>
          <w:rFonts w:ascii="Arial Nova" w:hAnsi="Arial Nova" w:eastAsia="Arial Nova" w:cs="Arial Nova"/>
        </w:rPr>
        <w:t xml:space="preserve">)</w:t>
      </w:r>
      <w:r>
        <w:rPr>
          <w:rFonts w:ascii="Arial Nova" w:hAnsi="Arial Nova" w:eastAsia="Arial Nova" w:cs="Arial Nova"/>
          <w:noProof/>
        </w:rPr>
        <w:t xml:space="preserve">, viaduko/tilto konstrukcijų remonto sprendiniai, nustatytų statinio konstrukcijų elementų pažaidų aprašymas ir fotofiksacija.</w:t>
      </w:r>
    </w:p>
    <w:p w14:paraId="756450AD">
      <w:pPr>
        <w:pStyle w:val="Sraopastraipa"/>
        <w:numPr>
          <w:ilvl w:val="2"/>
          <w:numId w:val="9"/>
        </w:numPr>
        <w:tabs>
          <w:tab w:val="left" w:pos="426"/>
        </w:tabs>
        <w:spacing/>
        <w:ind w:left="0" w:firstLine="0"/>
        <w:rPr>
          <w:rFonts w:ascii="Arial Nova" w:hAnsi="Arial Nova" w:eastAsia="Arial Nova" w:cs="Arial Nova"/>
          <w:noProof/>
        </w:rPr>
      </w:pPr>
      <w:r>
        <w:rPr>
          <w:rFonts w:ascii="Arial Nova" w:hAnsi="Arial Nova" w:eastAsia="Arial Nova" w:cs="Arial Nova"/>
          <w:noProof/>
        </w:rPr>
        <w:t xml:space="preserve">parengti projektinius sprendinius nepažeidžiant esamo statinio (žemės sklypo) ribų.</w:t>
      </w:r>
    </w:p>
    <w:p w14:paraId="756450AE">
      <w:pPr>
        <w:pStyle w:val="Sraopastraipa"/>
        <w:tabs>
          <w:tab w:val="left" w:pos="426"/>
        </w:tabs>
        <w:spacing/>
        <w:ind w:left="0"/>
        <w:rPr>
          <w:rFonts w:ascii="Arial Nova" w:hAnsi="Arial Nova" w:eastAsia="Arial Nova" w:cs="Arial Nova"/>
          <w:noProof/>
        </w:rPr>
      </w:pPr>
    </w:p>
    <w:p w14:paraId="756450AF">
      <w:pPr>
        <w:pStyle w:val="Sraopastraipa"/>
        <w:numPr>
          <w:ilvl w:val="1"/>
          <w:numId w:val="9"/>
        </w:numPr>
        <w:tabs>
          <w:tab w:val="left" w:pos="284"/>
        </w:tabs>
        <w:spacing w:line="259" w:lineRule="auto"/>
        <w:ind w:left="567" w:hanging="567"/>
        <w:jc w:val="both"/>
        <w:rPr>
          <w:rFonts w:ascii="Arial Nova" w:hAnsi="Arial Nova" w:eastAsia="Arial Nova" w:cs="Arial Nova"/>
          <w:b/>
          <w:bCs/>
          <w:noProof/>
        </w:rPr>
      </w:pPr>
      <w:r>
        <w:rPr>
          <w:rFonts w:ascii="Arial Nova" w:hAnsi="Arial Nova" w:eastAsia="Arial Nova" w:cs="Arial Nova"/>
          <w:b/>
          <w:bCs/>
          <w:noProof/>
        </w:rPr>
        <w:t xml:space="preserve">Aprašo parengimo etapai, tvarka, terminai</w:t>
      </w:r>
    </w:p>
    <w:p w14:paraId="756450B0">
      <w:pPr>
        <w:pStyle w:val="Sraopastraipa"/>
        <w:numPr>
          <w:ilvl w:val="2"/>
          <w:numId w:val="9"/>
        </w:numPr>
        <w:tabs>
          <w:tab w:val="left" w:pos="426"/>
        </w:tabs>
        <w:spacing/>
        <w:ind w:left="0" w:firstLine="0"/>
        <w:rPr>
          <w:rFonts w:ascii="Arial Nova" w:hAnsi="Arial Nova" w:eastAsia="Arial Nova" w:cs="Arial Nova"/>
          <w:noProof/>
        </w:rPr>
      </w:pPr>
      <w:r>
        <w:rPr>
          <w:rFonts w:ascii="Arial Nova" w:hAnsi="Arial Nova" w:eastAsia="Arial Nova" w:cs="Arial Nova"/>
          <w:noProof/>
        </w:rPr>
        <w:t xml:space="preserve">Aprašo parengimas ir pateikimas Užsakovo peržiūrai. Terminai:</w:t>
      </w:r>
    </w:p>
    <w:tbl>
      <w:tblPr>
        <w:tblW w:w="9073" w:type="dxa"/>
        <w:tblInd w:w="-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153"/>
        <w:gridCol w:w="1979"/>
        <w:gridCol w:w="1941"/>
      </w:tblGrid>
      <w:tr>
        <w:trPr>
          <w:trHeight w:val="556" w:hRule="atLeast"/>
        </w:trPr>
        <w:tc>
          <w:tcPr>
            <w:tcW w:type="dxa" w:w="5153"/>
            <w:tcBorders>
              <w:top w:val="single" w:color="auto" w:sz="4" w:space="0"/>
              <w:left w:val="single" w:color="auto" w:sz="4" w:space="0"/>
              <w:bottom w:val="single" w:color="auto" w:sz="4" w:space="0"/>
              <w:right w:val="single" w:color="auto" w:sz="4" w:space="0"/>
            </w:tcBorders>
            <w:shd w:fill="005063" w:color="auto" w:val="clear"/>
            <w:hideMark/>
            <w:vAlign w:val="center"/>
          </w:tcPr>
          <w:p>
            <w:pPr>
              <w:pStyle w:val="Sraopastraipa"/>
              <w:tabs>
                <w:tab w:val="left" w:pos="426"/>
              </w:tabs>
              <w:spacing/>
              <w:ind w:left="0"/>
              <w:jc w:val="center"/>
              <w:rPr>
                <w:rFonts w:ascii="Arial Nova" w:hAnsi="Arial Nova" w:eastAsia="Arial Nova" w:cs="Arial Nova"/>
                <w:b/>
                <w:bCs/>
                <w:noProof/>
              </w:rPr>
            </w:pPr>
            <w:r>
              <w:rPr>
                <w:rFonts w:ascii="Arial Nova" w:hAnsi="Arial Nova" w:eastAsia="Arial Nova" w:cs="Arial Nova"/>
                <w:b/>
                <w:bCs/>
                <w:noProof/>
              </w:rPr>
              <w:t xml:space="preserve">Veiksmas</w:t>
            </w:r>
          </w:p>
        </w:tc>
        <w:tc>
          <w:tcPr>
            <w:tcW w:type="dxa" w:w="1979"/>
            <w:tcBorders>
              <w:top w:val="single" w:color="auto" w:sz="4" w:space="0"/>
              <w:left w:val="single" w:color="auto" w:sz="4" w:space="0"/>
              <w:bottom w:val="single" w:color="auto" w:sz="4" w:space="0"/>
              <w:right w:val="single" w:color="auto" w:sz="4" w:space="0"/>
            </w:tcBorders>
            <w:shd w:fill="005063" w:color="auto" w:val="clear"/>
            <w:hideMark/>
            <w:vAlign w:val="center"/>
          </w:tcPr>
          <w:p>
            <w:pPr>
              <w:pStyle w:val="Sraopastraipa"/>
              <w:tabs>
                <w:tab w:val="left" w:pos="426"/>
              </w:tabs>
              <w:spacing/>
              <w:ind w:left="0"/>
              <w:jc w:val="center"/>
              <w:rPr>
                <w:rFonts w:ascii="Arial Nova" w:hAnsi="Arial Nova" w:eastAsia="Arial Nova" w:cs="Arial Nova"/>
                <w:b/>
                <w:bCs/>
                <w:noProof/>
              </w:rPr>
            </w:pPr>
            <w:r>
              <w:rPr>
                <w:rFonts w:ascii="Arial Nova" w:hAnsi="Arial Nova" w:eastAsia="Arial Nova" w:cs="Arial Nova"/>
                <w:b/>
                <w:bCs/>
                <w:noProof/>
              </w:rPr>
              <w:t xml:space="preserve">Darbo dienų skaičius, max</w:t>
            </w:r>
          </w:p>
        </w:tc>
        <w:tc>
          <w:tcPr>
            <w:tcW w:type="dxa" w:w="1941"/>
            <w:tcBorders>
              <w:top w:val="single" w:color="auto" w:sz="4" w:space="0"/>
              <w:left w:val="single" w:color="auto" w:sz="4" w:space="0"/>
              <w:bottom w:val="single" w:color="auto" w:sz="4" w:space="0"/>
              <w:right w:val="single" w:color="auto" w:sz="4" w:space="0"/>
            </w:tcBorders>
            <w:shd w:fill="005063" w:color="auto" w:val="clear"/>
            <w:hideMark/>
            <w:vAlign w:val="center"/>
          </w:tcPr>
          <w:p>
            <w:pPr>
              <w:pStyle w:val="Sraopastraipa"/>
              <w:tabs>
                <w:tab w:val="left" w:pos="426"/>
              </w:tabs>
              <w:spacing/>
              <w:ind w:left="0"/>
              <w:jc w:val="center"/>
              <w:rPr>
                <w:rFonts w:ascii="Arial Nova" w:hAnsi="Arial Nova" w:eastAsia="Arial Nova" w:cs="Arial Nova"/>
                <w:b/>
                <w:bCs/>
                <w:noProof/>
              </w:rPr>
            </w:pPr>
            <w:r>
              <w:rPr>
                <w:rFonts w:ascii="Arial Nova" w:hAnsi="Arial Nova" w:eastAsia="Arial Nova" w:cs="Arial Nova"/>
                <w:b/>
                <w:bCs/>
                <w:noProof/>
              </w:rPr>
              <w:t xml:space="preserve">Pastabos</w:t>
            </w:r>
          </w:p>
        </w:tc>
      </w:tr>
      <w:tr>
        <w:trPr>
          <w:trHeight w:val="300" w:hRule="atLeast"/>
        </w:trPr>
        <w:tc>
          <w:tcPr>
            <w:tcW w:type="dxa" w:w="5153"/>
            <w:tcBorders>
              <w:top w:val="single" w:color="auto" w:sz="4" w:space="0"/>
              <w:left w:val="single" w:color="auto" w:sz="4" w:space="0"/>
              <w:bottom w:val="single" w:color="auto" w:sz="4" w:space="0"/>
              <w:right w:val="single" w:color="auto" w:sz="4" w:space="0"/>
            </w:tcBorders>
            <w:hideMark/>
            <w:vAlign w:val="center"/>
          </w:tcPr>
          <w:p>
            <w:pPr>
              <w:pStyle w:val="Sraopastraipa"/>
              <w:numPr>
                <w:ilvl w:val="0"/>
                <w:numId w:val="27"/>
              </w:numPr>
              <w:tabs>
                <w:tab w:val="left" w:pos="426"/>
              </w:tabs>
              <w:spacing/>
              <w:rPr>
                <w:rFonts w:ascii="Arial Nova" w:hAnsi="Arial Nova" w:eastAsia="Arial Nova" w:cs="Arial Nova"/>
                <w:noProof/>
              </w:rPr>
            </w:pPr>
            <w:r>
              <w:rPr>
                <w:rFonts w:ascii="Arial Nova" w:hAnsi="Arial Nova" w:eastAsia="Arial Nova" w:cs="Arial Nova"/>
                <w:noProof/>
              </w:rPr>
              <w:t xml:space="preserve">Užsakovas peržiūri pateiktą Aprašą ir pateikia pastabas</w:t>
            </w:r>
          </w:p>
        </w:tc>
        <w:tc>
          <w:tcPr>
            <w:tcW w:type="dxa" w:w="1979"/>
            <w:tcBorders>
              <w:top w:val="single" w:color="auto" w:sz="4" w:space="0"/>
              <w:left w:val="single" w:color="auto" w:sz="4" w:space="0"/>
              <w:bottom w:val="single" w:color="auto" w:sz="4" w:space="0"/>
              <w:right w:val="single" w:color="auto" w:sz="4" w:space="0"/>
            </w:tcBorders>
            <w:hideMark/>
            <w:vAlign w:val="center"/>
          </w:tcPr>
          <w:p>
            <w:pPr>
              <w:pStyle w:val="Sraopastraipa"/>
              <w:tabs>
                <w:tab w:val="left" w:pos="426"/>
              </w:tabs>
              <w:spacing/>
              <w:ind w:left="0"/>
              <w:jc w:val="center"/>
              <w:rPr>
                <w:rFonts w:ascii="Arial Nova" w:hAnsi="Arial Nova" w:eastAsia="Arial Nova" w:cs="Arial Nova"/>
                <w:noProof/>
              </w:rPr>
            </w:pPr>
            <w:r>
              <w:rPr>
                <w:rFonts w:ascii="Arial Nova" w:hAnsi="Arial Nova" w:eastAsia="Arial Nova" w:cs="Arial Nova"/>
                <w:noProof/>
              </w:rPr>
              <w:t xml:space="preserve">7</w:t>
            </w:r>
          </w:p>
        </w:tc>
        <w:tc>
          <w:tcPr>
            <w:tcW w:type="dxa" w:w="1941"/>
            <w:tcBorders>
              <w:top w:val="single" w:color="auto" w:sz="4" w:space="0"/>
              <w:left w:val="single" w:color="auto" w:sz="4" w:space="0"/>
              <w:bottom w:val="single" w:color="auto" w:sz="4" w:space="0"/>
              <w:right w:val="single" w:color="auto" w:sz="4" w:space="0"/>
            </w:tcBorders>
            <w:hideMark/>
          </w:tcPr>
          <w:p>
            <w:pPr>
              <w:pStyle w:val="Sraopastraipa"/>
              <w:tabs>
                <w:tab w:val="left" w:pos="426"/>
              </w:tabs>
              <w:spacing/>
              <w:ind w:left="0"/>
              <w:rPr>
                <w:rFonts w:ascii="Arial Nova" w:hAnsi="Arial Nova" w:eastAsia="Arial Nova" w:cs="Arial Nova"/>
                <w:noProof/>
              </w:rPr>
            </w:pPr>
            <w:r>
              <w:rPr>
                <w:rFonts w:ascii="Arial Nova" w:hAnsi="Arial Nova" w:eastAsia="Arial Nova" w:cs="Arial Nova"/>
                <w:noProof/>
              </w:rPr>
              <w:t xml:space="preserve"> </w:t>
            </w:r>
          </w:p>
        </w:tc>
      </w:tr>
      <w:tr>
        <w:trPr>
          <w:trHeight w:val="300" w:hRule="atLeast"/>
        </w:trPr>
        <w:tc>
          <w:tcPr>
            <w:tcW w:type="dxa" w:w="5153"/>
            <w:tcBorders>
              <w:top w:val="single" w:color="auto" w:sz="4" w:space="0"/>
              <w:left w:val="single" w:color="auto" w:sz="4" w:space="0"/>
              <w:bottom w:val="single" w:color="auto" w:sz="4" w:space="0"/>
              <w:right w:val="single" w:color="auto" w:sz="4" w:space="0"/>
            </w:tcBorders>
            <w:hideMark/>
          </w:tcPr>
          <w:p>
            <w:pPr>
              <w:pStyle w:val="Sraopastraipa"/>
              <w:numPr>
                <w:ilvl w:val="0"/>
                <w:numId w:val="23"/>
              </w:numPr>
              <w:tabs>
                <w:tab w:val="left" w:pos="426"/>
              </w:tabs>
              <w:spacing/>
              <w:rPr>
                <w:rFonts w:ascii="Arial Nova" w:hAnsi="Arial Nova" w:eastAsia="Arial Nova" w:cs="Arial Nova"/>
                <w:noProof/>
              </w:rPr>
            </w:pPr>
            <w:r>
              <w:rPr>
                <w:rFonts w:ascii="Arial Nova" w:hAnsi="Arial Nova" w:eastAsia="Arial Nova" w:cs="Arial Nova"/>
                <w:noProof/>
              </w:rPr>
              <w:t xml:space="preserve">Teikėjas taiso Aprašą ir pateikia tiesiogiai Užsakovui pakartotinei peržiūrai. Prie gautų pastabų pateikiami atsakymai ir / ar nurodoma pataisymo vieta projektinėje dokumentacijoje (*.xlsx formatu)</w:t>
            </w:r>
          </w:p>
        </w:tc>
        <w:tc>
          <w:tcPr>
            <w:tcW w:type="dxa" w:w="1979"/>
            <w:tcBorders>
              <w:top w:val="single" w:color="auto" w:sz="4" w:space="0"/>
              <w:left w:val="single" w:color="auto" w:sz="4" w:space="0"/>
              <w:bottom w:val="single" w:color="auto" w:sz="4" w:space="0"/>
              <w:right w:val="single" w:color="auto" w:sz="4" w:space="0"/>
            </w:tcBorders>
            <w:hideMark/>
            <w:vAlign w:val="center"/>
          </w:tcPr>
          <w:p>
            <w:pPr>
              <w:pStyle w:val="Sraopastraipa"/>
              <w:tabs>
                <w:tab w:val="left" w:pos="426"/>
              </w:tabs>
              <w:spacing/>
              <w:ind w:left="0"/>
              <w:jc w:val="center"/>
              <w:rPr>
                <w:rFonts w:ascii="Arial Nova" w:hAnsi="Arial Nova" w:eastAsia="Arial Nova" w:cs="Arial Nova"/>
                <w:noProof/>
              </w:rPr>
            </w:pPr>
            <w:r>
              <w:rPr>
                <w:rFonts w:ascii="Arial Nova" w:hAnsi="Arial Nova" w:eastAsia="Arial Nova" w:cs="Arial Nova"/>
                <w:noProof/>
              </w:rPr>
              <w:t xml:space="preserve">Teikėjo atsakomybė</w:t>
            </w:r>
          </w:p>
        </w:tc>
        <w:tc>
          <w:tcPr>
            <w:tcW w:type="dxa" w:w="1941"/>
            <w:vMerge w:val="restart"/>
            <w:tcBorders>
              <w:top w:val="single" w:color="auto" w:sz="4" w:space="0"/>
              <w:left w:val="single" w:color="auto" w:sz="4" w:space="0"/>
              <w:bottom w:val="single" w:color="auto" w:sz="4" w:space="0"/>
              <w:right w:val="single" w:color="auto" w:sz="4" w:space="0"/>
            </w:tcBorders>
            <w:hideMark/>
            <w:vAlign w:val="center"/>
          </w:tcPr>
          <w:p>
            <w:pPr>
              <w:pStyle w:val="Sraopastraipa"/>
              <w:tabs>
                <w:tab w:val="left" w:pos="426"/>
              </w:tabs>
              <w:spacing/>
              <w:ind w:left="0"/>
              <w:jc w:val="center"/>
              <w:rPr>
                <w:rFonts w:ascii="Arial Nova" w:hAnsi="Arial Nova" w:eastAsia="Arial Nova" w:cs="Arial Nova"/>
                <w:noProof/>
              </w:rPr>
            </w:pPr>
            <w:r>
              <w:rPr>
                <w:rFonts w:ascii="Arial Nova" w:hAnsi="Arial Nova" w:eastAsia="Arial Nova" w:cs="Arial Nova"/>
                <w:noProof/>
              </w:rPr>
              <w:t xml:space="preserve">Šios dvi procedūros kartojamos tol, kol projektas yra pataisomas</w:t>
            </w:r>
          </w:p>
        </w:tc>
      </w:tr>
      <w:tr>
        <w:trPr>
          <w:trHeight w:val="300" w:hRule="atLeast"/>
        </w:trPr>
        <w:tc>
          <w:tcPr>
            <w:tcW w:type="dxa" w:w="5153"/>
            <w:tcBorders>
              <w:top w:val="single" w:color="auto" w:sz="4" w:space="0"/>
              <w:left w:val="single" w:color="auto" w:sz="4" w:space="0"/>
              <w:bottom w:val="single" w:color="auto" w:sz="4" w:space="0"/>
              <w:right w:val="single" w:color="auto" w:sz="4" w:space="0"/>
            </w:tcBorders>
            <w:hideMark/>
          </w:tcPr>
          <w:p>
            <w:pPr>
              <w:pStyle w:val="Sraopastraipa"/>
              <w:numPr>
                <w:ilvl w:val="0"/>
                <w:numId w:val="5"/>
              </w:numPr>
              <w:tabs>
                <w:tab w:val="left" w:pos="426"/>
              </w:tabs>
              <w:spacing/>
              <w:rPr>
                <w:rFonts w:ascii="Arial Nova" w:hAnsi="Arial Nova" w:eastAsia="Arial Nova" w:cs="Arial Nova"/>
                <w:noProof/>
              </w:rPr>
            </w:pPr>
            <w:r>
              <w:rPr>
                <w:rFonts w:ascii="Arial Nova" w:hAnsi="Arial Nova" w:eastAsia="Arial Nova" w:cs="Arial Nova"/>
                <w:noProof/>
              </w:rPr>
              <w:t xml:space="preserve">Užsakovas pakartotinai peržiūri teikiamą Aprašą</w:t>
            </w:r>
          </w:p>
        </w:tc>
        <w:tc>
          <w:tcPr>
            <w:tcW w:type="dxa" w:w="1979"/>
            <w:tcBorders>
              <w:top w:val="single" w:color="auto" w:sz="4" w:space="0"/>
              <w:left w:val="single" w:color="auto" w:sz="4" w:space="0"/>
              <w:bottom w:val="single" w:color="auto" w:sz="4" w:space="0"/>
              <w:right w:val="single" w:color="auto" w:sz="4" w:space="0"/>
            </w:tcBorders>
            <w:hideMark/>
            <w:vAlign w:val="center"/>
          </w:tcPr>
          <w:p>
            <w:pPr>
              <w:pStyle w:val="Sraopastraipa"/>
              <w:tabs>
                <w:tab w:val="left" w:pos="426"/>
              </w:tabs>
              <w:spacing/>
              <w:ind w:left="0"/>
              <w:jc w:val="center"/>
              <w:rPr>
                <w:rFonts w:ascii="Arial Nova" w:hAnsi="Arial Nova" w:eastAsia="Arial Nova" w:cs="Arial Nova"/>
              </w:rPr>
            </w:pPr>
            <w:r>
              <w:rPr>
                <w:rFonts w:ascii="Arial Nova" w:hAnsi="Arial Nova" w:eastAsia="Arial Nova" w:cs="Arial Nova"/>
              </w:rPr>
              <w:t xml:space="preserve">5</w:t>
            </w:r>
          </w:p>
        </w:tc>
        <w:tc>
          <w:tcPr>
            <w:tcW w:type="auto" w:w="0"/>
            <w:vMerge w:val="continue"/>
            <w:tcBorders/>
            <w:hideMark/>
            <w:vAlign w:val="center"/>
          </w:tcPr>
          <w:p>
            <w:pPr>
              <w:pStyle w:val="Sraopastraipa"/>
              <w:tabs>
                <w:tab w:val="left" w:pos="426"/>
              </w:tabs>
              <w:spacing/>
              <w:rPr>
                <w:szCs w:val="24"/>
              </w:rPr>
            </w:pPr>
          </w:p>
        </w:tc>
      </w:tr>
    </w:tbl>
    <w:p w14:paraId="756450C1">
      <w:pPr>
        <w:pStyle w:val="Sraopastraipa"/>
        <w:tabs>
          <w:tab w:val="left" w:pos="426"/>
        </w:tabs>
        <w:spacing/>
        <w:ind w:left="0"/>
        <w:rPr>
          <w:rFonts w:ascii="Arial Nova" w:hAnsi="Arial Nova" w:eastAsia="Arial Nova" w:cs="Arial Nova"/>
        </w:rPr>
      </w:pPr>
    </w:p>
    <w:p w14:paraId="756450C2">
      <w:pPr>
        <w:pStyle w:val="Sraopastraipa"/>
        <w:numPr>
          <w:ilvl w:val="2"/>
          <w:numId w:val="9"/>
        </w:numPr>
        <w:tabs>
          <w:tab w:val="left" w:pos="426"/>
        </w:tabs>
        <w:spacing/>
        <w:ind w:left="0" w:firstLine="0"/>
        <w:rPr>
          <w:rFonts w:ascii="Arial Nova" w:hAnsi="Arial Nova" w:eastAsia="Arial Nova" w:cs="Arial Nova"/>
        </w:rPr>
      </w:pPr>
      <w:r>
        <w:rPr>
          <w:rFonts w:ascii="Arial Nova" w:hAnsi="Arial Nova" w:eastAsia="Arial Nova" w:cs="Arial Nova"/>
        </w:rPr>
        <w:t xml:space="preserve"> Atlikus 3.4.1. punkto etapą, eismo organizavimo sprendinių (plano) derinimas, teikiant duomenis el. paštu </w:t>
      </w:r>
      <w:r>
        <w:rPr/>
        <w:fldChar w:fldCharType="begin"/>
      </w:r>
      <w:r>
        <w:rPr/>
        <w:instrText xml:space="preserve">HYPERLINK "mailto:eos@vialietuva.lt" </w:instrText>
      </w:r>
      <w:r>
        <w:rPr/>
        <w:fldChar w:fldCharType="separate"/>
      </w:r>
      <w:r>
        <w:rPr>
          <w:rStyle w:val="Hipersaitas"/>
          <w:rFonts w:ascii="Arial Nova" w:hAnsi="Arial Nova" w:eastAsia="Arial Nova" w:cs="Arial Nova"/>
        </w:rPr>
        <w:t xml:space="preserve">eos@vialietuva.lt</w:t>
      </w:r>
      <w:r>
        <w:rPr/>
        <w:fldChar w:fldCharType="end"/>
      </w:r>
      <w:r>
        <w:rPr>
          <w:rFonts w:ascii="Arial Nova" w:hAnsi="Arial Nova" w:eastAsia="Arial Nova" w:cs="Arial Nova"/>
        </w:rPr>
        <w:t xml:space="preserve">.</w:t>
      </w:r>
    </w:p>
    <w:p w14:paraId="756450C3">
      <w:pPr>
        <w:pStyle w:val="Sraopastraipa"/>
        <w:numPr>
          <w:ilvl w:val="2"/>
          <w:numId w:val="9"/>
        </w:numPr>
        <w:tabs>
          <w:tab w:val="left" w:pos="426"/>
        </w:tabs>
        <w:spacing/>
        <w:ind w:left="0" w:firstLine="0"/>
        <w:rPr>
          <w:rFonts w:ascii="Arial Nova" w:hAnsi="Arial Nova" w:eastAsia="Arial Nova" w:cs="Arial Nova"/>
        </w:rPr>
      </w:pPr>
      <w:r>
        <w:rPr>
          <w:rFonts w:ascii="Arial Nova" w:hAnsi="Arial Nova" w:eastAsia="Arial Nova" w:cs="Arial Nova"/>
        </w:rPr>
        <w:t xml:space="preserve"> Aprašo galutinis derinimas.</w:t>
      </w:r>
    </w:p>
    <w:p w14:paraId="756450C4">
      <w:pPr>
        <w:pStyle w:val="Sraopastraipa"/>
        <w:numPr>
          <w:ilvl w:val="2"/>
          <w:numId w:val="9"/>
        </w:numPr>
        <w:tabs>
          <w:tab w:val="left" w:pos="426"/>
        </w:tabs>
        <w:spacing/>
        <w:ind w:left="0" w:firstLine="0"/>
        <w:rPr>
          <w:rFonts w:ascii="Arial Nova" w:hAnsi="Arial Nova" w:eastAsia="Arial Nova" w:cs="Arial Nova"/>
          <w:noProof/>
        </w:rPr>
      </w:pPr>
      <w:r>
        <w:rPr>
          <w:rFonts w:ascii="Arial Nova" w:hAnsi="Arial Nova" w:eastAsia="Arial Nova" w:cs="Arial Nova"/>
        </w:rPr>
        <w:t xml:space="preserve"> </w:t>
      </w:r>
      <w:r>
        <w:rPr>
          <w:rFonts w:ascii="Arial Nova" w:hAnsi="Arial Nova" w:eastAsia="Arial Nova" w:cs="Arial Nova"/>
          <w:noProof/>
        </w:rPr>
        <w:t xml:space="preserve">Parengto įkainoto standartizuoto darbų kiekių žiniaraščio (SDKŽ), atitinkančio Aprašo sprendinius, derinimas.</w:t>
      </w:r>
    </w:p>
    <w:p w14:paraId="756450C5">
      <w:pPr>
        <w:pStyle w:val="Sraopastraipa"/>
        <w:tabs>
          <w:tab w:val="left" w:pos="426"/>
        </w:tabs>
        <w:suppressAutoHyphens/>
        <w:spacing/>
        <w:ind w:left="0"/>
        <w:jc w:val="both"/>
        <w:rPr>
          <w:noProof/>
          <w:szCs w:val="24"/>
        </w:rPr>
      </w:pP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4. </w:t>
            </w:r>
            <w:r>
              <w:rPr>
                <w:rFonts w:ascii="Arial Narrow" w:hAnsi="Arial Narrow"/>
                <w:b/>
                <w:caps/>
                <w:color w:val="FFFFFF"/>
                <w:sz w:val="20"/>
                <w:szCs w:val="16"/>
              </w:rPr>
              <w:t xml:space="preserve">PAPRASTOJO REMONTO DARBŲ APIMTYS</w:t>
            </w:r>
          </w:p>
        </w:tc>
      </w:tr>
    </w:tbl>
    <w:p w14:paraId="756450C8">
      <w:pPr>
        <w:spacing/>
        <w:jc w:val="left"/>
        <w:rPr>
          <w:rFonts w:ascii="Arial Narrow" w:hAnsi="Arial Narrow"/>
          <w:b/>
          <w:caps/>
        </w:rPr>
      </w:pPr>
    </w:p>
    <w:p w14:paraId="756450C9">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Reikalavimai dangos remontui:</w:t>
      </w:r>
    </w:p>
    <w:p w14:paraId="756450CA">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u w:val="single"/>
        </w:rPr>
      </w:pPr>
      <w:r>
        <w:rPr>
          <w:rFonts w:ascii="Arial Narrow" w:hAnsi="Arial Narrow"/>
          <w:b/>
          <w:bCs/>
          <w:sz w:val="20"/>
          <w:szCs w:val="20"/>
          <w:u w:val="single"/>
        </w:rPr>
        <w:t xml:space="preserve">   I Eismo juostos ruože 67,256-68,72 km, visas kelio dangos plotis ruože 68,72-80,416 km</w:t>
      </w:r>
      <w:r>
        <w:rPr>
          <w:rFonts w:ascii="Arial Narrow" w:hAnsi="Arial Narrow"/>
          <w:sz w:val="20"/>
          <w:szCs w:val="20"/>
          <w:u w:val="single"/>
        </w:rPr>
        <w:t xml:space="preserve">:</w:t>
      </w:r>
    </w:p>
    <w:p w14:paraId="756450CB">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Esamą </w:t>
      </w:r>
      <w:r>
        <w:rPr>
          <w:rFonts w:ascii="Arial Narrow" w:hAnsi="Arial Narrow"/>
          <w:sz w:val="20"/>
          <w:szCs w:val="20"/>
        </w:rPr>
        <w:t xml:space="preserve">asfalto dangą nufrezuoti nedidesniu kaip 10 cm storiu. Frezavimo plotis ruože  67,256-68,72 km</w:t>
      </w:r>
      <w:r>
        <w:rPr>
          <w:rFonts w:ascii="Arial Narrow" w:hAnsi="Arial Narrow"/>
          <w:b/>
          <w:bCs/>
          <w:sz w:val="20"/>
          <w:szCs w:val="20"/>
          <w:u w:val="single"/>
        </w:rPr>
        <w:t xml:space="preserve"> </w:t>
      </w:r>
      <w:r>
        <w:rPr>
          <w:rFonts w:ascii="Arial Narrow" w:hAnsi="Arial Narrow"/>
          <w:sz w:val="20"/>
          <w:szCs w:val="20"/>
        </w:rPr>
        <w:t xml:space="preserve">parenkamas taip, kad projektuojamo viršutinio pagrindo sluoksnio iš gruntų ir (arba) nesurištųjų mišinių, surištų rišikliu ir jonų mainus gerinančiu priedu (CTB) plotis būtų nemažesnis nei eismo juostos plotis, o virš jo rengiamų naujų asfalto sluoksnių išilginės siūlės būtų perstumtos viena kitos atžvilgiu pagal ĮT ASFALTAS 25 reikalavimus.</w:t>
      </w:r>
    </w:p>
    <w:p w14:paraId="756450CC">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Pr>
          <w:rFonts w:ascii="Arial Narrow" w:hAnsi="Arial Narrow"/>
          <w:i/>
          <w:iCs/>
          <w:sz w:val="20"/>
          <w:szCs w:val="20"/>
        </w:rPr>
        <w:t xml:space="preserve">Pastaba: Tiekėjas turi įsivertinti dangos išardymo technologiją, kuri leistų nufrezuoti dangą, kurioje tarp sluoksnių buvo naudojamos </w:t>
      </w:r>
      <w:r>
        <w:rPr>
          <w:rFonts w:ascii="Arial Narrow" w:hAnsi="Arial Narrow"/>
          <w:i/>
          <w:iCs/>
          <w:sz w:val="20"/>
          <w:szCs w:val="20"/>
        </w:rPr>
        <w:t xml:space="preserve">geosintetinės</w:t>
      </w:r>
      <w:r>
        <w:rPr>
          <w:rFonts w:ascii="Arial Narrow" w:hAnsi="Arial Narrow"/>
          <w:i/>
          <w:iCs/>
          <w:sz w:val="20"/>
          <w:szCs w:val="20"/>
        </w:rPr>
        <w:t xml:space="preserve"> medžiagos.</w:t>
      </w:r>
    </w:p>
    <w:p w14:paraId="756450CD">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Įrengti CTB sluoksnį panaudojant po nufrezuotu sluoksniu likusių dangos konstrukcijos sluoksnių medžiagas (sklandos permirkimo sluoksnį, skaldą ir .t.t). Pastabos: </w:t>
      </w:r>
    </w:p>
    <w:p w14:paraId="756450CE">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Pr>
          <w:rFonts w:ascii="Arial Narrow" w:hAnsi="Arial Narrow"/>
          <w:sz w:val="20"/>
          <w:szCs w:val="20"/>
        </w:rPr>
        <w:t xml:space="preserve">1) Tais atvejais, kai bendras esamų asfalto sluoksnių storis yra didesnis nei naujai įrengti numatytų asfalto sluoksnių bendrasis storis, sumažinti išvežamų ir reikalingų atvežti papildomų medžiagų kiekius, likutinis asfalto sluoksnis gali būti panaudotas CTB sluoksnio įrengimui.</w:t>
      </w:r>
    </w:p>
    <w:p w14:paraId="756450CF">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Pr>
          <w:rFonts w:ascii="Arial Narrow" w:hAnsi="Arial Narrow"/>
          <w:sz w:val="20"/>
          <w:szCs w:val="20"/>
        </w:rPr>
        <w:t xml:space="preserve">2) CTB sluoksnio tinkamumo bandymai turi būti atlikti ėminiams iš reprezentatyvių kelio ruožo vietų atsižvelgiant į kintamą po frezavimo likusių dangos konstrukcijos sluoksnių tipą ir storį.</w:t>
      </w:r>
    </w:p>
    <w:p w14:paraId="756450D0">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CTB sluoksnio įrengti trisluoksnę asfalto dangą pagal 4.1.1.4 punkte pateiktą dangos konstrukcijos atnaujinimo sprendinį. Pastaba:</w:t>
      </w:r>
    </w:p>
    <w:p w14:paraId="756450D1">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Pr>
          <w:rFonts w:ascii="Arial Narrow" w:hAnsi="Arial Narrow"/>
          <w:i/>
          <w:iCs/>
          <w:sz w:val="20"/>
          <w:szCs w:val="20"/>
        </w:rPr>
        <w:t xml:space="preserve">Leidžiamas frezuoto asfalto granulių (NAG) naudojimas asfalto pagrindo ir apatinių sluoksnių mišiniams, nenukrypstant nuo TRA ASFALTAS 25 ir TRA UŽPILDAI 19 reikalavimų.</w:t>
      </w:r>
    </w:p>
    <w:p w14:paraId="756450D2">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Dangos konstrukcijos atnaujinimo sprendinių variantai:</w:t>
      </w:r>
    </w:p>
    <w:tbl>
      <w:tblPr>
        <w:tblStyle w:val="TableGrid1"/>
        <w:tblW w:w="7650" w:type="dxa"/>
        <w:tblInd w:w="8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4A0" w:firstRow="1" w:lastRow="0" w:firstColumn="1" w:lastColumn="0" w:noHBand="0" w:noVBand="1"/>
      </w:tblPr>
      <w:tblGrid>
        <w:gridCol w:w="1546"/>
        <w:gridCol w:w="5112"/>
        <w:gridCol w:w="992"/>
      </w:tblGrid>
      <w:tr>
        <w:trPr>
          <w:trHeight w:val="325" w:hRule="atLeast"/>
        </w:trPr>
        <w:tc>
          <w:tcPr>
            <w:tcW w:type="dxa" w:w="1546"/>
            <w:tcBorders/>
            <w:vAlign w:val="center"/>
          </w:tcPr>
          <w:p>
            <w:pPr>
              <w:spacing/>
              <w:jc w:val="center"/>
              <w:rPr>
                <w:rFonts w:ascii="Arial Narrow" w:hAnsi="Arial Narrow" w:eastAsia="Calibri"/>
                <w:b/>
                <w:bCs/>
                <w:sz w:val="20"/>
              </w:rPr>
            </w:pPr>
            <w:r>
              <w:rPr>
                <w:rFonts w:ascii="Arial Narrow" w:hAnsi="Arial Narrow" w:eastAsia="Calibri"/>
                <w:b/>
                <w:bCs/>
                <w:sz w:val="20"/>
              </w:rPr>
              <w:t xml:space="preserve">Sluoksnis</w:t>
            </w:r>
          </w:p>
        </w:tc>
        <w:tc>
          <w:tcPr>
            <w:tcW w:type="dxa" w:w="5112"/>
            <w:tcBorders/>
            <w:vAlign w:val="center"/>
          </w:tcPr>
          <w:p>
            <w:pPr>
              <w:spacing/>
              <w:jc w:val="center"/>
              <w:rPr>
                <w:rFonts w:ascii="Arial Narrow" w:hAnsi="Arial Narrow" w:eastAsia="Calibri"/>
                <w:b/>
                <w:bCs/>
                <w:sz w:val="20"/>
              </w:rPr>
            </w:pPr>
            <w:r>
              <w:rPr>
                <w:rFonts w:ascii="Arial Narrow" w:hAnsi="Arial Narrow" w:eastAsia="Calibri"/>
                <w:b/>
                <w:bCs/>
                <w:sz w:val="20"/>
              </w:rPr>
              <w:t xml:space="preserve">Medžiaga</w:t>
            </w:r>
          </w:p>
        </w:tc>
        <w:tc>
          <w:tcPr>
            <w:tcW w:type="dxa" w:w="992"/>
            <w:tcBorders/>
            <w:vAlign w:val="center"/>
          </w:tcPr>
          <w:p>
            <w:pPr>
              <w:spacing/>
              <w:jc w:val="center"/>
              <w:rPr>
                <w:rFonts w:ascii="Arial Narrow" w:hAnsi="Arial Narrow" w:eastAsia="Calibri"/>
                <w:b/>
                <w:bCs/>
                <w:sz w:val="20"/>
              </w:rPr>
            </w:pPr>
            <w:r>
              <w:rPr>
                <w:rFonts w:ascii="Arial Narrow" w:hAnsi="Arial Narrow" w:eastAsia="Calibri"/>
                <w:b/>
                <w:bCs/>
                <w:sz w:val="20"/>
              </w:rPr>
              <w:t xml:space="preserve">Storis, cm</w:t>
            </w:r>
          </w:p>
        </w:tc>
      </w:tr>
      <w:tr>
        <w:trPr/>
        <w:tc>
          <w:tcPr>
            <w:tcW w:type="dxa" w:w="1546"/>
            <w:tcBorders/>
            <w:vAlign w:val="center"/>
          </w:tcPr>
          <w:p>
            <w:pPr>
              <w:spacing/>
              <w:jc w:val="center"/>
              <w:rPr>
                <w:rFonts w:ascii="Arial Narrow" w:hAnsi="Arial Narrow" w:eastAsia="Calibri"/>
                <w:sz w:val="20"/>
              </w:rPr>
            </w:pPr>
            <w:r>
              <w:rPr>
                <w:rFonts w:ascii="Arial Narrow" w:hAnsi="Arial Narrow" w:eastAsia="Calibri"/>
                <w:sz w:val="20"/>
              </w:rPr>
              <w:t xml:space="preserve">Asfalto viršutinis</w:t>
            </w:r>
          </w:p>
        </w:tc>
        <w:tc>
          <w:tcPr>
            <w:tcW w:type="dxa" w:w="5112"/>
            <w:tcBorders/>
            <w:vAlign w:val="center"/>
          </w:tcPr>
          <w:p>
            <w:pPr>
              <w:spacing/>
              <w:jc w:val="center"/>
              <w:rPr>
                <w:rFonts w:ascii="Arial Narrow" w:hAnsi="Arial Narrow" w:eastAsia="Calibri"/>
                <w:sz w:val="20"/>
              </w:rPr>
            </w:pPr>
            <w:r>
              <w:rPr>
                <w:rFonts w:ascii="Arial Narrow" w:hAnsi="Arial Narrow" w:eastAsia="Calibri"/>
                <w:sz w:val="20"/>
                <w:lang w:eastAsia="lt-LT"/>
              </w:rPr>
              <w:t xml:space="preserve">SMA8S/ SMA11S PMB 45/80-65</w:t>
            </w:r>
          </w:p>
        </w:tc>
        <w:tc>
          <w:tcPr>
            <w:tcW w:type="dxa" w:w="992"/>
            <w:tcBorders/>
            <w:vAlign w:val="center"/>
          </w:tcPr>
          <w:p>
            <w:pPr>
              <w:spacing/>
              <w:jc w:val="center"/>
              <w:rPr>
                <w:rFonts w:ascii="Arial Narrow" w:hAnsi="Arial Narrow" w:eastAsia="Calibri"/>
                <w:sz w:val="20"/>
              </w:rPr>
            </w:pPr>
            <w:r>
              <w:rPr>
                <w:rFonts w:ascii="Arial Narrow" w:hAnsi="Arial Narrow" w:eastAsia="Calibri"/>
                <w:sz w:val="20"/>
              </w:rPr>
              <w:t xml:space="preserve">3,5</w:t>
            </w:r>
          </w:p>
        </w:tc>
      </w:tr>
      <w:tr>
        <w:trPr/>
        <w:tc>
          <w:tcPr>
            <w:tcW w:type="dxa" w:w="1546"/>
            <w:tcBorders/>
            <w:vAlign w:val="center"/>
          </w:tcPr>
          <w:p>
            <w:pPr>
              <w:spacing/>
              <w:jc w:val="center"/>
              <w:rPr>
                <w:rFonts w:ascii="Arial Narrow" w:hAnsi="Arial Narrow" w:eastAsia="Calibri"/>
                <w:sz w:val="20"/>
              </w:rPr>
            </w:pPr>
            <w:r>
              <w:rPr>
                <w:rFonts w:ascii="Arial Narrow" w:hAnsi="Arial Narrow" w:eastAsia="Calibri"/>
                <w:sz w:val="20"/>
              </w:rPr>
              <w:t xml:space="preserve">Asfalto apatinis</w:t>
            </w:r>
          </w:p>
        </w:tc>
        <w:tc>
          <w:tcPr>
            <w:tcW w:type="dxa" w:w="5112"/>
            <w:tcBorders/>
            <w:vAlign w:val="center"/>
          </w:tcPr>
          <w:p>
            <w:pPr>
              <w:spacing/>
              <w:jc w:val="center"/>
              <w:rPr>
                <w:rFonts w:ascii="Arial Narrow" w:hAnsi="Arial Narrow" w:eastAsia="Calibri"/>
                <w:sz w:val="20"/>
                <w:lang w:eastAsia="lt-LT"/>
              </w:rPr>
            </w:pPr>
            <w:r>
              <w:rPr>
                <w:rFonts w:ascii="Arial Narrow" w:hAnsi="Arial Narrow" w:eastAsia="Calibri"/>
                <w:sz w:val="20"/>
                <w:lang w:eastAsia="lt-LT"/>
              </w:rPr>
              <w:t xml:space="preserve">AC 16 AS PMB 45/80-65</w:t>
            </w:r>
          </w:p>
        </w:tc>
        <w:tc>
          <w:tcPr>
            <w:tcW w:type="dxa" w:w="992"/>
            <w:tcBorders/>
            <w:vAlign w:val="center"/>
          </w:tcPr>
          <w:p>
            <w:pPr>
              <w:spacing/>
              <w:jc w:val="center"/>
              <w:rPr>
                <w:rFonts w:ascii="Arial Narrow" w:hAnsi="Arial Narrow" w:eastAsia="Calibri"/>
                <w:sz w:val="20"/>
              </w:rPr>
            </w:pPr>
            <w:r>
              <w:rPr>
                <w:rFonts w:ascii="Arial Narrow" w:hAnsi="Arial Narrow" w:eastAsia="Calibri"/>
                <w:sz w:val="20"/>
              </w:rPr>
              <w:t xml:space="preserve">7</w:t>
            </w:r>
          </w:p>
        </w:tc>
      </w:tr>
      <w:tr>
        <w:trPr/>
        <w:tc>
          <w:tcPr>
            <w:tcW w:type="dxa" w:w="1546"/>
            <w:tcBorders/>
            <w:vAlign w:val="center"/>
          </w:tcPr>
          <w:p>
            <w:pPr>
              <w:spacing/>
              <w:jc w:val="center"/>
              <w:rPr>
                <w:rFonts w:ascii="Arial Narrow" w:hAnsi="Arial Narrow" w:eastAsia="Calibri"/>
                <w:sz w:val="20"/>
              </w:rPr>
            </w:pPr>
            <w:r>
              <w:rPr>
                <w:rFonts w:ascii="Arial Narrow" w:hAnsi="Arial Narrow" w:eastAsia="Calibri"/>
                <w:sz w:val="20"/>
              </w:rPr>
              <w:t xml:space="preserve">Asfalto pagrindo</w:t>
            </w:r>
          </w:p>
        </w:tc>
        <w:tc>
          <w:tcPr>
            <w:tcW w:type="dxa" w:w="5112"/>
            <w:tcBorders/>
            <w:vAlign w:val="center"/>
          </w:tcPr>
          <w:p>
            <w:pPr>
              <w:spacing/>
              <w:jc w:val="center"/>
              <w:rPr>
                <w:rFonts w:ascii="Arial Narrow" w:hAnsi="Arial Narrow" w:eastAsia="Calibri"/>
                <w:sz w:val="20"/>
                <w:lang w:eastAsia="lt-LT"/>
              </w:rPr>
            </w:pPr>
            <w:r>
              <w:rPr>
                <w:rFonts w:ascii="Arial Narrow" w:hAnsi="Arial Narrow" w:eastAsia="Calibri"/>
                <w:sz w:val="20"/>
                <w:lang w:eastAsia="lt-LT"/>
              </w:rPr>
              <w:t xml:space="preserve">AC 22 PS (50/70)</w:t>
            </w:r>
          </w:p>
        </w:tc>
        <w:tc>
          <w:tcPr>
            <w:tcW w:type="dxa" w:w="992"/>
            <w:tcBorders/>
            <w:vAlign w:val="center"/>
          </w:tcPr>
          <w:p>
            <w:pPr>
              <w:spacing/>
              <w:jc w:val="center"/>
              <w:rPr>
                <w:rFonts w:ascii="Arial Narrow" w:hAnsi="Arial Narrow" w:eastAsia="Calibri"/>
                <w:sz w:val="20"/>
                <w:lang w:val="en-US"/>
              </w:rPr>
            </w:pPr>
            <w:r>
              <w:rPr>
                <w:rFonts w:ascii="Arial Narrow" w:hAnsi="Arial Narrow" w:eastAsia="Calibri"/>
                <w:sz w:val="20"/>
              </w:rPr>
              <w:t xml:space="preserve">10</w:t>
            </w:r>
          </w:p>
        </w:tc>
      </w:tr>
      <w:tr>
        <w:trPr/>
        <w:tc>
          <w:tcPr>
            <w:tcW w:type="dxa" w:w="1546"/>
            <w:tcBorders/>
            <w:vAlign w:val="center"/>
          </w:tcPr>
          <w:p>
            <w:pPr>
              <w:spacing/>
              <w:jc w:val="center"/>
              <w:rPr>
                <w:rFonts w:ascii="Arial Narrow" w:hAnsi="Arial Narrow" w:eastAsia="Calibri"/>
                <w:sz w:val="20"/>
              </w:rPr>
            </w:pPr>
            <w:r>
              <w:rPr>
                <w:rFonts w:ascii="Arial Narrow" w:hAnsi="Arial Narrow" w:eastAsia="Calibri"/>
                <w:sz w:val="20"/>
              </w:rPr>
              <w:t xml:space="preserve">CTB</w:t>
            </w:r>
          </w:p>
        </w:tc>
        <w:tc>
          <w:tcPr>
            <w:tcW w:type="dxa" w:w="5112"/>
            <w:tcBorders/>
            <w:vAlign w:val="center"/>
          </w:tcPr>
          <w:p>
            <w:pPr>
              <w:spacing/>
              <w:jc w:val="center"/>
              <w:rPr>
                <w:rFonts w:ascii="Arial Narrow" w:hAnsi="Arial Narrow" w:eastAsia="Calibri"/>
                <w:sz w:val="20"/>
                <w:lang w:eastAsia="lt-LT"/>
              </w:rPr>
            </w:pPr>
            <w:r>
              <w:rPr>
                <w:rFonts w:ascii="Arial Narrow" w:hAnsi="Arial Narrow"/>
                <w:color w:val="000000"/>
                <w:sz w:val="20"/>
                <w:lang w:eastAsia="lt-LT"/>
              </w:rPr>
              <w:t xml:space="preserve">Esamos dangos konstrukcijos medžiagos, surištos hidrauliniais rišikliais ir jonų mainus gerinančiu priedu pagal </w:t>
            </w:r>
            <w:r>
              <w:rPr>
                <w:rFonts w:ascii="Arial Narrow" w:hAnsi="Arial Narrow"/>
                <w:sz w:val="20"/>
              </w:rPr>
              <w:t xml:space="preserve">MN AGPS 25</w:t>
            </w:r>
          </w:p>
        </w:tc>
        <w:tc>
          <w:tcPr>
            <w:tcW w:type="dxa" w:w="992"/>
            <w:tcBorders/>
            <w:vAlign w:val="center"/>
          </w:tcPr>
          <w:p>
            <w:pPr>
              <w:spacing/>
              <w:jc w:val="center"/>
              <w:rPr>
                <w:rFonts w:ascii="Arial Narrow" w:hAnsi="Arial Narrow" w:eastAsia="Calibri"/>
                <w:sz w:val="20"/>
                <w:vertAlign w:val="superscript"/>
              </w:rPr>
            </w:pPr>
            <w:r>
              <w:rPr>
                <w:rFonts w:ascii="Arial Narrow" w:hAnsi="Arial Narrow" w:eastAsia="Calibri"/>
                <w:sz w:val="20"/>
              </w:rPr>
              <w:t xml:space="preserve">30</w:t>
            </w:r>
          </w:p>
        </w:tc>
      </w:tr>
      <w:tr>
        <w:trPr/>
        <w:tc>
          <w:tcPr>
            <w:tcW w:type="dxa" w:w="6658"/>
            <w:gridSpan w:val="2"/>
            <w:tcBorders/>
            <w:vAlign w:val="center"/>
          </w:tcPr>
          <w:p>
            <w:pPr>
              <w:spacing/>
              <w:jc w:val="center"/>
              <w:rPr>
                <w:rFonts w:ascii="Arial Narrow" w:hAnsi="Arial Narrow" w:eastAsia="TimesNewRomanPSMT"/>
                <w:sz w:val="20"/>
              </w:rPr>
            </w:pPr>
            <w:r>
              <w:rPr>
                <w:rFonts w:ascii="Arial Narrow" w:hAnsi="Arial Narrow" w:eastAsia="TimesNewRomanPSMT"/>
                <w:sz w:val="20"/>
              </w:rPr>
              <w:t xml:space="preserve">Esami nesurištieji pagrindo sluoksniai ir/arba gruntai</w:t>
            </w:r>
          </w:p>
        </w:tc>
        <w:tc>
          <w:tcPr>
            <w:tcW w:type="dxa" w:w="992"/>
            <w:tcBorders/>
            <w:vAlign w:val="center"/>
          </w:tcPr>
          <w:p>
            <w:pPr>
              <w:spacing/>
              <w:jc w:val="center"/>
              <w:rPr>
                <w:rFonts w:ascii="Arial Narrow" w:hAnsi="Arial Narrow" w:eastAsia="Calibri"/>
                <w:sz w:val="20"/>
              </w:rPr>
            </w:pPr>
            <w:r>
              <w:rPr>
                <w:rFonts w:ascii="Arial Narrow" w:hAnsi="Arial Narrow" w:eastAsia="Calibri"/>
                <w:sz w:val="20"/>
              </w:rPr>
              <w:t xml:space="preserve">-</w:t>
            </w:r>
          </w:p>
        </w:tc>
      </w:tr>
    </w:tbl>
    <w:p w14:paraId="756450EA">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p>
    <w:p w14:paraId="756450EB">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u w:val="single"/>
        </w:rPr>
      </w:pPr>
      <w:r>
        <w:rPr>
          <w:rFonts w:ascii="Arial Narrow" w:hAnsi="Arial Narrow"/>
          <w:b/>
          <w:bCs/>
          <w:sz w:val="20"/>
          <w:szCs w:val="20"/>
          <w:u w:val="single"/>
        </w:rPr>
        <w:t xml:space="preserve">      II eismo juostos, sustojimo juosta, greitėjimo/lėtėjimo juostos ruože 67,256-68,72 km:</w:t>
      </w:r>
    </w:p>
    <w:p w14:paraId="756450EC">
      <w:pPr>
        <w:pStyle w:val="Bodytext1"/>
        <w:numPr>
          <w:ilvl w:val="3"/>
          <w:numId w:val="15"/>
        </w:numPr>
        <w:shd w:val="clear" w:color="auto" w:fill="auto"/>
        <w:tabs>
          <w:tab w:val="left" w:pos="426"/>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Esamą viršutinį asfalto sluoksnį nufrezuoti nedidesniu kaip 4 cm storiu.</w:t>
      </w:r>
    </w:p>
    <w:p w14:paraId="756450ED">
      <w:pPr>
        <w:pStyle w:val="Bodytext1"/>
        <w:shd w:val="clear" w:color="auto" w:fill="auto"/>
        <w:spacing w:before="0" w:after="0" w:line="240" w:lineRule="auto"/>
        <w:ind w:left="709" w:right="55" w:firstLine="0"/>
        <w:jc w:val="both"/>
        <w:rPr>
          <w:rFonts w:ascii="Arial Narrow" w:hAnsi="Arial Narrow"/>
          <w:sz w:val="20"/>
          <w:szCs w:val="20"/>
        </w:rPr>
      </w:pPr>
      <w:r>
        <w:rPr>
          <w:rFonts w:ascii="Arial Narrow" w:hAnsi="Arial Narrow"/>
          <w:i/>
          <w:iCs/>
          <w:sz w:val="20"/>
          <w:szCs w:val="20"/>
        </w:rPr>
        <w:t xml:space="preserve">Pastaba: Tiekėjas turi įsivertinti dangos išardymo technologiją, kuri leistų nufrezuoti dangą, kurioje tarp sluoksnių buvo naudojamos </w:t>
      </w:r>
      <w:r>
        <w:rPr>
          <w:rFonts w:ascii="Arial Narrow" w:hAnsi="Arial Narrow"/>
          <w:i/>
          <w:iCs/>
          <w:sz w:val="20"/>
          <w:szCs w:val="20"/>
        </w:rPr>
        <w:t xml:space="preserve">geosintetinės</w:t>
      </w:r>
      <w:r>
        <w:rPr>
          <w:rFonts w:ascii="Arial Narrow" w:hAnsi="Arial Narrow"/>
          <w:i/>
          <w:iCs/>
          <w:sz w:val="20"/>
          <w:szCs w:val="20"/>
        </w:rPr>
        <w:t xml:space="preserve"> medžiagos</w:t>
      </w:r>
    </w:p>
    <w:p w14:paraId="756450EE">
      <w:pPr>
        <w:pStyle w:val="Bodytext1"/>
        <w:numPr>
          <w:ilvl w:val="3"/>
          <w:numId w:val="15"/>
        </w:numPr>
        <w:shd w:val="clear" w:color="auto" w:fill="auto"/>
        <w:tabs>
          <w:tab w:val="left" w:pos="709"/>
        </w:tabs>
        <w:spacing w:before="0" w:after="0" w:line="240" w:lineRule="auto"/>
        <w:ind w:left="851" w:right="55" w:hanging="851"/>
        <w:jc w:val="both"/>
        <w:rPr>
          <w:rFonts w:ascii="Arial Narrow" w:hAnsi="Arial Narrow"/>
          <w:sz w:val="20"/>
          <w:szCs w:val="20"/>
        </w:rPr>
      </w:pPr>
      <w:r>
        <w:rPr>
          <w:rFonts w:ascii="Arial Narrow" w:hAnsi="Arial Narrow"/>
          <w:sz w:val="20"/>
          <w:szCs w:val="20"/>
        </w:rPr>
        <w:t xml:space="preserve">Įrengti asfalto sluoksnius pagal 4.1.2.4</w:t>
      </w:r>
      <w:r>
        <w:rPr>
          <w:rFonts w:ascii="Arial Narrow" w:hAnsi="Arial Narrow"/>
          <w:sz w:val="20"/>
          <w:szCs w:val="20"/>
        </w:rPr>
        <w:t xml:space="preserve">. punkte pateiktą dangos konstrukcijos atnaujinimo sprendinį. Pastaba:</w:t>
      </w:r>
    </w:p>
    <w:p w14:paraId="756450EF">
      <w:pPr>
        <w:pStyle w:val="Bodytext1"/>
        <w:shd w:val="clear" w:color="auto" w:fill="auto"/>
        <w:tabs>
          <w:tab w:val="left" w:pos="709"/>
        </w:tabs>
        <w:spacing w:before="0" w:after="0" w:line="240" w:lineRule="auto"/>
        <w:ind w:left="709" w:right="55" w:firstLine="0"/>
        <w:jc w:val="both"/>
        <w:rPr>
          <w:rFonts w:ascii="Arial Narrow" w:hAnsi="Arial Narrow"/>
          <w:sz w:val="20"/>
          <w:szCs w:val="20"/>
        </w:rPr>
      </w:pPr>
      <w:r>
        <w:rPr>
          <w:rFonts w:ascii="Arial Narrow" w:hAnsi="Arial Narrow"/>
          <w:i/>
          <w:iCs/>
          <w:sz w:val="20"/>
          <w:szCs w:val="20"/>
        </w:rPr>
        <w:t xml:space="preserve">Leidžiamas frezuoto asfalto granulių (NAG) naudojimas asfalto pagrindo ir apatinių sluoksnių mišiniams, nenukrypstant nuo TRA ASFALTAS 25 ir TRA UŽPILDAI 19 reikalavimų.</w:t>
      </w:r>
    </w:p>
    <w:p w14:paraId="756450F0">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Turi būti įrengiamos sandarintos siūlės I, sustojimo ir II eismo juostų atnaujinimo sprendinių jungties vietoje.</w:t>
      </w:r>
    </w:p>
    <w:p w14:paraId="756450F1">
      <w:pPr>
        <w:pStyle w:val="Bodytext1"/>
        <w:numPr>
          <w:ilvl w:val="3"/>
          <w:numId w:val="15"/>
        </w:numPr>
        <w:shd w:val="clear" w:color="auto" w:fill="auto"/>
        <w:tabs>
          <w:tab w:val="left" w:pos="709"/>
        </w:tabs>
        <w:spacing w:before="0" w:after="0" w:line="240" w:lineRule="auto"/>
        <w:ind w:left="709" w:right="55" w:hanging="709"/>
        <w:jc w:val="both"/>
        <w:rPr>
          <w:rFonts w:ascii="Arial Narrow" w:hAnsi="Arial Narrow"/>
          <w:sz w:val="20"/>
          <w:szCs w:val="20"/>
        </w:rPr>
      </w:pPr>
      <w:r>
        <w:rPr>
          <w:rFonts w:ascii="Arial Narrow" w:hAnsi="Arial Narrow"/>
          <w:sz w:val="20"/>
          <w:szCs w:val="20"/>
        </w:rPr>
        <w:t xml:space="preserve">Dangos konstrukcijos atnaujinimo sprendinys:</w:t>
      </w:r>
    </w:p>
    <w:tbl>
      <w:tblPr>
        <w:tblStyle w:val="TableGrid1"/>
        <w:tblW w:w="7626" w:type="dxa"/>
        <w:tblInd w:w="8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4A0" w:firstRow="1" w:lastRow="0" w:firstColumn="1" w:lastColumn="0" w:noHBand="0" w:noVBand="1"/>
      </w:tblPr>
      <w:tblGrid>
        <w:gridCol w:w="2122"/>
        <w:gridCol w:w="4512"/>
        <w:gridCol w:w="992"/>
      </w:tblGrid>
      <w:tr>
        <w:trPr>
          <w:trHeight w:val="325" w:hRule="atLeast"/>
        </w:trPr>
        <w:tc>
          <w:tcPr>
            <w:tcW w:type="dxa" w:w="2122"/>
            <w:tcBorders/>
            <w:vAlign w:val="center"/>
          </w:tcPr>
          <w:p>
            <w:pPr>
              <w:spacing/>
              <w:jc w:val="center"/>
              <w:rPr>
                <w:rFonts w:ascii="Arial Narrow" w:hAnsi="Arial Narrow" w:eastAsia="Calibri"/>
                <w:b/>
                <w:bCs/>
                <w:sz w:val="20"/>
              </w:rPr>
            </w:pPr>
            <w:r>
              <w:rPr>
                <w:rFonts w:ascii="Arial Narrow" w:hAnsi="Arial Narrow" w:eastAsia="Calibri"/>
                <w:b/>
                <w:bCs/>
                <w:sz w:val="20"/>
              </w:rPr>
              <w:t xml:space="preserve">Sluoksnis</w:t>
            </w:r>
          </w:p>
        </w:tc>
        <w:tc>
          <w:tcPr>
            <w:tcW w:type="dxa" w:w="4512"/>
            <w:tcBorders/>
            <w:vAlign w:val="center"/>
          </w:tcPr>
          <w:p>
            <w:pPr>
              <w:spacing/>
              <w:jc w:val="center"/>
              <w:rPr>
                <w:rFonts w:ascii="Arial Narrow" w:hAnsi="Arial Narrow" w:eastAsia="Calibri"/>
                <w:b/>
                <w:bCs/>
                <w:sz w:val="20"/>
              </w:rPr>
            </w:pPr>
            <w:r>
              <w:rPr>
                <w:rFonts w:ascii="Arial Narrow" w:hAnsi="Arial Narrow" w:eastAsia="Calibri"/>
                <w:b/>
                <w:bCs/>
                <w:sz w:val="20"/>
              </w:rPr>
              <w:t xml:space="preserve">Medžiaga</w:t>
            </w:r>
          </w:p>
        </w:tc>
        <w:tc>
          <w:tcPr>
            <w:tcW w:type="dxa" w:w="992"/>
            <w:tcBorders/>
            <w:vAlign w:val="center"/>
          </w:tcPr>
          <w:p>
            <w:pPr>
              <w:spacing/>
              <w:jc w:val="center"/>
              <w:rPr>
                <w:rFonts w:ascii="Arial Narrow" w:hAnsi="Arial Narrow" w:eastAsia="Calibri"/>
                <w:b/>
                <w:bCs/>
                <w:sz w:val="20"/>
              </w:rPr>
            </w:pPr>
            <w:r>
              <w:rPr>
                <w:rFonts w:ascii="Arial Narrow" w:hAnsi="Arial Narrow" w:eastAsia="Calibri"/>
                <w:b/>
                <w:bCs/>
                <w:sz w:val="20"/>
              </w:rPr>
              <w:t xml:space="preserve">Storis, cm</w:t>
            </w:r>
          </w:p>
        </w:tc>
      </w:tr>
      <w:tr>
        <w:trPr/>
        <w:tc>
          <w:tcPr>
            <w:tcW w:type="dxa" w:w="2122"/>
            <w:tcBorders/>
            <w:vAlign w:val="center"/>
          </w:tcPr>
          <w:p>
            <w:pPr>
              <w:spacing/>
              <w:jc w:val="center"/>
              <w:rPr>
                <w:rFonts w:ascii="Arial Narrow" w:hAnsi="Arial Narrow" w:eastAsia="Calibri"/>
                <w:sz w:val="20"/>
              </w:rPr>
            </w:pPr>
            <w:r>
              <w:rPr>
                <w:rFonts w:ascii="Arial Narrow" w:hAnsi="Arial Narrow" w:eastAsia="Calibri"/>
                <w:sz w:val="20"/>
              </w:rPr>
              <w:t xml:space="preserve">Asfalto viršutinis</w:t>
            </w:r>
          </w:p>
        </w:tc>
        <w:tc>
          <w:tcPr>
            <w:tcW w:type="dxa" w:w="4512"/>
            <w:tcBorders/>
            <w:vAlign w:val="center"/>
          </w:tcPr>
          <w:p>
            <w:pPr>
              <w:spacing/>
              <w:jc w:val="center"/>
              <w:rPr>
                <w:rFonts w:ascii="Arial Narrow" w:hAnsi="Arial Narrow" w:eastAsia="Calibri"/>
                <w:sz w:val="20"/>
              </w:rPr>
            </w:pPr>
            <w:r>
              <w:rPr>
                <w:rFonts w:ascii="Arial Narrow" w:hAnsi="Arial Narrow" w:eastAsia="Calibri"/>
                <w:sz w:val="20"/>
                <w:lang w:eastAsia="lt-LT"/>
              </w:rPr>
              <w:t xml:space="preserve">SMA8S/ SMA11S PMB 45/80-65</w:t>
            </w:r>
          </w:p>
        </w:tc>
        <w:tc>
          <w:tcPr>
            <w:tcW w:type="dxa" w:w="992"/>
            <w:tcBorders/>
            <w:vAlign w:val="center"/>
          </w:tcPr>
          <w:p>
            <w:pPr>
              <w:spacing/>
              <w:jc w:val="center"/>
              <w:rPr>
                <w:rFonts w:ascii="Arial Narrow" w:hAnsi="Arial Narrow" w:eastAsia="Calibri"/>
                <w:sz w:val="20"/>
              </w:rPr>
            </w:pPr>
            <w:r>
              <w:rPr>
                <w:rFonts w:ascii="Arial Narrow" w:hAnsi="Arial Narrow" w:eastAsia="Calibri"/>
                <w:sz w:val="20"/>
              </w:rPr>
              <w:t xml:space="preserve">3,5</w:t>
            </w:r>
          </w:p>
        </w:tc>
      </w:tr>
      <w:tr>
        <w:trPr/>
        <w:tc>
          <w:tcPr>
            <w:tcW w:type="dxa" w:w="2122"/>
            <w:tcBorders/>
            <w:vAlign w:val="center"/>
          </w:tcPr>
          <w:p>
            <w:pPr>
              <w:spacing/>
              <w:jc w:val="center"/>
              <w:rPr>
                <w:rFonts w:ascii="Arial Narrow" w:hAnsi="Arial Narrow" w:eastAsia="Calibri"/>
                <w:sz w:val="20"/>
              </w:rPr>
            </w:pPr>
            <w:r>
              <w:rPr>
                <w:rFonts w:ascii="Arial Narrow" w:hAnsi="Arial Narrow" w:eastAsia="Calibri"/>
                <w:sz w:val="20"/>
              </w:rPr>
              <w:t xml:space="preserve">Asfalto apatinis</w:t>
            </w:r>
          </w:p>
        </w:tc>
        <w:tc>
          <w:tcPr>
            <w:tcW w:type="dxa" w:w="4512"/>
            <w:tcBorders/>
            <w:vAlign w:val="center"/>
          </w:tcPr>
          <w:p>
            <w:pPr>
              <w:spacing/>
              <w:jc w:val="center"/>
              <w:rPr>
                <w:rFonts w:ascii="Arial Narrow" w:hAnsi="Arial Narrow" w:eastAsia="Calibri"/>
                <w:sz w:val="20"/>
              </w:rPr>
            </w:pPr>
            <w:r>
              <w:rPr>
                <w:rFonts w:ascii="Arial Narrow" w:hAnsi="Arial Narrow" w:eastAsia="Calibri"/>
                <w:sz w:val="20"/>
                <w:lang w:eastAsia="lt-LT"/>
              </w:rPr>
              <w:t xml:space="preserve">AC 16 AS PMB 45/80-65</w:t>
            </w:r>
          </w:p>
        </w:tc>
        <w:tc>
          <w:tcPr>
            <w:tcW w:type="dxa" w:w="992"/>
            <w:tcBorders/>
            <w:vAlign w:val="center"/>
          </w:tcPr>
          <w:p>
            <w:pPr>
              <w:spacing/>
              <w:jc w:val="center"/>
              <w:rPr>
                <w:rFonts w:ascii="Arial Narrow" w:hAnsi="Arial Narrow" w:eastAsia="Calibri"/>
                <w:sz w:val="20"/>
              </w:rPr>
            </w:pPr>
            <w:r>
              <w:rPr>
                <w:rFonts w:ascii="Arial Narrow" w:hAnsi="Arial Narrow" w:eastAsia="Calibri"/>
                <w:sz w:val="20"/>
              </w:rPr>
              <w:t xml:space="preserve">≥5</w:t>
            </w:r>
          </w:p>
        </w:tc>
      </w:tr>
      <w:tr>
        <w:trPr/>
        <w:tc>
          <w:tcPr>
            <w:tcW w:type="dxa" w:w="2122"/>
            <w:tcBorders/>
            <w:vAlign w:val="center"/>
          </w:tcPr>
          <w:p>
            <w:pPr>
              <w:spacing/>
              <w:jc w:val="center"/>
              <w:rPr>
                <w:rFonts w:ascii="Arial Narrow" w:hAnsi="Arial Narrow" w:eastAsia="Calibri"/>
                <w:sz w:val="20"/>
              </w:rPr>
            </w:pPr>
            <w:r>
              <w:rPr>
                <w:rFonts w:ascii="Arial Narrow" w:hAnsi="Arial Narrow" w:eastAsia="Calibri"/>
                <w:sz w:val="20"/>
              </w:rPr>
              <w:t xml:space="preserve">Asfalto išlyginamasis</w:t>
            </w:r>
          </w:p>
        </w:tc>
        <w:tc>
          <w:tcPr>
            <w:tcW w:type="dxa" w:w="5504"/>
            <w:gridSpan w:val="2"/>
            <w:tcBorders/>
            <w:vAlign w:val="center"/>
          </w:tcPr>
          <w:p>
            <w:pPr>
              <w:spacing/>
              <w:jc w:val="center"/>
              <w:rPr>
                <w:rFonts w:ascii="Arial Narrow" w:hAnsi="Arial Narrow" w:eastAsia="Calibri"/>
                <w:sz w:val="20"/>
                <w:highlight w:val="yellow"/>
              </w:rPr>
            </w:pPr>
            <w:r>
              <w:rPr>
                <w:rFonts w:ascii="Arial Narrow" w:hAnsi="Arial Narrow" w:eastAsia="Calibri"/>
                <w:sz w:val="20"/>
              </w:rPr>
              <w:t xml:space="preserve">1)</w:t>
            </w:r>
          </w:p>
        </w:tc>
      </w:tr>
      <w:tr>
        <w:trPr/>
        <w:tc>
          <w:tcPr>
            <w:tcW w:type="dxa" w:w="7626"/>
            <w:gridSpan w:val="3"/>
            <w:tcBorders/>
            <w:vAlign w:val="center"/>
          </w:tcPr>
          <w:p>
            <w:pPr>
              <w:spacing/>
              <w:jc w:val="center"/>
              <w:rPr>
                <w:rFonts w:ascii="Arial Narrow" w:hAnsi="Arial Narrow" w:eastAsia="Calibri"/>
                <w:sz w:val="20"/>
              </w:rPr>
            </w:pPr>
            <w:r>
              <w:rPr>
                <w:rFonts w:ascii="Arial Narrow" w:hAnsi="Arial Narrow" w:eastAsia="Calibri"/>
                <w:sz w:val="20"/>
              </w:rPr>
              <w:t xml:space="preserve">Esamos dangos konstrukcijos sluoksniai</w:t>
            </w:r>
          </w:p>
        </w:tc>
      </w:tr>
      <w:tr>
        <w:trPr/>
        <w:tc>
          <w:tcPr>
            <w:tcW w:type="dxa" w:w="7626"/>
            <w:gridSpan w:val="3"/>
            <w:tcBorders/>
            <w:vAlign w:val="center"/>
          </w:tcPr>
          <w:p>
            <w:pPr>
              <w:spacing/>
              <w:jc w:val="left"/>
              <w:rPr>
                <w:rFonts w:ascii="Arial Narrow" w:hAnsi="Arial Narrow" w:eastAsia="Calibri"/>
                <w:sz w:val="20"/>
              </w:rPr>
            </w:pPr>
            <w:r>
              <w:rPr>
                <w:rFonts w:ascii="Arial Narrow" w:hAnsi="Arial Narrow" w:eastAsia="Calibri"/>
                <w:sz w:val="20"/>
              </w:rPr>
              <w:t xml:space="preserve">Pastabos:</w:t>
            </w:r>
          </w:p>
          <w:p>
            <w:pPr>
              <w:pStyle w:val="Sraopastraipa"/>
              <w:numPr>
                <w:ilvl w:val="0"/>
                <w:numId w:val="33"/>
              </w:numPr>
              <w:spacing/>
              <w:rPr>
                <w:rFonts w:eastAsia="Calibri"/>
              </w:rPr>
            </w:pPr>
            <w:r>
              <w:rPr>
                <w:rFonts w:eastAsia="Calibri"/>
              </w:rPr>
              <w:t xml:space="preserve">asfalto išlyginamojo sluoksnio storis ir asfalto mišinys parenkamas atsižvelgiant į esamos dangos konstrukcijos viršutinės dalies šalinamo sluoksnio storį ir projektinį naujai įrengiamų sluoksnių storį. Asfalto išlyginamasis sluoksnis gali būti neįrengiamas atitinkamai padidinus asfalto apatinio sluoksnio storį.</w:t>
            </w:r>
          </w:p>
        </w:tc>
      </w:tr>
    </w:tbl>
    <w:p w14:paraId="75645106">
      <w:pPr>
        <w:pStyle w:val="Bodytext1"/>
        <w:shd w:val="clear" w:color="auto" w:fill="auto"/>
        <w:tabs>
          <w:tab w:val="left" w:pos="426"/>
        </w:tabs>
        <w:spacing w:before="0" w:after="0" w:line="240" w:lineRule="auto"/>
        <w:ind w:right="55" w:firstLine="0"/>
        <w:jc w:val="both"/>
        <w:rPr>
          <w:rFonts w:ascii="Arial Narrow" w:hAnsi="Arial Narrow"/>
          <w:i/>
          <w:iCs/>
          <w:sz w:val="20"/>
          <w:szCs w:val="20"/>
        </w:rPr>
      </w:pPr>
    </w:p>
    <w:p w14:paraId="75645107">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Važiuojamosios dalies skersiniai nuolydžiai tiesėse ir kreivėse turi atitikti KTR 1.01:2008  reikalavimus.</w:t>
      </w:r>
    </w:p>
    <w:p w14:paraId="75645108">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Numatyti vertikalų kelio planavimą nuleidžiant vandenį nuo važiuojamosios dalies į pakelės griovius.</w:t>
      </w:r>
    </w:p>
    <w:p w14:paraId="75645109">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Numatyti 30-50 m ilgio </w:t>
      </w:r>
      <w:r>
        <w:rPr>
          <w:rFonts w:ascii="Arial Narrow" w:hAnsi="Arial Narrow"/>
          <w:b/>
          <w:bCs/>
          <w:sz w:val="20"/>
          <w:szCs w:val="20"/>
        </w:rPr>
        <w:t xml:space="preserve">sklandų</w:t>
      </w:r>
      <w:r>
        <w:rPr>
          <w:rFonts w:ascii="Arial Narrow" w:hAnsi="Arial Narrow"/>
          <w:sz w:val="20"/>
          <w:szCs w:val="20"/>
        </w:rPr>
        <w:t xml:space="preserve"> asfalto dangų pasijungimą su esamomis neremontuojamomis dangomis už remontuojamo objekto ribų.</w:t>
      </w:r>
    </w:p>
    <w:p w14:paraId="7564510A">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 76,5 km esančioje aikštelėje atnaujinti asfalto dangos viršutinį sluoksnį 4 cm storiu (SMA8S/ SMA11S) pagal ĮT APM 25 reikalavimus. Numatyti pažeistų asfalto dangos vietų (</w:t>
      </w:r>
      <w:r>
        <w:rPr>
          <w:rFonts w:ascii="Arial Narrow" w:hAnsi="Arial Narrow"/>
          <w:sz w:val="20"/>
          <w:szCs w:val="20"/>
        </w:rPr>
        <w:t xml:space="preserve">išdaužos</w:t>
      </w:r>
      <w:r>
        <w:rPr>
          <w:rFonts w:ascii="Arial Narrow" w:hAnsi="Arial Narrow"/>
          <w:sz w:val="20"/>
          <w:szCs w:val="20"/>
        </w:rPr>
        <w:t xml:space="preserve">, plyšių tinklas, nutrupėję dangos kraštai) išfrezavimą ir užtaisymą asfalto mišiniu pagal ĮT APM 25, visu esamu asfalto dangos storiu. Aikštelė nuo važiuojamosios dalies turi būti atskirta įrengiant iškilią saugumo salelę. Iškilios salelės dangos konstrukcija parenkama pagal Automobilių kelių standartizuotų dangų konstrukcijų projektavimo taisykles.</w:t>
      </w:r>
    </w:p>
    <w:p w14:paraId="7564510B">
      <w:pPr>
        <w:pStyle w:val="Bodytext1"/>
        <w:shd w:val="clear" w:color="auto" w:fill="auto"/>
        <w:tabs>
          <w:tab w:val="left" w:pos="0"/>
        </w:tabs>
        <w:spacing w:before="0" w:after="0" w:line="240" w:lineRule="auto"/>
        <w:ind w:left="284" w:right="55" w:firstLine="0"/>
        <w:jc w:val="both"/>
        <w:rPr>
          <w:rFonts w:ascii="Arial Narrow" w:hAnsi="Arial Narrow"/>
          <w:sz w:val="20"/>
          <w:szCs w:val="20"/>
        </w:rPr>
      </w:pPr>
    </w:p>
    <w:p w14:paraId="7564510C">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Kelkraščiai ir skiriamoji juosta</w:t>
      </w:r>
    </w:p>
    <w:p w14:paraId="7564510D">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Pr>
          <w:rFonts w:ascii="Arial Narrow" w:hAnsi="Arial Narrow"/>
          <w:color w:val="000000"/>
          <w:sz w:val="20"/>
          <w:szCs w:val="20"/>
        </w:rPr>
        <w:t xml:space="preserve">Ruože 67,256-68,59 km skiriamojoje juostoje</w:t>
      </w:r>
      <w:r>
        <w:rPr>
          <w:rFonts w:ascii="Arial Narrow" w:hAnsi="Arial Narrow"/>
          <w:color w:val="000000"/>
          <w:sz w:val="20"/>
          <w:szCs w:val="20"/>
        </w:rPr>
        <w:t xml:space="preserve"> įrengti viršutinio kelkraščio sluoksnį 0,75 m pločiu pagal 4.2.2 punkto reikalavimus, likusioje dalyje atstatyti  esamą augalinį </w:t>
      </w:r>
      <w:r>
        <w:rPr>
          <w:rFonts w:ascii="Arial Narrow" w:hAnsi="Arial Narrow"/>
          <w:sz w:val="20"/>
          <w:szCs w:val="20"/>
        </w:rPr>
        <w:t xml:space="preserve">sluoksnį, įrengiant juodžemio sluoksnį ir apsėjant žole, bei sklandžiai suvedant dangas ir užtikrinant vandens nutekėjimą..</w:t>
      </w:r>
    </w:p>
    <w:p w14:paraId="7564510E">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color w:val="000000"/>
          <w:sz w:val="20"/>
          <w:szCs w:val="20"/>
        </w:rPr>
        <w:t xml:space="preserve">Ruože 67,256-68,59 km </w:t>
      </w:r>
      <w:r>
        <w:rPr>
          <w:rFonts w:ascii="Arial Narrow" w:hAnsi="Arial Narrow"/>
          <w:sz w:val="20"/>
          <w:szCs w:val="20"/>
        </w:rPr>
        <w:t xml:space="preserve">viršutinio kelkraščio sluoksnį 0,75 m pločiu (jungiamuosiuose keliuose 1,0 m pločiu) 8% skersiniu nuolydžiu. Jei trūksta esamo kelkraščio pločio, kelkraštį įrengti iki esamos kelio briaunos. Tuo atveju kai esamas kelkraštis platesnis nei 0,75 m  (jungiamuosiuose keliuose nei 1,0 m), likusioje netvirtinamo kelkraščio dalyje suformuoti ≥8,0% nuolydį iki kelio briaunos, pašalinant užaukštėjusias kelkraščių briaunas, trukdančios nutekėti vandeniui, jei tokių yra, ir sustiprinant suformuotą šlaitą neplonesniu ne</w:t>
      </w:r>
      <w:r>
        <w:rPr>
          <w:rFonts w:ascii="Arial Narrow" w:hAnsi="Arial Narrow"/>
          <w:sz w:val="20"/>
          <w:szCs w:val="20"/>
        </w:rPr>
        <w:t xml:space="preserve">i 6 cm storio dirvožemio sluoksniu apsėjant žole. Kelkraščiai turi būti įrengti pagal ĮT SBR 19, TRA SBR 19 reikalavimus ir pridedamą schemą (žr. 1 pav.). Turi būti įrengtas ne plonesnis nei 10 cm storio viršutinis kelkraščio sluoksnis naudojant </w:t>
      </w:r>
      <w:r>
        <w:rPr>
          <w:rFonts w:ascii="Arial Narrow" w:hAnsi="Arial Narrow"/>
          <w:sz w:val="20"/>
          <w:szCs w:val="20"/>
        </w:rPr>
        <w:t xml:space="preserve">skaldažolės</w:t>
      </w:r>
      <w:r>
        <w:rPr>
          <w:rFonts w:ascii="Arial Narrow" w:hAnsi="Arial Narrow"/>
          <w:sz w:val="20"/>
          <w:szCs w:val="20"/>
        </w:rPr>
        <w:t xml:space="preserve"> mišinius nurodytus TRA SBR 19 63.2 ir 65 punktuose, pridedant 15 % dirvožemio, naudojant </w:t>
      </w:r>
      <w:r>
        <w:rPr>
          <w:rFonts w:ascii="Arial Narrow" w:hAnsi="Arial Narrow"/>
          <w:sz w:val="20"/>
          <w:szCs w:val="20"/>
        </w:rPr>
        <w:t xml:space="preserve">fr</w:t>
      </w:r>
      <w:r>
        <w:rPr>
          <w:rFonts w:ascii="Arial Narrow" w:hAnsi="Arial Narrow"/>
          <w:sz w:val="20"/>
          <w:szCs w:val="20"/>
        </w:rPr>
        <w:t xml:space="preserve">. 11/16 arba 11/22 skaldą. Jeigu yra </w:t>
      </w:r>
      <w:r>
        <w:rPr>
          <w:rFonts w:ascii="Arial Narrow" w:hAnsi="Arial Narrow"/>
          <w:sz w:val="20"/>
          <w:szCs w:val="20"/>
        </w:rPr>
        <w:t xml:space="preserve">didelis projektinės dangos paaukštėjimas, leidžiama įrengti ir apatinį kelkraščio sluoksnį vadovaujantis ĮT SBR 19 ir TRA SBR </w:t>
      </w:r>
      <w:r>
        <w:rPr>
          <w:rFonts w:ascii="Arial Narrow" w:hAnsi="Arial Narrow"/>
          <w:sz w:val="20"/>
          <w:szCs w:val="20"/>
        </w:rPr>
        <w:t xml:space="preserve">19 reikalavimais.</w:t>
      </w:r>
    </w:p>
    <w:p w14:paraId="7564510F">
      <w:pPr>
        <w:pStyle w:val="Bodytext1"/>
        <w:shd w:val="clear" w:color="auto" w:fill="auto"/>
        <w:tabs>
          <w:tab w:val="left" w:pos="426"/>
        </w:tabs>
        <w:spacing w:before="0" w:after="0" w:line="240" w:lineRule="auto"/>
        <w:ind w:right="55" w:firstLine="0"/>
        <w:jc w:val="both"/>
        <w:rPr>
          <w:rFonts w:ascii="Arial Narrow" w:hAnsi="Arial Narrow"/>
          <w:sz w:val="20"/>
          <w:szCs w:val="20"/>
        </w:rPr>
      </w:pPr>
    </w:p>
    <w:tbl>
      <w:tblPr>
        <w:tblStyle w:val="Lentelstinklelis"/>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trPr/>
        <w:tc>
          <w:tcPr>
            <w:tcW w:type="dxa" w:w="4814"/>
            <w:tcBorders/>
          </w:tcPr>
          <w:p>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noProof/>
                <w:sz w:val="20"/>
                <w:szCs w:val="20"/>
              </w:rPr>
              <w:drawing>
                <wp:inline>
                  <wp:extent cx="2781300" cy="1102930"/>
                  <wp:effectExtent xmlns:wp="http://schemas.openxmlformats.org/drawingml/2006/wordprocessingDrawing"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a:srcRect/>
                          <a:stretch>
                            <a:fillRect/>
                          </a:stretch>
                        </pic:blipFill>
                        <pic:spPr bwMode="auto">
                          <a:xfrm>
                            <a:off x="0" y="0"/>
                            <a:ext cx="2781300" cy="1102930"/>
                          </a:xfrm>
                          <a:prstGeom prst="rect">
                            <a:avLst/>
                          </a:prstGeom>
                        </pic:spPr>
                      </pic:pic>
                    </a:graphicData>
                  </a:graphic>
                </wp:inline>
              </w:drawing>
            </w:r>
          </w:p>
        </w:tc>
        <w:tc>
          <w:tcPr>
            <w:tcW w:type="dxa" w:w="4814"/>
            <w:tcBorders/>
          </w:tcPr>
          <w:p>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noProof/>
                <w:sz w:val="20"/>
                <w:szCs w:val="20"/>
              </w:rPr>
              <w:drawing>
                <wp:inline>
                  <wp:extent cx="2400566" cy="1076325"/>
                  <wp:effectExtent xmlns:wp="http://schemas.openxmlformats.org/drawingml/2006/wordprocessingDrawing"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
                          <a:srcRect/>
                          <a:stretch>
                            <a:fillRect/>
                          </a:stretch>
                        </pic:blipFill>
                        <pic:spPr bwMode="auto">
                          <a:xfrm>
                            <a:off x="0" y="0"/>
                            <a:ext cx="2400566" cy="1076325"/>
                          </a:xfrm>
                          <a:prstGeom prst="rect">
                            <a:avLst/>
                          </a:prstGeom>
                        </pic:spPr>
                      </pic:pic>
                    </a:graphicData>
                  </a:graphic>
                </wp:inline>
              </w:drawing>
            </w:r>
          </w:p>
        </w:tc>
      </w:tr>
    </w:tbl>
    <w:p w14:paraId="75645113">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 xml:space="preserve">Kelkraščių tvarkymo principinė schema.</w:t>
      </w:r>
    </w:p>
    <w:p w14:paraId="75645114">
      <w:pPr>
        <w:pStyle w:val="Bodytext1"/>
        <w:shd w:val="clear" w:color="auto" w:fill="auto"/>
        <w:tabs>
          <w:tab w:val="left" w:pos="426"/>
        </w:tabs>
        <w:spacing w:before="0" w:after="0" w:line="240" w:lineRule="auto"/>
        <w:ind w:right="55" w:firstLine="0"/>
        <w:jc w:val="both"/>
        <w:rPr>
          <w:rFonts w:ascii="Arial Narrow" w:hAnsi="Arial Narrow"/>
          <w:sz w:val="20"/>
          <w:szCs w:val="20"/>
        </w:rPr>
      </w:pPr>
    </w:p>
    <w:p w14:paraId="75645115">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color w:val="000000"/>
          <w:sz w:val="20"/>
          <w:szCs w:val="20"/>
        </w:rPr>
        <w:t xml:space="preserve">Ruože 68,59-80,416 km </w:t>
      </w:r>
      <w:r>
        <w:rPr>
          <w:rFonts w:ascii="Arial Narrow" w:hAnsi="Arial Narrow"/>
          <w:sz w:val="20"/>
          <w:szCs w:val="20"/>
        </w:rPr>
        <w:t xml:space="preserve">viršutinio kelkraščio sluoksnį 1,5 m pločiu </w:t>
      </w:r>
      <w:r>
        <w:rPr>
          <w:rFonts w:ascii="Arial Narrow" w:hAnsi="Arial Narrow"/>
          <w:sz w:val="20"/>
          <w:szCs w:val="20"/>
        </w:rPr>
        <w:t xml:space="preserve"> 8% skersiniu nuolydžiu. Jei trūksta esamo kelkraščio pločio, kelkraštį įrengti iki esamos kelio briaunos. Tuo atveju kai esamas kelkraštis platesnis nei 1,5 m, likusioje netvirtinamo kelkraščio dalyje suformuoti ≥8,0% nuolydį iki kelio briaunos, pašalinant užaukštėjusias kelkraščių briaunas, trukdančios nutekėti vandeniui, jei tokių yra, ir sustiprinant suformuotą šlaitą neplonesniu nei 6 cm storio dirvožemio sluoksniu apsėjant žole. Kelkraščiai turi būti įrengti pagal ĮT SBR 19, TRA SBR 19 reikalavimus ir</w:t>
      </w:r>
      <w:r>
        <w:rPr>
          <w:rFonts w:ascii="Arial Narrow" w:hAnsi="Arial Narrow"/>
          <w:sz w:val="20"/>
          <w:szCs w:val="20"/>
        </w:rPr>
        <w:t xml:space="preserve"> pridedamą schemą (žr. 1 pav.). Turi būti įrengtas ne plonesnis nei 10 cm storio viršutinis kelkraščio sluoksnis naudojant </w:t>
      </w:r>
      <w:r>
        <w:rPr>
          <w:rFonts w:ascii="Arial Narrow" w:hAnsi="Arial Narrow"/>
          <w:sz w:val="20"/>
          <w:szCs w:val="20"/>
        </w:rPr>
        <w:t xml:space="preserve">skaldažolės</w:t>
      </w:r>
      <w:r>
        <w:rPr>
          <w:rFonts w:ascii="Arial Narrow" w:hAnsi="Arial Narrow"/>
          <w:sz w:val="20"/>
          <w:szCs w:val="20"/>
        </w:rPr>
        <w:t xml:space="preserve"> mišinius nurodytus TRA SBR 19 63.2 ir 65 punktuose, pridedant 15 % dirvožemio, naudojant </w:t>
      </w:r>
      <w:r>
        <w:rPr>
          <w:rFonts w:ascii="Arial Narrow" w:hAnsi="Arial Narrow"/>
          <w:sz w:val="20"/>
          <w:szCs w:val="20"/>
        </w:rPr>
        <w:t xml:space="preserve">fr</w:t>
      </w:r>
      <w:r>
        <w:rPr>
          <w:rFonts w:ascii="Arial Narrow" w:hAnsi="Arial Narrow"/>
          <w:sz w:val="20"/>
          <w:szCs w:val="20"/>
        </w:rPr>
        <w:t xml:space="preserve">. 11/16 arba 11/22 skaldą. Jeigu yra didelis projektinės dangos paaukštėjimas, leidžiama įrengti ir apatinį kelkraščio sluoksnį vadovaujantis ĮT SBR 19 ir TRA SBR 19 reikalavimais</w:t>
      </w:r>
    </w:p>
    <w:p w14:paraId="75645116">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75645117">
      <w:pPr>
        <w:pStyle w:val="Bodytext1"/>
        <w:shd w:val="clear" w:color="auto" w:fill="auto"/>
        <w:tabs>
          <w:tab w:val="left" w:pos="0"/>
        </w:tabs>
        <w:spacing w:before="0" w:after="0" w:line="240" w:lineRule="auto"/>
        <w:ind w:right="55" w:firstLine="0"/>
        <w:jc w:val="both"/>
        <w:rPr>
          <w:rFonts w:ascii="Arial Narrow" w:hAnsi="Arial Narrow"/>
          <w:sz w:val="20"/>
          <w:szCs w:val="20"/>
        </w:rPr>
      </w:pPr>
    </w:p>
    <w:tbl>
      <w:tblPr>
        <w:tblStyle w:val="Lentelstinklelis"/>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trPr/>
        <w:tc>
          <w:tcPr>
            <w:tcW w:type="dxa" w:w="4814"/>
            <w:tcBorders/>
          </w:tcPr>
          <w:p>
            <w:pPr>
              <w:pStyle w:val="Bodytext1"/>
              <w:shd w:val="clear" w:color="auto" w:fill="auto"/>
              <w:tabs>
                <w:tab w:val="left" w:pos="0"/>
              </w:tabs>
              <w:spacing w:before="0" w:after="0" w:line="240" w:lineRule="auto"/>
              <w:ind w:right="55" w:firstLine="0"/>
              <w:jc w:val="both"/>
              <w:rPr>
                <w:rFonts w:ascii="Arial Narrow" w:hAnsi="Arial Narrow"/>
                <w:sz w:val="20"/>
                <w:szCs w:val="20"/>
              </w:rPr>
            </w:pPr>
            <w:r>
              <w:rPr>
                <w:noProof/>
              </w:rPr>
              <w:drawing>
                <wp:inline>
                  <wp:extent cx="2846717" cy="1106299"/>
                  <wp:effectExtent xmlns:wp="http://schemas.openxmlformats.org/drawingml/2006/wordprocessingDrawing" l="0" t="0" r="0" b="0"/>
                  <wp:docPr id="3" descr="Paveikslėlis, kuriame yra tekstas, ekrano kopija, Šriftas, linija&#10;&#10;Automatiškai sugeneruotas aprašymas"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
                          <a:srcRect/>
                          <a:stretch>
                            <a:fillRect/>
                          </a:stretch>
                        </pic:blipFill>
                        <pic:spPr bwMode="auto">
                          <a:xfrm>
                            <a:off x="0" y="0"/>
                            <a:ext cx="2846717" cy="1106299"/>
                          </a:xfrm>
                          <a:prstGeom prst="rect">
                            <a:avLst/>
                          </a:prstGeom>
                        </pic:spPr>
                      </pic:pic>
                    </a:graphicData>
                  </a:graphic>
                </wp:inline>
              </w:drawing>
            </w:r>
          </w:p>
        </w:tc>
        <w:tc>
          <w:tcPr>
            <w:tcW w:type="dxa" w:w="4814"/>
            <w:tcBorders/>
          </w:tcPr>
          <w:p>
            <w:pPr>
              <w:pStyle w:val="Bodytext1"/>
              <w:shd w:val="clear" w:color="auto" w:fill="auto"/>
              <w:tabs>
                <w:tab w:val="left" w:pos="0"/>
              </w:tabs>
              <w:spacing w:before="0" w:after="0" w:line="240" w:lineRule="auto"/>
              <w:ind w:right="55" w:firstLine="0"/>
              <w:jc w:val="both"/>
              <w:rPr>
                <w:rFonts w:ascii="Arial Narrow" w:hAnsi="Arial Narrow"/>
                <w:sz w:val="20"/>
                <w:szCs w:val="20"/>
              </w:rPr>
            </w:pPr>
            <w:r>
              <w:rPr>
                <w:noProof/>
              </w:rPr>
              <w:drawing>
                <wp:inline>
                  <wp:extent cx="2665562" cy="1131120"/>
                  <wp:effectExtent xmlns:wp="http://schemas.openxmlformats.org/drawingml/2006/wordprocessingDrawing" l="0" t="0" r="1905" b="0"/>
                  <wp:docPr id="4" descr="Paveikslėlis, kuriame yra tekstas, ekrano kopija, linija, diagrama&#10;&#10;Automatiškai sugeneruotas aprašymas"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
                          <a:srcRect/>
                          <a:stretch>
                            <a:fillRect/>
                          </a:stretch>
                        </pic:blipFill>
                        <pic:spPr bwMode="auto">
                          <a:xfrm>
                            <a:off x="0" y="0"/>
                            <a:ext cx="2665562" cy="1131120"/>
                          </a:xfrm>
                          <a:prstGeom prst="rect">
                            <a:avLst/>
                          </a:prstGeom>
                        </pic:spPr>
                      </pic:pic>
                    </a:graphicData>
                  </a:graphic>
                </wp:inline>
              </w:drawing>
            </w:r>
          </w:p>
        </w:tc>
      </w:tr>
    </w:tbl>
    <w:p w14:paraId="7564511B">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 xml:space="preserve">Kelkraščių tvarkymo principinė schema.</w:t>
      </w:r>
    </w:p>
    <w:p w14:paraId="7564511C">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7564511D">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 Sankryžos ir nuovažos</w:t>
      </w:r>
    </w:p>
    <w:p w14:paraId="7564511E">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Pr>
          <w:rFonts w:ascii="Arial Narrow" w:hAnsi="Arial Narrow"/>
          <w:sz w:val="20"/>
          <w:szCs w:val="20"/>
        </w:rPr>
        <w:t xml:space="preserve">68,3</w:t>
      </w:r>
      <w:r>
        <w:rPr>
          <w:rFonts w:ascii="Arial Narrow" w:hAnsi="Arial Narrow"/>
          <w:sz w:val="20"/>
          <w:szCs w:val="20"/>
        </w:rPr>
        <w:t xml:space="preserve"> km esančioje dviejų lygių sankryžoje žemiau pateiktoje principinėje schemoje nurodytuose jungiamuosiuose keliuose atnaujinti asfalto dangos viršutinį sluoksnį 4 cm storiu (SMA8S/ SMA11S) pagal ĮT APM 25 reikalavimus. Numatyti pažeistų asfalto dangos vietų (</w:t>
      </w:r>
      <w:r>
        <w:rPr>
          <w:rFonts w:ascii="Arial Narrow" w:hAnsi="Arial Narrow"/>
          <w:sz w:val="20"/>
          <w:szCs w:val="20"/>
        </w:rPr>
        <w:t xml:space="preserve">išdaužos</w:t>
      </w:r>
      <w:r>
        <w:rPr>
          <w:rFonts w:ascii="Arial Narrow" w:hAnsi="Arial Narrow"/>
          <w:sz w:val="20"/>
          <w:szCs w:val="20"/>
        </w:rPr>
        <w:t xml:space="preserve">, plyšių tinklas, nutrupėję dangos kraštai) išfrezavimą ir užtaisymą asfalto mišiniu pagal ĮT APM 25, visu esamu asfalto dangos storiu.</w:t>
      </w:r>
    </w:p>
    <w:p w14:paraId="7564511F">
      <w:pPr>
        <w:pStyle w:val="Bodytext1"/>
        <w:shd w:val="clear" w:color="auto" w:fill="auto"/>
        <w:tabs>
          <w:tab w:val="left" w:pos="426"/>
        </w:tabs>
        <w:spacing w:before="0" w:after="0" w:line="240" w:lineRule="auto"/>
        <w:ind w:right="55" w:firstLine="0"/>
        <w:jc w:val="both"/>
        <w:rPr>
          <w:rFonts w:ascii="Arial Narrow" w:hAnsi="Arial Narrow"/>
          <w:sz w:val="20"/>
          <w:szCs w:val="20"/>
        </w:rPr>
      </w:pPr>
    </w:p>
    <w:p w14:paraId="75645120">
      <w:pPr>
        <w:pStyle w:val="Bodytext1"/>
        <w:shd w:val="clear" w:color="auto" w:fill="auto"/>
        <w:tabs>
          <w:tab w:val="left" w:pos="426"/>
        </w:tabs>
        <w:spacing w:before="0" w:after="0" w:line="240" w:lineRule="auto"/>
        <w:ind w:right="55" w:firstLine="0"/>
        <w:jc w:val="center"/>
        <w:rPr>
          <w:rFonts w:ascii="Arial Narrow" w:hAnsi="Arial Narrow"/>
          <w:sz w:val="20"/>
          <w:szCs w:val="20"/>
        </w:rPr>
      </w:pPr>
      <w:r>
        <w:rPr>
          <w:rFonts w:ascii="Arial Narrow" w:hAnsi="Arial Narrow"/>
          <w:noProof/>
          <w:sz w:val="20"/>
          <w:szCs w:val="20"/>
        </w:rPr>
        <w:drawing>
          <wp:inline>
            <wp:extent cx="1764623" cy="2199736"/>
            <wp:effectExtent xmlns:wp="http://schemas.openxmlformats.org/drawingml/2006/wordprocessingDrawing" l="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
                    <a:srcRect/>
                    <a:stretch>
                      <a:fillRect/>
                    </a:stretch>
                  </pic:blipFill>
                  <pic:spPr bwMode="auto">
                    <a:xfrm>
                      <a:off x="0" y="0"/>
                      <a:ext cx="1764623" cy="2199736"/>
                    </a:xfrm>
                    <a:prstGeom prst="rect">
                      <a:avLst/>
                    </a:prstGeom>
                  </pic:spPr>
                </pic:pic>
              </a:graphicData>
            </a:graphic>
          </wp:inline>
        </w:drawing>
      </w:r>
    </w:p>
    <w:p w14:paraId="75645121">
      <w:pPr>
        <w:pStyle w:val="Bodytext1"/>
        <w:shd w:val="clear" w:color="auto" w:fill="auto"/>
        <w:tabs>
          <w:tab w:val="left" w:pos="426"/>
        </w:tabs>
        <w:spacing w:before="0" w:after="0" w:line="240" w:lineRule="auto"/>
        <w:ind w:right="55" w:firstLine="0"/>
        <w:jc w:val="center"/>
        <w:rPr>
          <w:rFonts w:ascii="Arial Narrow" w:hAnsi="Arial Narrow"/>
          <w:sz w:val="20"/>
          <w:szCs w:val="20"/>
        </w:rPr>
      </w:pPr>
      <w:r>
        <w:rPr>
          <w:rFonts w:ascii="Arial Narrow" w:hAnsi="Arial Narrow"/>
          <w:sz w:val="20"/>
          <w:szCs w:val="20"/>
        </w:rPr>
        <w:t xml:space="preserve">Sankryžos jungiamųjų kelių tvarkymo principinė schema</w:t>
      </w:r>
    </w:p>
    <w:p w14:paraId="75645122">
      <w:pPr>
        <w:pStyle w:val="Bodytext1"/>
        <w:shd w:val="clear" w:color="auto" w:fill="auto"/>
        <w:tabs>
          <w:tab w:val="left" w:pos="426"/>
        </w:tabs>
        <w:spacing w:before="0" w:after="0" w:line="240" w:lineRule="auto"/>
        <w:ind w:right="55" w:firstLine="0"/>
        <w:jc w:val="both"/>
        <w:rPr>
          <w:rFonts w:ascii="Arial Narrow" w:hAnsi="Arial Narrow"/>
          <w:color w:val="FF0000"/>
          <w:sz w:val="20"/>
          <w:szCs w:val="20"/>
        </w:rPr>
      </w:pPr>
    </w:p>
    <w:p w14:paraId="75645123">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Pr>
          <w:rFonts w:ascii="Arial Narrow" w:hAnsi="Arial Narrow"/>
          <w:sz w:val="20"/>
          <w:szCs w:val="20"/>
        </w:rPr>
        <w:t xml:space="preserve">Atnaujinti sankryžų/nuovažų su asfalto danga viršutinį sluoksnį, sklandžiai suvedant dangas iki kelio juostos ribų vadovaujantis ĮT APM 10. Netaisyklingos geometrijos sankryžos/ nuovažos su asfalto danga, turi būti koreguojamos, kad atitiktų R36-01 ar  STR 2.06.04:2014 reikalavimus. Pagrįstais atvejais, kai sankryžos/nuovažos techninius parametrus sudėtinga atstatyti pagal R36-01 ar  STR 2.06.04:2014 reikalavimus (riboja kelio sklypo ribos, esama sankasa, neįmanoma tvarkingai suvesti su vietiniu keliu ir kt</w:t>
      </w:r>
      <w:r>
        <w:rPr>
          <w:rFonts w:ascii="Arial Narrow" w:hAnsi="Arial Narrow"/>
          <w:sz w:val="20"/>
          <w:szCs w:val="20"/>
        </w:rPr>
        <w:t xml:space="preserve">.), tokios sankryžos/nuovažos koreguojamos maksimaliai kiek tai leidžia esamos sąlygos (minėti atvejai projektuotojo turi būti pagrįsti).</w:t>
      </w:r>
    </w:p>
    <w:p w14:paraId="75645124">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Pr>
          <w:rFonts w:ascii="Arial Narrow" w:hAnsi="Arial Narrow"/>
          <w:sz w:val="20"/>
          <w:szCs w:val="20"/>
        </w:rPr>
        <w:t xml:space="preserve">Išasfaltuoti esamas nuovažas/sankryžas į vietinės reikšmės kelius/gatves su žvyro danga iki kelio sklypo ribos pagal R 36-01 ar  STR 2.06.04:2014 reikalavimus. Dangos konstrukciją parenkant pagal Automobilių kelių standartizuotų dangų konstrukcijų projektavimo taisyklių reikalavimus. Esant poreikiui įrengti pralaidas ne mažesnio diametro nei d400. Netaisyklingos geometrijos sankryžos/ nuovažos su žvyro danga, turi būti koreguojamos, kad atitiktų R36-01 reikalavimus. Pagrįstais atvejais, kai sankryžos/nuovaž</w:t>
      </w:r>
      <w:r>
        <w:rPr>
          <w:rFonts w:ascii="Arial Narrow" w:hAnsi="Arial Narrow"/>
          <w:sz w:val="20"/>
          <w:szCs w:val="20"/>
        </w:rPr>
        <w:t xml:space="preserve">os techninius parametrus sudėtinga atstatyti pagal R36-01 reikalavimus (riboja kelio sklypo ribos, esama sankasa, neįmanoma tvarkingai suvesti su vietiniu keliu ir kt.), tokios sankryžos/nuovažos koreguojamos maksimaliai kiek tai leidžia esamos sąlygos (minėti atvejai projektuotojo turi būti pagrįsti).</w:t>
      </w:r>
    </w:p>
    <w:p w14:paraId="75645125">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FF0000"/>
          <w:sz w:val="20"/>
          <w:szCs w:val="20"/>
        </w:rPr>
      </w:pPr>
      <w:r>
        <w:rPr>
          <w:rFonts w:ascii="Arial Narrow" w:hAnsi="Arial Narrow"/>
          <w:sz w:val="20"/>
          <w:szCs w:val="20"/>
        </w:rPr>
        <w:t xml:space="preserve">Įrengti remontuojamo kelio asfalto dangos išplatinimą 1 m pločiu esamų nuovažų į sodybas/sklypus su žvyro danga ribose ant esamos dangos (nemažesnio nei 6 cm storio </w:t>
      </w:r>
      <w:r>
        <w:rPr>
          <w:rFonts w:ascii="Arial Narrow" w:hAnsi="Arial Narrow"/>
          <w:sz w:val="20"/>
          <w:szCs w:val="20"/>
        </w:rPr>
        <w:t xml:space="preserve">viensluoksnę</w:t>
      </w:r>
      <w:r>
        <w:rPr>
          <w:rFonts w:ascii="Arial Narrow" w:hAnsi="Arial Narrow"/>
          <w:sz w:val="20"/>
          <w:szCs w:val="20"/>
        </w:rPr>
        <w:t xml:space="preserve"> asfalto dangą (iš mišinio AC16PD) arba </w:t>
      </w:r>
      <w:r>
        <w:rPr>
          <w:rFonts w:ascii="Arial Narrow" w:hAnsi="Arial Narrow"/>
          <w:sz w:val="20"/>
          <w:szCs w:val="20"/>
        </w:rPr>
        <w:t xml:space="preserve">dvisluoksnę</w:t>
      </w:r>
      <w:r>
        <w:rPr>
          <w:rFonts w:ascii="Arial Narrow" w:hAnsi="Arial Narrow"/>
          <w:sz w:val="20"/>
          <w:szCs w:val="20"/>
        </w:rPr>
        <w:t xml:space="preserve"> asfalto dangą (apatiniams sluoksniams turi būti naudojami asfalto pagrindo mišiniai pagal ĮT Asfaltas 25 reikalavimus, skirti įrengti ant nesurištųjų medžiagų mišinio pagrindo sluoksnio), sklandžiai suvedant dangas. Likusioje nuovažų/sankryžų su žvyro danga dalyje įrengti sklandų žvyro dangos sujungimą iki remontuojamo kelio posūkių atlankų spindulių pabaigos ar iki kelio juostos ribos pagal ĮT SBR 19 reikalavimus.</w:t>
      </w:r>
    </w:p>
    <w:p w14:paraId="75645126">
      <w:pPr>
        <w:pStyle w:val="Bodytext1"/>
        <w:shd w:val="clear" w:color="auto" w:fill="auto"/>
        <w:tabs>
          <w:tab w:val="left" w:pos="709"/>
        </w:tabs>
        <w:spacing w:before="0" w:after="0" w:line="240" w:lineRule="auto"/>
        <w:ind w:right="55" w:firstLine="0"/>
        <w:jc w:val="both"/>
        <w:rPr>
          <w:rFonts w:ascii="Arial Narrow" w:hAnsi="Arial Narrow"/>
          <w:sz w:val="20"/>
          <w:szCs w:val="20"/>
        </w:rPr>
      </w:pPr>
      <w:r>
        <w:rPr>
          <w:rFonts w:ascii="Arial Narrow" w:hAnsi="Arial Narrow"/>
          <w:b/>
          <w:bCs/>
          <w:sz w:val="20"/>
          <w:szCs w:val="20"/>
        </w:rPr>
        <w:t xml:space="preserve">Pastaba. </w:t>
      </w:r>
      <w:r>
        <w:rPr>
          <w:rFonts w:ascii="Arial Narrow" w:hAnsi="Arial Narrow"/>
          <w:sz w:val="20"/>
          <w:szCs w:val="20"/>
        </w:rPr>
        <w:t xml:space="preserve">Tiekėjas turi</w:t>
      </w:r>
      <w:r>
        <w:rPr>
          <w:rFonts w:ascii="Arial Narrow" w:hAnsi="Arial Narrow"/>
          <w:b/>
          <w:bCs/>
          <w:sz w:val="20"/>
          <w:szCs w:val="20"/>
        </w:rPr>
        <w:t xml:space="preserve"> išanalizuoti </w:t>
      </w:r>
      <w:r>
        <w:rPr>
          <w:rFonts w:ascii="Arial Narrow" w:hAnsi="Arial Narrow"/>
          <w:sz w:val="20"/>
          <w:szCs w:val="20"/>
        </w:rPr>
        <w:t xml:space="preserve">kiekvienos nuovažos esamą situaciją, kadastro duomenis, žemėtvarkos planavimo dokumentus, patalpintus informacinėse sistemose (</w:t>
      </w:r>
      <w:r>
        <w:rPr/>
        <w:fldChar w:fldCharType="begin"/>
      </w:r>
      <w:r>
        <w:rPr/>
        <w:instrText xml:space="preserve">HYPERLINK "http://www.zpdris.lt" </w:instrText>
      </w:r>
      <w:r>
        <w:rPr/>
        <w:fldChar w:fldCharType="separate"/>
      </w:r>
      <w:r>
        <w:rPr>
          <w:rStyle w:val="Hipersaitas"/>
          <w:rFonts w:ascii="Arial Narrow" w:hAnsi="Arial Narrow"/>
          <w:color w:val="auto"/>
          <w:sz w:val="20"/>
          <w:szCs w:val="20"/>
        </w:rPr>
        <w:t xml:space="preserve">www.zpdris.lt</w:t>
      </w:r>
      <w:r>
        <w:rPr/>
        <w:fldChar w:fldCharType="end"/>
      </w:r>
      <w:r>
        <w:rPr>
          <w:rFonts w:ascii="Arial Narrow" w:hAnsi="Arial Narrow"/>
          <w:sz w:val="20"/>
          <w:szCs w:val="20"/>
        </w:rPr>
        <w:t xml:space="preserve">), ir teritorijų planavimo dokumentus viešai prieinamose informacinėse sistemose (www.tpdr.lt ar www.tpdris.lt).</w:t>
      </w:r>
    </w:p>
    <w:p w14:paraId="75645127">
      <w:pPr>
        <w:pStyle w:val="Bodytext1"/>
        <w:shd w:val="clear" w:color="auto" w:fill="auto"/>
        <w:tabs>
          <w:tab w:val="left" w:pos="709"/>
        </w:tabs>
        <w:spacing w:before="0" w:after="0" w:line="240" w:lineRule="auto"/>
        <w:ind w:right="55" w:firstLine="0"/>
        <w:jc w:val="both"/>
        <w:rPr>
          <w:rFonts w:ascii="Arial Narrow" w:hAnsi="Arial Narrow"/>
          <w:color w:val="000000"/>
          <w:sz w:val="20"/>
          <w:szCs w:val="20"/>
        </w:rPr>
      </w:pPr>
    </w:p>
    <w:p w14:paraId="75645128">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000000"/>
          <w:sz w:val="20"/>
          <w:szCs w:val="20"/>
        </w:rPr>
      </w:pPr>
      <w:r>
        <w:rPr>
          <w:rFonts w:ascii="Arial Narrow" w:hAnsi="Arial Narrow"/>
          <w:b/>
          <w:bCs/>
          <w:color w:val="000000"/>
          <w:sz w:val="20"/>
          <w:szCs w:val="20"/>
        </w:rPr>
        <w:t xml:space="preserve">Autobusų sustojimo peronai</w:t>
      </w:r>
    </w:p>
    <w:p w14:paraId="75645129">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sz w:val="20"/>
          <w:szCs w:val="20"/>
        </w:rPr>
      </w:pPr>
      <w:r>
        <w:rPr>
          <w:rFonts w:ascii="Arial Narrow" w:hAnsi="Arial Narrow"/>
          <w:sz w:val="20"/>
          <w:szCs w:val="20"/>
        </w:rPr>
        <w:t xml:space="preserve">Esamos autobusų sustojimų  aikštelės ir peronai demontuojami ir naujai įrengiami pagal KTR 1.01:2008 „Automobilių keliai“ </w:t>
      </w:r>
      <w:r>
        <w:rPr>
          <w:rFonts w:ascii="Arial Narrow" w:hAnsi="Arial Narrow"/>
          <w:color w:val="000000"/>
          <w:sz w:val="20"/>
          <w:szCs w:val="20"/>
        </w:rPr>
        <w:t xml:space="preserve">reikalavimus, vadovaujantis norminiais dokumentais ĮT TRINKELĖS 14, peronų danga pritaikoma žmonių su negalia reikmėms pagal STR 2.03.01:2019. Tiekėjas turi nusimatyti naujų kelio elementų (šiukšliadėžė, suoliukas, ženklas) įrengimą</w:t>
      </w:r>
      <w:r>
        <w:rPr>
          <w:rFonts w:ascii="Arial Narrow" w:hAnsi="Arial Narrow"/>
          <w:color w:val="000000"/>
          <w:sz w:val="20"/>
        </w:rPr>
        <w:t xml:space="preserve">. </w:t>
      </w:r>
    </w:p>
    <w:p w14:paraId="7564512A">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sz w:val="20"/>
          <w:szCs w:val="20"/>
        </w:rPr>
      </w:pPr>
      <w:r>
        <w:rPr>
          <w:rFonts w:ascii="Arial Narrow" w:hAnsi="Arial Narrow"/>
          <w:color w:val="000000"/>
          <w:sz w:val="20"/>
        </w:rPr>
        <w:t xml:space="preserve">Reikalavimai suoliukams: vientisas, ne trumpesnis kaip 2000 mm ilgio. Sėdimoji dalis iš impregnuotos klijuotos arba vientisos dažytos medienos (</w:t>
      </w:r>
      <w:r>
        <w:rPr>
          <w:rFonts w:ascii="Arial Narrow" w:hAnsi="Arial Narrow"/>
          <w:color w:val="000000"/>
          <w:sz w:val="20"/>
        </w:rPr>
        <w:t xml:space="preserve">kietmedžio</w:t>
      </w:r>
      <w:r>
        <w:rPr>
          <w:rFonts w:ascii="Arial Narrow" w:hAnsi="Arial Narrow"/>
          <w:color w:val="000000"/>
          <w:sz w:val="20"/>
        </w:rPr>
        <w:t xml:space="preserve">). Suoliukas turi išlaikyti ne mažesnį kaip 100 kg svorį į 400 mm ilgį (pvz. 2000 mm ilgio suoliukas turi išlaikyti ne mažesnį kaip 500 kg svorį)</w:t>
      </w:r>
    </w:p>
    <w:p w14:paraId="7564512B">
      <w:pPr>
        <w:pStyle w:val="Bodytext1"/>
        <w:numPr>
          <w:ilvl w:val="2"/>
          <w:numId w:val="15"/>
        </w:numPr>
        <w:shd w:val="clear" w:color="auto" w:fill="auto"/>
        <w:tabs>
          <w:tab w:val="left" w:pos="567"/>
          <w:tab w:val="left" w:pos="720"/>
        </w:tabs>
        <w:spacing w:before="0" w:after="0" w:line="240" w:lineRule="auto"/>
        <w:ind w:left="0" w:right="55" w:firstLine="0"/>
        <w:jc w:val="both"/>
        <w:rPr>
          <w:rFonts w:ascii="Arial Narrow" w:hAnsi="Arial Narrow"/>
          <w:color w:val="000000"/>
          <w:sz w:val="20"/>
        </w:rPr>
      </w:pPr>
      <w:r>
        <w:rPr>
          <w:rFonts w:ascii="Arial Narrow" w:hAnsi="Arial Narrow"/>
          <w:color w:val="000000"/>
          <w:sz w:val="20"/>
        </w:rPr>
        <w:t xml:space="preserve">Reikalavimai šiukšlių dėžėms: medžiagos – betonas su cinkuotos skardos išimamu įdėklu ir pelenine; tūris ne mažesnis kaip 40 l ir ne didesnis kaip 70 l; svoris ne mažesnis kaip 100 kg; su stogeliu, dangčiu ar kita apsauga, kad vėjas ar paukščiai neišnešiotų šiukšlių.</w:t>
      </w:r>
    </w:p>
    <w:p w14:paraId="7564512C">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7564512D">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Eismo reguliavimo priemonės</w:t>
      </w:r>
    </w:p>
    <w:p w14:paraId="7564512E">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Pr>
          <w:rFonts w:ascii="Arial Narrow" w:hAnsi="Arial Narrow"/>
          <w:sz w:val="20"/>
          <w:szCs w:val="20"/>
        </w:rPr>
        <w:t xml:space="preserve">Įrengti naujus signalinius stulpelius, jei jų trūksta ar yra pažeisti, vadovaujantis TRAT SST 14 reikalavimais. Perstatyti esamus geros būklės signalinius stulpelius, jeigu jie trukdo vykdomų remonto darbų technologiniams procesams arba esama pastatymo vieta ar aukštis neatitinka TRAT SST 14 reikalavimų. Esant netaisyklingam važiuojamosios dalies ir kelkraščio planui ir išilginiam profiliui nauji signaliniai stulpeliai turi būti įrengiami taip, jog sklandžiai išsidėstytų kelio plane ir išilginiame profilyje</w:t>
      </w:r>
      <w:r>
        <w:rPr>
          <w:rFonts w:ascii="Arial Narrow" w:hAnsi="Arial Narrow"/>
          <w:sz w:val="20"/>
          <w:szCs w:val="20"/>
        </w:rPr>
        <w:t xml:space="preserve">.</w:t>
      </w:r>
    </w:p>
    <w:p w14:paraId="7564512F">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color w:val="ED0000"/>
          <w:sz w:val="20"/>
          <w:szCs w:val="20"/>
        </w:rPr>
      </w:pPr>
      <w:r>
        <w:rPr>
          <w:rFonts w:ascii="Arial Narrow" w:hAnsi="Arial Narrow"/>
          <w:sz w:val="20"/>
          <w:szCs w:val="20"/>
        </w:rPr>
        <w:t xml:space="preserve">Perstatyti esamus kelio ženklus, jeigu jie trukdo vykdomų remonto darbų technologiniams procesams arba esama pastatymo vieta neatitinka reikalavimų. Numatyti trūkstamus kelio ženklus vadovaujantis Kelio ženklų įrengimo ir vertikaliojo ženklinimo taisyklėmis.</w:t>
      </w:r>
    </w:p>
    <w:p w14:paraId="75645130">
      <w:pPr>
        <w:pStyle w:val="Bodytext1"/>
        <w:numPr>
          <w:ilvl w:val="2"/>
          <w:numId w:val="15"/>
        </w:numPr>
        <w:tabs>
          <w:tab w:val="left" w:pos="426"/>
        </w:tabs>
        <w:spacing w:before="0" w:after="0" w:line="240" w:lineRule="auto"/>
        <w:ind w:left="0" w:firstLine="0"/>
        <w:jc w:val="both"/>
        <w:rPr>
          <w:rFonts w:ascii="Arial Narrow" w:hAnsi="Arial Narrow"/>
          <w:sz w:val="20"/>
          <w:szCs w:val="20"/>
        </w:rPr>
      </w:pPr>
      <w:r>
        <w:rPr>
          <w:rFonts w:ascii="Arial Narrow" w:hAnsi="Arial Narrow"/>
          <w:sz w:val="20"/>
          <w:szCs w:val="20"/>
        </w:rPr>
        <w:t xml:space="preserve">Įrengti kelio dangos horizontalųjį ženklinimą vadovaujantis Kelių horizontaliojo ženklinimo taisyklių, ĮT ŽM 12 ir KET </w:t>
      </w:r>
      <w:r>
        <w:rPr>
          <w:rFonts w:ascii="Arial Narrow" w:hAnsi="Arial Narrow"/>
          <w:sz w:val="20"/>
          <w:szCs w:val="20"/>
        </w:rPr>
        <w:t xml:space="preserve">reikalavimais. Dangos ženklinimui turi būti naudojamos reaktyviosios arba </w:t>
      </w:r>
      <w:r>
        <w:rPr>
          <w:rFonts w:ascii="Arial Narrow" w:hAnsi="Arial Narrow"/>
          <w:sz w:val="20"/>
          <w:szCs w:val="20"/>
        </w:rPr>
        <w:t xml:space="preserve">termoplastinės</w:t>
      </w:r>
      <w:r>
        <w:rPr>
          <w:rFonts w:ascii="Arial Narrow" w:hAnsi="Arial Narrow"/>
          <w:sz w:val="20"/>
          <w:szCs w:val="20"/>
        </w:rPr>
        <w:t xml:space="preserve"> medžiagos. </w:t>
      </w:r>
    </w:p>
    <w:p w14:paraId="75645131">
      <w:pPr>
        <w:pStyle w:val="Bodytext1"/>
        <w:numPr>
          <w:ilvl w:val="2"/>
          <w:numId w:val="15"/>
        </w:numPr>
        <w:shd w:val="clear" w:color="auto" w:fill="auto"/>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 xml:space="preserve">Perstatyti esamus plieninius apsauginius atitvarus, panaudojant esamas atitvarų sijas (pakeičiant tik sulankstytas sijas naujomis) ir nepažeistus statramsčius (jeigu traukimo metu nebuvo sulankstyti ar kitaip pažeisti, perkalant juos naujai) į 75 cm aukštį, jeigu tai reikalinga Tiekėjo taikomiems technologiniams procesams ar jeigu dėl Tiekėjo įgyvendinamų vertikalaus planavimo sprendinių esamų plieninių apsauginių atitvarų aukštis liktų mažesnis kaip 70 cm. Taip pat perkelti, kai dėl atliktų paprastojo remo</w:t>
      </w:r>
      <w:r>
        <w:rPr>
          <w:rFonts w:ascii="Arial Narrow" w:hAnsi="Arial Narrow"/>
          <w:sz w:val="20"/>
          <w:szCs w:val="20"/>
        </w:rPr>
        <w:t xml:space="preserve">nto darbų atstumas nuo dangos krašto iki atitvaro nebetenkina normatyvinių reikalavimų</w:t>
      </w:r>
    </w:p>
    <w:p w14:paraId="75645132">
      <w:pPr>
        <w:pStyle w:val="Bodytext1"/>
        <w:shd w:val="clear" w:color="auto" w:fill="auto"/>
        <w:tabs>
          <w:tab w:val="left" w:pos="0"/>
        </w:tabs>
        <w:spacing w:before="0" w:after="0" w:line="240" w:lineRule="auto"/>
        <w:ind w:left="284" w:right="55" w:firstLine="0"/>
        <w:jc w:val="both"/>
        <w:rPr>
          <w:rFonts w:ascii="Arial Narrow" w:hAnsi="Arial Narrow"/>
          <w:sz w:val="20"/>
          <w:szCs w:val="20"/>
        </w:rPr>
      </w:pPr>
    </w:p>
    <w:p w14:paraId="75645133">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sz w:val="20"/>
          <w:szCs w:val="20"/>
        </w:rPr>
      </w:pPr>
      <w:r>
        <w:rPr>
          <w:rFonts w:ascii="Arial Narrow" w:hAnsi="Arial Narrow"/>
          <w:b/>
          <w:bCs/>
          <w:sz w:val="20"/>
          <w:szCs w:val="20"/>
        </w:rPr>
        <w:t xml:space="preserve">Kitų transporto statinių remontas</w:t>
      </w:r>
    </w:p>
    <w:p w14:paraId="75645134">
      <w:pPr>
        <w:pStyle w:val="Sraopastraipa"/>
        <w:numPr>
          <w:ilvl w:val="2"/>
          <w:numId w:val="15"/>
        </w:numPr>
        <w:tabs>
          <w:tab w:val="left" w:pos="567"/>
        </w:tabs>
        <w:spacing/>
        <w:ind w:left="0" w:firstLine="0"/>
        <w:rPr>
          <w:rFonts w:cs="Times New Roman"/>
          <w:b/>
          <w:bCs/>
          <w:szCs w:val="20"/>
        </w:rPr>
      </w:pPr>
      <w:r>
        <w:rPr>
          <w:rFonts w:cs="Times New Roman"/>
          <w:b/>
          <w:bCs/>
          <w:szCs w:val="20"/>
        </w:rPr>
        <w:t xml:space="preserve">Viadukas 67,710 km </w:t>
      </w: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6"/>
        <w:gridCol w:w="7081"/>
      </w:tblGrid>
      <w:tr>
        <w:trPr/>
        <w:tc>
          <w:tcPr>
            <w:tcW w:type="dxa" w:w="2126"/>
            <w:tcBorders/>
            <w:shd w:fill="005063" w:color="auto" w:val="clear"/>
          </w:tcPr>
          <w:p>
            <w:pPr>
              <w:tabs>
                <w:tab w:val="left" w:pos="567"/>
              </w:tabs>
              <w:spacing/>
              <w:ind w:right="55"/>
              <w:rPr/>
            </w:pPr>
            <w:r>
              <w:rPr>
                <w:rFonts w:ascii="Arial Narrow" w:hAnsi="Arial Narrow" w:eastAsia="Arial Narrow" w:cs="Arial Narrow"/>
                <w:b/>
                <w:bCs/>
                <w:color w:val="FFFFFF"/>
                <w:sz w:val="20"/>
              </w:rPr>
              <w:t xml:space="preserve">Elementas</w:t>
            </w:r>
          </w:p>
        </w:tc>
        <w:tc>
          <w:tcPr>
            <w:tcW w:type="dxa" w:w="7081"/>
            <w:tcBorders/>
            <w:shd w:fill="005063" w:color="auto" w:val="clear"/>
          </w:tcPr>
          <w:p>
            <w:pPr>
              <w:tabs>
                <w:tab w:val="left" w:pos="567"/>
              </w:tabs>
              <w:spacing/>
              <w:ind w:right="55"/>
              <w:rPr/>
            </w:pPr>
            <w:r>
              <w:rPr>
                <w:rFonts w:ascii="Arial Narrow" w:hAnsi="Arial Narrow" w:eastAsia="Arial Narrow" w:cs="Arial Narrow"/>
                <w:b/>
                <w:bCs/>
                <w:color w:val="FFFFFF"/>
                <w:sz w:val="20"/>
              </w:rPr>
              <w:t xml:space="preserve">Darbų aprašymas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Važiuojamosios dalies danga</w:t>
            </w:r>
          </w:p>
        </w:tc>
        <w:tc>
          <w:tcPr>
            <w:tcW w:type="dxa" w:w="7081"/>
            <w:tcBorders/>
          </w:tcPr>
          <w:p>
            <w:pPr>
              <w:pStyle w:val="Sraopastraipa"/>
              <w:numPr>
                <w:ilvl w:val="0"/>
                <w:numId w:val="24"/>
              </w:numPr>
              <w:spacing w:line="259" w:lineRule="auto"/>
              <w:ind w:left="714" w:hanging="357"/>
              <w:rPr/>
            </w:pPr>
            <w:r>
              <w:rPr/>
              <w:t xml:space="preserve">važiuojamosios dalies asfalto dangos pakeitimas vadovaujantis ĮT DBH 12 (viršutinio, apatinio ir apsauginio sluoksnių pakeitimas); </w:t>
            </w:r>
          </w:p>
          <w:p>
            <w:pPr>
              <w:pStyle w:val="Sraopastraipa"/>
              <w:numPr>
                <w:ilvl w:val="0"/>
                <w:numId w:val="24"/>
              </w:numPr>
              <w:spacing w:line="259" w:lineRule="auto"/>
              <w:ind w:left="714" w:hanging="357"/>
              <w:rPr/>
            </w:pPr>
            <w:r>
              <w:rPr/>
              <w:t xml:space="preserve">hidroizoliacijos sluoksnio pakeitimas vadovaujantis ĮT DBH 12;</w:t>
            </w:r>
          </w:p>
          <w:p>
            <w:pPr>
              <w:pStyle w:val="Sraopastraipa"/>
              <w:numPr>
                <w:ilvl w:val="0"/>
                <w:numId w:val="24"/>
              </w:numPr>
              <w:spacing w:line="259" w:lineRule="auto"/>
              <w:ind w:left="714" w:hanging="357"/>
              <w:rPr/>
            </w:pPr>
            <w:r>
              <w:rPr/>
              <w:t xml:space="preserve">išlyginamojo betono sluoksnio pakeitimas.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Atitvarų blokai</w:t>
            </w:r>
          </w:p>
          <w:p>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type="dxa" w:w="7081"/>
            <w:tcBorders/>
          </w:tcPr>
          <w:p>
            <w:pPr>
              <w:pStyle w:val="Sraopastraipa"/>
              <w:numPr>
                <w:ilvl w:val="0"/>
                <w:numId w:val="24"/>
              </w:numPr>
              <w:spacing w:after="160" w:line="256" w:lineRule="auto"/>
              <w:rPr>
                <w:rFonts w:cs="Arial"/>
                <w:szCs w:val="20"/>
              </w:rPr>
            </w:pPr>
            <w:r>
              <w:rPr>
                <w:rFonts w:cs="Arial"/>
                <w:szCs w:val="20"/>
              </w:rPr>
              <w:t xml:space="preserve">Įrengti naujus atitvarų blokus;</w:t>
            </w:r>
          </w:p>
          <w:p>
            <w:pPr>
              <w:pStyle w:val="Sraopastraipa"/>
              <w:numPr>
                <w:ilvl w:val="0"/>
                <w:numId w:val="24"/>
              </w:numPr>
              <w:spacing w:after="160" w:line="256" w:lineRule="auto"/>
              <w:rPr>
                <w:rFonts w:cs="Arial"/>
                <w:szCs w:val="20"/>
              </w:rPr>
            </w:pPr>
            <w:r>
              <w:rPr>
                <w:rFonts w:cs="Arial"/>
                <w:szCs w:val="20"/>
              </w:rPr>
              <w:t xml:space="preserve">Padengti apsauginėmis dangomis;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Atitvarai</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 naujus atitvarus (pagal KPT TAS 09 reikalavimus) ant tilto ir prietilčiuose;</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Deformaciniai pjūviai:</w:t>
            </w:r>
          </w:p>
          <w:p>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type="dxa" w:w="7081"/>
            <w:tcBorders/>
          </w:tcPr>
          <w:p>
            <w:pPr>
              <w:pStyle w:val="Sraopastraipa"/>
              <w:numPr>
                <w:ilvl w:val="0"/>
                <w:numId w:val="24"/>
              </w:numPr>
              <w:spacing w:after="160" w:line="256" w:lineRule="auto"/>
              <w:rPr>
                <w:rFonts w:cs="Arial"/>
                <w:szCs w:val="20"/>
              </w:rPr>
            </w:pPr>
            <w:r>
              <w:rPr>
                <w:rFonts w:cs="Arial"/>
                <w:szCs w:val="20"/>
              </w:rPr>
              <w:t xml:space="preserve">įrengti naujus deformacinis pjūvius (2vnt.).</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Perdanga </w:t>
            </w:r>
          </w:p>
        </w:tc>
        <w:tc>
          <w:tcPr>
            <w:tcW w:type="dxa" w:w="7081"/>
            <w:tcBorders/>
          </w:tcPr>
          <w:p>
            <w:pPr>
              <w:pStyle w:val="Sraopastraipa"/>
              <w:numPr>
                <w:ilvl w:val="0"/>
                <w:numId w:val="24"/>
              </w:numPr>
              <w:spacing/>
              <w:jc w:val="both"/>
              <w:rPr>
                <w:rFonts w:cs="Times New Roman"/>
                <w:szCs w:val="20"/>
              </w:rPr>
            </w:pPr>
            <w:r>
              <w:rPr>
                <w:rFonts w:cs="Times New Roman"/>
                <w:szCs w:val="20"/>
              </w:rPr>
              <w:t xml:space="preserve">Suremontuoti perdangos plokštes:</w:t>
            </w:r>
          </w:p>
          <w:p>
            <w:pPr>
              <w:pStyle w:val="prastasiniatinklio"/>
              <w:numPr>
                <w:ilvl w:val="1"/>
                <w:numId w:val="24"/>
              </w:numPr>
              <w:shd w:val="clear" w:color="auto" w:fill="FFFFFF"/>
              <w:spacing w:before="0" w:beforeAutospacing="0" w:after="0" w:afterAutospacing="0"/>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pašalinti pažeistą, sutrūkusi, atšokusį betoną; </w:t>
            </w:r>
          </w:p>
          <w:p>
            <w:pPr>
              <w:pStyle w:val="prastasiniatinklio"/>
              <w:numPr>
                <w:ilvl w:val="1"/>
                <w:numId w:val="24"/>
              </w:numPr>
              <w:shd w:val="clear" w:color="auto" w:fill="FFFFFF"/>
              <w:spacing w:before="0" w:beforeAutospacing="0" w:after="0" w:afterAutospacing="0"/>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nuo armatūros strypų pašalinti rūdis;</w:t>
            </w:r>
          </w:p>
          <w:p>
            <w:pPr>
              <w:pStyle w:val="prastasiniatinklio"/>
              <w:numPr>
                <w:ilvl w:val="1"/>
                <w:numId w:val="24"/>
              </w:numPr>
              <w:shd w:val="clear" w:color="auto" w:fill="FFFFFF"/>
              <w:spacing w:before="0" w:beforeAutospacing="0" w:after="0" w:afterAutospacing="0"/>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armatūros strypus padengti antikorozinėmis dangomis; </w:t>
            </w:r>
          </w:p>
          <w:p>
            <w:pPr>
              <w:pStyle w:val="prastasiniatinklio"/>
              <w:numPr>
                <w:ilvl w:val="1"/>
                <w:numId w:val="24"/>
              </w:numPr>
              <w:shd w:val="clear" w:color="auto" w:fill="FFFFFF"/>
              <w:spacing w:before="0" w:beforeAutospacing="0" w:after="0" w:afterAutospacing="0"/>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remontiniais mišiniais atstatyti betono apsauginį sluoksnį;</w:t>
            </w:r>
          </w:p>
          <w:p>
            <w:pPr>
              <w:pStyle w:val="prastasiniatinklio"/>
              <w:numPr>
                <w:ilvl w:val="1"/>
                <w:numId w:val="24"/>
              </w:numPr>
              <w:shd w:val="clear" w:color="auto" w:fill="FFFFFF"/>
              <w:spacing w:before="0" w:beforeAutospacing="0" w:after="120" w:afterAutospacing="0"/>
              <w:ind w:left="1434" w:hanging="357"/>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paviršius padengti apsauginėmis dangomis.</w:t>
            </w:r>
          </w:p>
          <w:p>
            <w:pPr>
              <w:pStyle w:val="Bodytext1"/>
              <w:shd w:val="clear" w:color="auto" w:fill="auto"/>
              <w:tabs>
                <w:tab w:val="left" w:pos="567"/>
              </w:tabs>
              <w:spacing w:before="0" w:after="0" w:line="240" w:lineRule="auto"/>
              <w:ind w:right="55" w:firstLine="0"/>
              <w:jc w:val="both"/>
              <w:rPr>
                <w:rFonts w:ascii="Arial Narrow" w:hAnsi="Arial Narrow"/>
                <w:sz w:val="20"/>
                <w:szCs w:val="20"/>
              </w:rPr>
            </w:pP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Atramos (visas statinys)</w:t>
            </w:r>
          </w:p>
        </w:tc>
        <w:tc>
          <w:tcPr>
            <w:tcW w:type="dxa" w:w="7081"/>
            <w:tcBorders/>
          </w:tcPr>
          <w:p>
            <w:pPr>
              <w:pStyle w:val="Sraopastraipa"/>
              <w:numPr>
                <w:ilvl w:val="0"/>
                <w:numId w:val="24"/>
              </w:numPr>
              <w:spacing/>
              <w:jc w:val="both"/>
              <w:rPr>
                <w:rFonts w:cs="Times New Roman"/>
                <w:szCs w:val="20"/>
              </w:rPr>
            </w:pPr>
            <w:r>
              <w:rPr>
                <w:rFonts w:cs="Times New Roman"/>
                <w:szCs w:val="20"/>
              </w:rPr>
              <w:t xml:space="preserve">Suremontuoti </w:t>
            </w:r>
            <w:r>
              <w:rPr>
                <w:rFonts w:cs="Times New Roman"/>
                <w:szCs w:val="20"/>
              </w:rPr>
              <w:t xml:space="preserve">ramtus</w:t>
            </w:r>
            <w:r>
              <w:rPr>
                <w:rFonts w:cs="Times New Roman"/>
                <w:szCs w:val="20"/>
              </w:rPr>
              <w:t xml:space="preserve">:</w:t>
            </w:r>
          </w:p>
          <w:p>
            <w:pPr>
              <w:pStyle w:val="prastasiniatinklio"/>
              <w:numPr>
                <w:ilvl w:val="1"/>
                <w:numId w:val="24"/>
              </w:numPr>
              <w:shd w:val="clear" w:color="auto" w:fill="FFFFFF"/>
              <w:spacing w:before="0" w:beforeAutospacing="0" w:after="0" w:afterAutospacing="0"/>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pašalinti patakuotą, sutrūkusi, atšokusį apsauginį betoną;</w:t>
            </w:r>
          </w:p>
          <w:p>
            <w:pPr>
              <w:pStyle w:val="prastasiniatinklio"/>
              <w:numPr>
                <w:ilvl w:val="1"/>
                <w:numId w:val="24"/>
              </w:numPr>
              <w:shd w:val="clear" w:color="auto" w:fill="FFFFFF"/>
              <w:spacing w:before="0" w:beforeAutospacing="0" w:after="0" w:afterAutospacing="0"/>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nuo armatūros strypų pašalinti rūdis;</w:t>
            </w:r>
          </w:p>
          <w:p>
            <w:pPr>
              <w:pStyle w:val="prastasiniatinklio"/>
              <w:numPr>
                <w:ilvl w:val="1"/>
                <w:numId w:val="24"/>
              </w:numPr>
              <w:shd w:val="clear" w:color="auto" w:fill="FFFFFF"/>
              <w:spacing w:before="0" w:beforeAutospacing="0" w:after="0" w:afterAutospacing="0"/>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užsandarinti tarpus tarp surenkamų </w:t>
            </w:r>
            <w:r>
              <w:rPr>
                <w:rFonts w:ascii="Arial Narrow" w:hAnsi="Arial Narrow" w:eastAsiaTheme="minorHAnsi"/>
                <w:sz w:val="20"/>
                <w:szCs w:val="20"/>
                <w:lang w:eastAsia="en-US"/>
              </w:rPr>
              <w:t xml:space="preserve">ramtų</w:t>
            </w:r>
            <w:r>
              <w:rPr>
                <w:rFonts w:ascii="Arial Narrow" w:hAnsi="Arial Narrow" w:eastAsiaTheme="minorHAnsi"/>
                <w:sz w:val="20"/>
                <w:szCs w:val="20"/>
                <w:lang w:eastAsia="en-US"/>
              </w:rPr>
              <w:t xml:space="preserve"> elementų;</w:t>
            </w:r>
          </w:p>
          <w:p>
            <w:pPr>
              <w:pStyle w:val="prastasiniatinklio"/>
              <w:numPr>
                <w:ilvl w:val="1"/>
                <w:numId w:val="24"/>
              </w:numPr>
              <w:shd w:val="clear" w:color="auto" w:fill="FFFFFF"/>
              <w:spacing w:before="0" w:beforeAutospacing="0" w:after="0" w:afterAutospacing="0"/>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armatūros strypus padengti antikorozinėmis dangomis; </w:t>
            </w:r>
          </w:p>
          <w:p>
            <w:pPr>
              <w:pStyle w:val="prastasiniatinklio"/>
              <w:numPr>
                <w:ilvl w:val="1"/>
                <w:numId w:val="24"/>
              </w:numPr>
              <w:shd w:val="clear" w:color="auto" w:fill="FFFFFF"/>
              <w:spacing w:before="0" w:beforeAutospacing="0" w:after="0" w:afterAutospacing="0"/>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remontiniais mišiniais atstatyti betono apsauginį sluoksnį;</w:t>
            </w:r>
          </w:p>
          <w:p>
            <w:pPr>
              <w:pStyle w:val="prastasiniatinklio"/>
              <w:numPr>
                <w:ilvl w:val="1"/>
                <w:numId w:val="24"/>
              </w:numPr>
              <w:shd w:val="clear" w:color="auto" w:fill="FFFFFF"/>
              <w:spacing w:before="0" w:beforeAutospacing="0" w:after="0" w:afterAutospacing="0"/>
              <w:ind w:left="1434" w:hanging="357"/>
              <w:jc w:val="both"/>
              <w:rPr>
                <w:rFonts w:ascii="Arial Narrow" w:hAnsi="Arial Narrow" w:eastAsiaTheme="minorHAnsi"/>
                <w:sz w:val="20"/>
                <w:szCs w:val="20"/>
                <w:lang w:eastAsia="en-US"/>
              </w:rPr>
            </w:pPr>
            <w:r>
              <w:rPr>
                <w:rFonts w:ascii="Arial Narrow" w:hAnsi="Arial Narrow" w:eastAsiaTheme="minorHAnsi"/>
                <w:sz w:val="20"/>
                <w:szCs w:val="20"/>
                <w:lang w:eastAsia="en-US"/>
              </w:rPr>
              <w:t xml:space="preserve">paviršius padengti apsauginėmis dangomis.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Prietilčiai ir patiltė</w:t>
            </w:r>
          </w:p>
        </w:tc>
        <w:tc>
          <w:tcPr>
            <w:tcW w:type="dxa" w:w="7081"/>
            <w:tcBorders/>
          </w:tcPr>
          <w:p>
            <w:pPr>
              <w:pStyle w:val="Sraopastraipa"/>
              <w:numPr>
                <w:ilvl w:val="0"/>
                <w:numId w:val="24"/>
              </w:numPr>
              <w:spacing w:after="160" w:line="259" w:lineRule="auto"/>
              <w:rPr/>
            </w:pPr>
            <w:r>
              <w:rPr/>
              <w:t xml:space="preserve">Įrengti naujas pereinamąsias plokštes;</w:t>
            </w:r>
          </w:p>
          <w:p>
            <w:pPr>
              <w:pStyle w:val="Sraopastraipa"/>
              <w:numPr>
                <w:ilvl w:val="0"/>
                <w:numId w:val="24"/>
              </w:numPr>
              <w:spacing w:line="259" w:lineRule="auto"/>
              <w:rPr/>
            </w:pPr>
            <w:r>
              <w:rPr/>
              <w:t xml:space="preserve">įrengti ženklus žyminčius viaduko perdangos apatinį kraštą</w:t>
            </w:r>
          </w:p>
          <w:p>
            <w:pPr>
              <w:pStyle w:val="Sraopastraipa"/>
              <w:numPr>
                <w:ilvl w:val="0"/>
                <w:numId w:val="24"/>
              </w:numPr>
              <w:spacing w:after="160" w:line="259" w:lineRule="auto"/>
              <w:rPr/>
            </w:pPr>
            <w:r>
              <w:rPr/>
              <w:t xml:space="preserve">Suremontuoti važiuojamosios dalies ir šaligatvių dangą patiltėje;</w:t>
            </w:r>
          </w:p>
          <w:p>
            <w:pPr>
              <w:pStyle w:val="Sraopastraipa"/>
              <w:numPr>
                <w:ilvl w:val="0"/>
                <w:numId w:val="24"/>
              </w:numPr>
              <w:spacing w:after="160" w:line="259" w:lineRule="auto"/>
              <w:rPr/>
            </w:pPr>
            <w:r>
              <w:rPr/>
              <w:t xml:space="preserve">Įrengti naują vandens surinkimo ir nuleidimo sistemą prietilčiuose.</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Kitų konstrukcijų remontas ir įrengimas</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Įrengti/atstatyti reikiamus kelio ženklus;</w:t>
            </w:r>
          </w:p>
          <w:p>
            <w:pPr>
              <w:pStyle w:val="Sraopastraipa"/>
              <w:numPr>
                <w:ilvl w:val="0"/>
                <w:numId w:val="24"/>
              </w:numPr>
              <w:spacing w:after="160" w:line="259" w:lineRule="auto"/>
              <w:rPr>
                <w:rFonts w:cs="Times New Roman"/>
                <w:szCs w:val="20"/>
              </w:rPr>
            </w:pPr>
            <w:r>
              <w:rPr>
                <w:rFonts w:cs="Times New Roman"/>
                <w:szCs w:val="20"/>
              </w:rPr>
              <w:t xml:space="preserve">Įrengti </w:t>
            </w:r>
            <w:r>
              <w:rPr>
                <w:rFonts w:cs="Times New Roman"/>
                <w:szCs w:val="20"/>
              </w:rPr>
              <w:t xml:space="preserve">gabaritinius</w:t>
            </w:r>
            <w:r>
              <w:rPr>
                <w:rFonts w:cs="Times New Roman"/>
                <w:szCs w:val="20"/>
              </w:rPr>
              <w:t xml:space="preserve"> vartus (2 </w:t>
            </w:r>
            <w:r>
              <w:rPr>
                <w:rFonts w:cs="Times New Roman"/>
                <w:szCs w:val="20"/>
              </w:rPr>
              <w:t xml:space="preserve">vnt</w:t>
            </w:r>
            <w:r>
              <w:rPr>
                <w:rFonts w:cs="Times New Roman"/>
                <w:szCs w:val="20"/>
              </w:rPr>
              <w:t xml:space="preserve">).</w:t>
            </w:r>
          </w:p>
        </w:tc>
      </w:tr>
    </w:tbl>
    <w:p w14:paraId="75645165">
      <w:pPr>
        <w:pStyle w:val="Bodytext1"/>
        <w:shd w:val="clear" w:color="auto" w:fill="auto"/>
        <w:tabs>
          <w:tab w:val="left" w:pos="567"/>
        </w:tabs>
        <w:spacing w:before="0" w:after="0" w:line="240" w:lineRule="auto"/>
        <w:ind w:right="55" w:firstLine="0"/>
        <w:jc w:val="both"/>
        <w:rPr>
          <w:rFonts w:ascii="Arial Narrow" w:hAnsi="Arial Narrow"/>
          <w:b/>
          <w:bCs/>
          <w:sz w:val="20"/>
          <w:szCs w:val="20"/>
        </w:rPr>
      </w:pPr>
    </w:p>
    <w:p w14:paraId="75645166">
      <w:pPr>
        <w:pStyle w:val="Sraopastraipa"/>
        <w:numPr>
          <w:ilvl w:val="2"/>
          <w:numId w:val="15"/>
        </w:numPr>
        <w:tabs>
          <w:tab w:val="left" w:pos="567"/>
        </w:tabs>
        <w:spacing/>
        <w:ind w:left="0" w:firstLine="0"/>
        <w:rPr>
          <w:b/>
          <w:bCs/>
        </w:rPr>
      </w:pPr>
      <w:r>
        <w:rPr>
          <w:b/>
          <w:bCs/>
        </w:rPr>
        <w:t xml:space="preserve">Tiltas per Dubysą 68,057 km</w:t>
      </w: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6"/>
        <w:gridCol w:w="7081"/>
      </w:tblGrid>
      <w:tr>
        <w:trPr/>
        <w:tc>
          <w:tcPr>
            <w:tcW w:type="dxa" w:w="2126"/>
            <w:tcBorders/>
            <w:shd w:fill="005063" w:color="auto" w:val="clear"/>
          </w:tcPr>
          <w:p>
            <w:pPr>
              <w:tabs>
                <w:tab w:val="left" w:pos="567"/>
              </w:tabs>
              <w:spacing/>
              <w:ind w:right="55"/>
              <w:rPr/>
            </w:pPr>
            <w:r>
              <w:rPr>
                <w:rFonts w:ascii="Arial Narrow" w:hAnsi="Arial Narrow" w:eastAsia="Arial Narrow" w:cs="Arial Narrow"/>
                <w:b/>
                <w:bCs/>
                <w:color w:val="FFFFFF"/>
                <w:sz w:val="20"/>
              </w:rPr>
              <w:t xml:space="preserve">Elementas</w:t>
            </w:r>
          </w:p>
        </w:tc>
        <w:tc>
          <w:tcPr>
            <w:tcW w:type="dxa" w:w="7081"/>
            <w:tcBorders/>
            <w:shd w:fill="005063" w:color="auto" w:val="clear"/>
          </w:tcPr>
          <w:p>
            <w:pPr>
              <w:tabs>
                <w:tab w:val="left" w:pos="567"/>
              </w:tabs>
              <w:spacing/>
              <w:ind w:right="55"/>
              <w:rPr/>
            </w:pPr>
            <w:r>
              <w:rPr>
                <w:rFonts w:ascii="Arial Narrow" w:hAnsi="Arial Narrow" w:eastAsia="Arial Narrow" w:cs="Arial Narrow"/>
                <w:b/>
                <w:bCs/>
                <w:color w:val="FFFFFF"/>
                <w:sz w:val="20"/>
              </w:rPr>
              <w:t xml:space="preserve">Darbų aprašymas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Važiuojamosios dalies danga </w:t>
            </w:r>
          </w:p>
        </w:tc>
        <w:tc>
          <w:tcPr>
            <w:tcW w:type="dxa" w:w="7081"/>
            <w:tcBorders/>
          </w:tcPr>
          <w:p>
            <w:pPr>
              <w:pStyle w:val="Sraopastraipa"/>
              <w:numPr>
                <w:ilvl w:val="0"/>
                <w:numId w:val="24"/>
              </w:numPr>
              <w:spacing w:line="259" w:lineRule="auto"/>
              <w:rPr>
                <w:rFonts w:cs="Times New Roman"/>
                <w:szCs w:val="20"/>
              </w:rPr>
            </w:pPr>
            <w:r>
              <w:rPr>
                <w:rFonts w:cs="Times New Roman"/>
                <w:szCs w:val="20"/>
              </w:rPr>
              <w:t xml:space="preserve">važiuojamosios dalies asfalto dangos pakeitimas vadovaujantis ĮT DBH 12 (viršutinio, apatinio ir apsauginio sluoksnių pakeitimas); </w:t>
            </w:r>
          </w:p>
          <w:p>
            <w:pPr>
              <w:pStyle w:val="Sraopastraipa"/>
              <w:numPr>
                <w:ilvl w:val="0"/>
                <w:numId w:val="24"/>
              </w:numPr>
              <w:spacing w:line="259" w:lineRule="auto"/>
              <w:rPr>
                <w:rFonts w:cs="Times New Roman"/>
                <w:szCs w:val="20"/>
              </w:rPr>
            </w:pPr>
            <w:r>
              <w:rPr>
                <w:rFonts w:cs="Times New Roman"/>
                <w:szCs w:val="20"/>
              </w:rPr>
              <w:t xml:space="preserve">hidroizoliacijos sluoksnio pakeitimas vadovaujantis ĮT DBH 12;</w:t>
            </w:r>
          </w:p>
          <w:p>
            <w:pPr>
              <w:pStyle w:val="Sraopastraipa"/>
              <w:numPr>
                <w:ilvl w:val="0"/>
                <w:numId w:val="24"/>
              </w:numPr>
              <w:spacing w:line="259" w:lineRule="auto"/>
              <w:rPr>
                <w:rFonts w:cs="Times New Roman"/>
                <w:szCs w:val="20"/>
              </w:rPr>
            </w:pPr>
            <w:r>
              <w:rPr>
                <w:rFonts w:cs="Times New Roman"/>
                <w:szCs w:val="20"/>
              </w:rPr>
              <w:t xml:space="preserve">išlyginamojo betono sluoksnio pakeitimas.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Turėkliniai</w:t>
            </w:r>
            <w:r>
              <w:rPr>
                <w:rFonts w:ascii="Arial Narrow" w:hAnsi="Arial Narrow"/>
                <w:sz w:val="20"/>
                <w:szCs w:val="20"/>
              </w:rPr>
              <w:t xml:space="preserve"> blokai ir turėklai</w:t>
            </w:r>
          </w:p>
          <w:p>
            <w:pPr>
              <w:pStyle w:val="Bodytext1"/>
              <w:shd w:val="clear" w:color="auto" w:fill="auto"/>
              <w:tabs>
                <w:tab w:val="left" w:pos="567"/>
              </w:tabs>
              <w:spacing w:before="0" w:after="0" w:line="240" w:lineRule="auto"/>
              <w:ind w:right="55" w:firstLine="0"/>
              <w:jc w:val="center"/>
              <w:rPr>
                <w:rFonts w:ascii="Arial Narrow" w:hAnsi="Arial Narrow"/>
                <w:sz w:val="20"/>
                <w:szCs w:val="20"/>
              </w:rPr>
            </w:pPr>
          </w:p>
        </w:tc>
        <w:tc>
          <w:tcPr>
            <w:tcW w:type="dxa" w:w="7081"/>
            <w:tcBorders/>
          </w:tcPr>
          <w:p>
            <w:pPr>
              <w:pStyle w:val="Sraopastraipa"/>
              <w:numPr>
                <w:ilvl w:val="0"/>
                <w:numId w:val="24"/>
              </w:numPr>
              <w:spacing w:after="160" w:line="256" w:lineRule="auto"/>
              <w:rPr>
                <w:rFonts w:cs="Arial"/>
                <w:szCs w:val="20"/>
              </w:rPr>
            </w:pPr>
            <w:r>
              <w:rPr>
                <w:rFonts w:cs="Arial"/>
                <w:szCs w:val="20"/>
              </w:rPr>
              <w:t xml:space="preserve">Įrengti naujus </w:t>
            </w:r>
            <w:r>
              <w:rPr>
                <w:rFonts w:cs="Arial"/>
                <w:szCs w:val="20"/>
              </w:rPr>
              <w:t xml:space="preserve">turėklinius</w:t>
            </w:r>
            <w:r>
              <w:rPr>
                <w:rFonts w:cs="Arial"/>
                <w:szCs w:val="20"/>
              </w:rPr>
              <w:t xml:space="preserve"> blokus;</w:t>
            </w:r>
          </w:p>
          <w:p>
            <w:pPr>
              <w:pStyle w:val="Sraopastraipa"/>
              <w:numPr>
                <w:ilvl w:val="0"/>
                <w:numId w:val="24"/>
              </w:numPr>
              <w:spacing w:after="160" w:line="256" w:lineRule="auto"/>
              <w:rPr>
                <w:rFonts w:cs="Arial"/>
                <w:szCs w:val="20"/>
              </w:rPr>
            </w:pPr>
            <w:r>
              <w:rPr>
                <w:rFonts w:cs="Arial"/>
                <w:szCs w:val="20"/>
              </w:rPr>
              <w:t xml:space="preserve">Padengti apsauginėmis dangomis;</w:t>
            </w:r>
          </w:p>
          <w:p>
            <w:pPr>
              <w:pStyle w:val="Sraopastraipa"/>
              <w:numPr>
                <w:ilvl w:val="0"/>
                <w:numId w:val="24"/>
              </w:numPr>
              <w:spacing w:after="160" w:line="256" w:lineRule="auto"/>
              <w:rPr>
                <w:rFonts w:ascii="Arial" w:hAnsi="Arial" w:cs="Arial"/>
                <w:szCs w:val="20"/>
              </w:rPr>
            </w:pPr>
            <w:r>
              <w:rPr>
                <w:rFonts w:cs="Arial"/>
                <w:szCs w:val="20"/>
              </w:rPr>
              <w:t xml:space="preserve">Suremontuoti turėklus.</w:t>
            </w:r>
          </w:p>
          <w:p>
            <w:pPr>
              <w:pStyle w:val="Sraopastraipa"/>
              <w:spacing/>
              <w:rPr>
                <w:rFonts w:cs="Arial"/>
              </w:rPr>
            </w:pPr>
            <w:r>
              <w:rPr>
                <w:rFonts w:cs="Arial"/>
                <w:b/>
                <w:bCs/>
              </w:rPr>
              <w:t xml:space="preserve">Pastaba.</w:t>
            </w:r>
            <w:r>
              <w:rPr>
                <w:rFonts w:cs="Arial"/>
              </w:rPr>
              <w:t xml:space="preserve"> Turėklai paliekami seni, juos suremontuojant. Nesant galimybės pritaikyti senų turėklų, numatyti naujų turėklų įrengimą.</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Vandens nubėgimo sistema</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 vandens surinkimo šulinėlius po danga;</w:t>
            </w:r>
          </w:p>
          <w:p>
            <w:pPr>
              <w:pStyle w:val="Sraopastraipa"/>
              <w:numPr>
                <w:ilvl w:val="0"/>
                <w:numId w:val="24"/>
              </w:numPr>
              <w:spacing w:after="160" w:line="259" w:lineRule="auto"/>
              <w:rPr>
                <w:rFonts w:cs="Times New Roman"/>
                <w:szCs w:val="20"/>
              </w:rPr>
            </w:pPr>
            <w:r>
              <w:rPr>
                <w:rFonts w:cs="Times New Roman"/>
                <w:szCs w:val="20"/>
              </w:rPr>
              <w:t xml:space="preserve">Įrengti drenažines juostas;</w:t>
            </w:r>
          </w:p>
          <w:p>
            <w:pPr>
              <w:pStyle w:val="Sraopastraipa"/>
              <w:numPr>
                <w:ilvl w:val="0"/>
                <w:numId w:val="24"/>
              </w:numPr>
              <w:spacing w:after="160" w:line="259" w:lineRule="auto"/>
              <w:rPr>
                <w:rFonts w:cs="Times New Roman"/>
                <w:szCs w:val="20"/>
              </w:rPr>
            </w:pPr>
            <w:r>
              <w:rPr>
                <w:rFonts w:cs="Times New Roman"/>
                <w:szCs w:val="20"/>
              </w:rPr>
              <w:t xml:space="preserve">Įrengti paviršinio vandens surinkimo šulinėlius (dvigubo surinkimo);</w:t>
            </w:r>
          </w:p>
          <w:p>
            <w:pPr>
              <w:pStyle w:val="Sraopastraipa"/>
              <w:numPr>
                <w:ilvl w:val="0"/>
                <w:numId w:val="24"/>
              </w:numPr>
              <w:spacing w:after="160" w:line="259" w:lineRule="auto"/>
              <w:rPr>
                <w:rFonts w:cs="Times New Roman"/>
                <w:szCs w:val="20"/>
              </w:rPr>
            </w:pPr>
            <w:r>
              <w:rPr>
                <w:rFonts w:cs="Times New Roman"/>
                <w:szCs w:val="20"/>
              </w:rPr>
              <w:t xml:space="preserve">Sujungti šulinėlius ir nuvesti vandenį į patiltę taip, kad ištekantis vanduo nedrėkintų žemiau esančių konstrukcijų.</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Šalitilčiai</w:t>
            </w:r>
          </w:p>
        </w:tc>
        <w:tc>
          <w:tcPr>
            <w:tcW w:type="dxa" w:w="7081"/>
            <w:tcBorders/>
          </w:tcPr>
          <w:p>
            <w:pPr>
              <w:pStyle w:val="Sraopastraipa"/>
              <w:numPr>
                <w:ilvl w:val="0"/>
                <w:numId w:val="24"/>
              </w:numPr>
              <w:spacing/>
              <w:jc w:val="both"/>
              <w:rPr>
                <w:rFonts w:cs="Times New Roman"/>
                <w:szCs w:val="20"/>
              </w:rPr>
            </w:pPr>
            <w:r>
              <w:rPr>
                <w:rFonts w:cs="Times New Roman"/>
                <w:szCs w:val="20"/>
              </w:rPr>
              <w:t xml:space="preserve">Įrengti naujas </w:t>
            </w:r>
            <w:r>
              <w:rPr>
                <w:rFonts w:cs="Times New Roman"/>
                <w:szCs w:val="20"/>
              </w:rPr>
              <w:t xml:space="preserve">šalitilčių</w:t>
            </w:r>
            <w:r>
              <w:rPr>
                <w:rFonts w:cs="Times New Roman"/>
                <w:szCs w:val="20"/>
              </w:rPr>
              <w:t xml:space="preserve"> plokštes;</w:t>
            </w:r>
          </w:p>
          <w:p>
            <w:pPr>
              <w:pStyle w:val="Sraopastraipa"/>
              <w:numPr>
                <w:ilvl w:val="0"/>
                <w:numId w:val="24"/>
              </w:numPr>
              <w:spacing/>
              <w:jc w:val="both"/>
              <w:rPr>
                <w:rFonts w:cs="Times New Roman"/>
                <w:szCs w:val="20"/>
              </w:rPr>
            </w:pPr>
            <w:r>
              <w:rPr>
                <w:rFonts w:cs="Times New Roman"/>
                <w:szCs w:val="20"/>
              </w:rPr>
              <w:t xml:space="preserve">Padengti </w:t>
            </w:r>
            <w:r>
              <w:rPr>
                <w:rFonts w:cs="Times New Roman"/>
                <w:szCs w:val="20"/>
              </w:rPr>
              <w:t xml:space="preserve">šalitilčius</w:t>
            </w:r>
            <w:r>
              <w:rPr>
                <w:rFonts w:cs="Times New Roman"/>
                <w:szCs w:val="20"/>
              </w:rPr>
              <w:t xml:space="preserve"> ir </w:t>
            </w:r>
            <w:r>
              <w:rPr>
                <w:rFonts w:cs="Times New Roman"/>
                <w:szCs w:val="20"/>
              </w:rPr>
              <w:t xml:space="preserve">turėklinių</w:t>
            </w:r>
            <w:r>
              <w:rPr>
                <w:rFonts w:cs="Times New Roman"/>
                <w:szCs w:val="20"/>
              </w:rPr>
              <w:t xml:space="preserve"> bortų viršų nauja apsaugine neslidžia danga.</w:t>
            </w:r>
          </w:p>
          <w:p>
            <w:pPr>
              <w:pStyle w:val="Sraopastraipa"/>
              <w:numPr>
                <w:ilvl w:val="0"/>
                <w:numId w:val="24"/>
              </w:numPr>
              <w:spacing/>
              <w:jc w:val="both"/>
              <w:rPr>
                <w:rFonts w:cs="Times New Roman"/>
                <w:szCs w:val="20"/>
              </w:rPr>
            </w:pPr>
            <w:r>
              <w:rPr>
                <w:rFonts w:cs="Times New Roman"/>
                <w:szCs w:val="20"/>
              </w:rPr>
              <w:t xml:space="preserve">Įrengti sklandžias kelkraščių ir </w:t>
            </w:r>
            <w:r>
              <w:rPr>
                <w:rFonts w:cs="Times New Roman"/>
                <w:szCs w:val="20"/>
              </w:rPr>
              <w:t xml:space="preserve">šalitilčių</w:t>
            </w:r>
            <w:r>
              <w:rPr>
                <w:rFonts w:cs="Times New Roman"/>
                <w:szCs w:val="20"/>
              </w:rPr>
              <w:t xml:space="preserve"> sandūras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Atitvarai</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 naujus atitvarus (pagal KPT TAS 09 reikalavimus) ant tilto ir prietilčiuose</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Deformaciniai pjūviai</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 naujus deformacinis pjūvius (6vnt.).</w:t>
            </w:r>
          </w:p>
          <w:p>
            <w:pPr>
              <w:pStyle w:val="Sraopastraipa"/>
              <w:spacing/>
              <w:rPr>
                <w:rFonts w:cs="Times New Roman"/>
                <w:szCs w:val="20"/>
              </w:rPr>
            </w:pPr>
            <w:r>
              <w:rPr>
                <w:rFonts w:cs="Times New Roman"/>
                <w:szCs w:val="20"/>
              </w:rPr>
              <w:t xml:space="preserve">Pastaba. Parinkti deformacinių pjūvių sprendiniai turi patikimai perimti statinio konstrukcijų deformacijas.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Perdanga</w:t>
            </w:r>
          </w:p>
        </w:tc>
        <w:tc>
          <w:tcPr>
            <w:tcW w:type="dxa" w:w="7081"/>
            <w:tcBorders/>
          </w:tcPr>
          <w:p>
            <w:pPr>
              <w:pStyle w:val="Sraopastraipa"/>
              <w:numPr>
                <w:ilvl w:val="0"/>
                <w:numId w:val="24"/>
              </w:numPr>
              <w:spacing/>
              <w:jc w:val="both"/>
              <w:rPr>
                <w:rFonts w:cs="Times New Roman"/>
                <w:szCs w:val="20"/>
              </w:rPr>
            </w:pPr>
            <w:r>
              <w:rPr>
                <w:rFonts w:cs="Times New Roman"/>
                <w:szCs w:val="20"/>
              </w:rPr>
              <w:t xml:space="preserve">Suremontuoti sijų galus virš atramų (~2 m) ir lokalias pažeistas vietas: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pašalinti pažeistą, sutrūkusi, atšokusį betoną;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nuo armatūros strypų pašalinti rūdis;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armatūros strypus padengti antikorozinėmis dangomis;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remontiniais mišiniais atstatyti betono apsauginį sluoksnį;</w:t>
            </w:r>
          </w:p>
          <w:p>
            <w:pPr>
              <w:pStyle w:val="prastasiniatinklio"/>
              <w:numPr>
                <w:ilvl w:val="1"/>
                <w:numId w:val="24"/>
              </w:numPr>
              <w:shd w:val="clear" w:color="auto" w:fill="FFFFFF"/>
              <w:spacing w:before="0" w:beforeAutospacing="0" w:after="120" w:afterAutospacing="0"/>
              <w:jc w:val="both"/>
              <w:rPr>
                <w:rFonts w:ascii="Arial Narrow" w:hAnsi="Arial Narrow" w:cs="Arial"/>
                <w:sz w:val="20"/>
                <w:szCs w:val="20"/>
              </w:rPr>
            </w:pPr>
            <w:r>
              <w:rPr>
                <w:rFonts w:ascii="Arial Narrow" w:hAnsi="Arial Narrow" w:cs="Arial"/>
                <w:sz w:val="20"/>
                <w:szCs w:val="20"/>
              </w:rPr>
              <w:t xml:space="preserve">kraštinių sijų fasadinius paviršius padengti apsauginėmis dangomis.</w:t>
            </w:r>
          </w:p>
          <w:p>
            <w:pPr>
              <w:pStyle w:val="Sraopastraipa"/>
              <w:numPr>
                <w:ilvl w:val="0"/>
                <w:numId w:val="24"/>
              </w:numPr>
              <w:spacing/>
              <w:jc w:val="both"/>
              <w:rPr>
                <w:rFonts w:cs="Arial"/>
                <w:szCs w:val="20"/>
              </w:rPr>
            </w:pPr>
            <w:r>
              <w:rPr>
                <w:rFonts w:cs="Arial"/>
                <w:szCs w:val="20"/>
              </w:rPr>
              <w:t xml:space="preserve">Suremontuoti perdangos monolitinius ruožus tarp sijų virš atramų ir lokaliose </w:t>
            </w:r>
            <w:r>
              <w:rPr>
                <w:rFonts w:cs="Arial"/>
                <w:szCs w:val="20"/>
              </w:rPr>
              <w:t xml:space="preserve">vietuose</w:t>
            </w:r>
            <w:r>
              <w:rPr>
                <w:rFonts w:cs="Arial"/>
                <w:szCs w:val="20"/>
              </w:rPr>
              <w:t xml:space="preserve">:</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pašalinti pažeistą, sutrūkusi, atšokusį betoną;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nuo armatūros strypų pašalinti rūdis;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armatūros strypus padengti antikorozinėmis dangomis;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remontiniais mišiniais atstatyti betono apsauginį sluoksnį;</w:t>
            </w:r>
          </w:p>
          <w:p>
            <w:pPr>
              <w:pStyle w:val="prastasiniatinklio"/>
              <w:numPr>
                <w:ilvl w:val="1"/>
                <w:numId w:val="24"/>
              </w:numPr>
              <w:shd w:val="clear" w:color="auto" w:fill="FFFFFF"/>
              <w:spacing w:before="0" w:beforeAutospacing="0" w:after="0" w:afterAutospacing="0"/>
              <w:jc w:val="both"/>
              <w:rPr>
                <w:rFonts w:ascii="Arial" w:hAnsi="Arial" w:cs="Arial"/>
                <w:sz w:val="20"/>
                <w:szCs w:val="20"/>
              </w:rPr>
            </w:pPr>
            <w:r>
              <w:rPr>
                <w:rFonts w:ascii="Arial Narrow" w:hAnsi="Arial Narrow" w:cs="Arial"/>
                <w:sz w:val="20"/>
                <w:szCs w:val="20"/>
              </w:rPr>
              <w:t xml:space="preserve">paviršius padengti apsauginėmis dangomis;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Atramos</w:t>
            </w:r>
          </w:p>
        </w:tc>
        <w:tc>
          <w:tcPr>
            <w:tcW w:type="dxa" w:w="7081"/>
            <w:tcBorders/>
          </w:tcPr>
          <w:p>
            <w:pPr>
              <w:pStyle w:val="Sraopastraipa"/>
              <w:spacing/>
              <w:rPr/>
            </w:pPr>
            <w:r>
              <w:rPr/>
              <w:t xml:space="preserve">Suremontuoti </w:t>
            </w:r>
            <w:r>
              <w:rPr/>
              <w:t xml:space="preserve">ramtus</w:t>
            </w:r>
            <w:r>
              <w:rPr/>
              <w:t xml:space="preserve">:</w:t>
            </w:r>
          </w:p>
          <w:p>
            <w:pPr>
              <w:pStyle w:val="Sraopastraipa"/>
              <w:numPr>
                <w:ilvl w:val="0"/>
                <w:numId w:val="24"/>
              </w:numPr>
              <w:spacing/>
              <w:rPr/>
            </w:pPr>
            <w:r>
              <w:rPr/>
              <w:t xml:space="preserve">pašalinti patakuotą, sutrūkusi, atšokusį apsauginį betoną;</w:t>
            </w:r>
          </w:p>
          <w:p>
            <w:pPr>
              <w:pStyle w:val="Sraopastraipa"/>
              <w:numPr>
                <w:ilvl w:val="0"/>
                <w:numId w:val="24"/>
              </w:numPr>
              <w:spacing/>
              <w:rPr/>
            </w:pPr>
            <w:r>
              <w:rPr/>
              <w:t xml:space="preserve">nuo armatūros strypų pašalinti rūdis;</w:t>
            </w:r>
          </w:p>
          <w:p>
            <w:pPr>
              <w:pStyle w:val="Sraopastraipa"/>
              <w:numPr>
                <w:ilvl w:val="0"/>
                <w:numId w:val="24"/>
              </w:numPr>
              <w:spacing/>
              <w:rPr/>
            </w:pPr>
            <w:r>
              <w:rPr/>
              <w:t xml:space="preserve">armatūros strypus padengti antikorozinėmis dangomis; </w:t>
            </w:r>
          </w:p>
          <w:p>
            <w:pPr>
              <w:pStyle w:val="Sraopastraipa"/>
              <w:numPr>
                <w:ilvl w:val="0"/>
                <w:numId w:val="24"/>
              </w:numPr>
              <w:spacing/>
              <w:rPr/>
            </w:pPr>
            <w:r>
              <w:rPr/>
              <w:t xml:space="preserve">remontiniais mišiniais atstatyti betono apsauginį sluoksnį;</w:t>
            </w:r>
          </w:p>
          <w:p>
            <w:pPr>
              <w:pStyle w:val="Sraopastraipa"/>
              <w:numPr>
                <w:ilvl w:val="0"/>
                <w:numId w:val="24"/>
              </w:numPr>
              <w:spacing/>
              <w:rPr/>
            </w:pPr>
            <w:r>
              <w:rPr/>
              <w:t xml:space="preserve">paviršius padengti apsauginėmis dangomis.</w:t>
            </w:r>
          </w:p>
          <w:p>
            <w:pPr>
              <w:pStyle w:val="Sraopastraipa"/>
              <w:spacing/>
              <w:rPr/>
            </w:pPr>
            <w:r>
              <w:rPr/>
              <w:t xml:space="preserve">Suremontuoti taurus:</w:t>
            </w:r>
          </w:p>
          <w:p>
            <w:pPr>
              <w:pStyle w:val="Sraopastraipa"/>
              <w:numPr>
                <w:ilvl w:val="0"/>
                <w:numId w:val="24"/>
              </w:numPr>
              <w:spacing/>
              <w:rPr/>
            </w:pPr>
            <w:r>
              <w:rPr/>
              <w:t xml:space="preserve">pašalinti patakuotą, sutrūkusi, atšokusį apsauginį betoną;</w:t>
            </w:r>
          </w:p>
          <w:p>
            <w:pPr>
              <w:pStyle w:val="Sraopastraipa"/>
              <w:numPr>
                <w:ilvl w:val="0"/>
                <w:numId w:val="24"/>
              </w:numPr>
              <w:spacing/>
              <w:rPr/>
            </w:pPr>
            <w:r>
              <w:rPr/>
              <w:t xml:space="preserve">nuo armatūros strypų pašalinti rūdis;</w:t>
            </w:r>
          </w:p>
          <w:p>
            <w:pPr>
              <w:pStyle w:val="Sraopastraipa"/>
              <w:numPr>
                <w:ilvl w:val="0"/>
                <w:numId w:val="24"/>
              </w:numPr>
              <w:spacing/>
              <w:rPr/>
            </w:pPr>
            <w:r>
              <w:rPr/>
              <w:t xml:space="preserve">armatūros strypus padengti antikorozinėmis dangomis; </w:t>
            </w:r>
          </w:p>
          <w:p>
            <w:pPr>
              <w:pStyle w:val="Sraopastraipa"/>
              <w:numPr>
                <w:ilvl w:val="0"/>
                <w:numId w:val="24"/>
              </w:numPr>
              <w:spacing/>
              <w:rPr/>
            </w:pPr>
            <w:r>
              <w:rPr/>
              <w:t xml:space="preserve">remontiniais mišiniais atstatyti betono apsauginį sluoksnį;</w:t>
            </w:r>
          </w:p>
          <w:p>
            <w:pPr>
              <w:pStyle w:val="Sraopastraipa"/>
              <w:numPr>
                <w:ilvl w:val="0"/>
                <w:numId w:val="24"/>
              </w:numPr>
              <w:spacing/>
              <w:rPr/>
            </w:pPr>
            <w:r>
              <w:rPr/>
              <w:t xml:space="preserve">paviršius padengti apsauginėmis dangomis;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Prietilčiai ir patiltė</w:t>
            </w:r>
          </w:p>
        </w:tc>
        <w:tc>
          <w:tcPr>
            <w:tcW w:type="dxa" w:w="7081"/>
            <w:tcBorders/>
          </w:tcPr>
          <w:p>
            <w:pPr>
              <w:pStyle w:val="Sraopastraipa"/>
              <w:numPr>
                <w:ilvl w:val="0"/>
                <w:numId w:val="24"/>
              </w:numPr>
              <w:spacing/>
              <w:rPr/>
            </w:pPr>
            <w:r>
              <w:rPr/>
              <w:t xml:space="preserve">Įrengti naujas pereinamąsias plokštes;</w:t>
            </w:r>
          </w:p>
          <w:p>
            <w:pPr>
              <w:pStyle w:val="Sraopastraipa"/>
              <w:numPr>
                <w:ilvl w:val="0"/>
                <w:numId w:val="24"/>
              </w:numPr>
              <w:spacing/>
              <w:rPr/>
            </w:pPr>
            <w:r>
              <w:rPr/>
              <w:t xml:space="preserve">Įrengti naują vandens surinkimo ir nuleidimo sistemą prietilčiuose;</w:t>
            </w:r>
          </w:p>
          <w:p>
            <w:pPr>
              <w:pStyle w:val="Sraopastraipa"/>
              <w:numPr>
                <w:ilvl w:val="0"/>
                <w:numId w:val="24"/>
              </w:numPr>
              <w:spacing/>
              <w:rPr/>
            </w:pPr>
            <w:r>
              <w:rPr/>
              <w:t xml:space="preserve">Patiltėje sutvarkyti išplovas.</w:t>
            </w:r>
          </w:p>
          <w:p>
            <w:pPr>
              <w:pStyle w:val="Sraopastraipa"/>
              <w:numPr>
                <w:ilvl w:val="0"/>
                <w:numId w:val="24"/>
              </w:numPr>
              <w:spacing/>
              <w:rPr/>
            </w:pPr>
            <w:r>
              <w:rPr/>
              <w:t xml:space="preserve">Suremontuoti (atstatyti) pažeistas kūgių šlaitų sutvirtinimų vietas (pažeistus tvirtinimo elementus pakeisti);</w:t>
            </w:r>
          </w:p>
          <w:p>
            <w:pPr>
              <w:pStyle w:val="Sraopastraipa"/>
              <w:numPr>
                <w:ilvl w:val="0"/>
                <w:numId w:val="24"/>
              </w:numPr>
              <w:spacing/>
              <w:rPr/>
            </w:pPr>
            <w:r>
              <w:rPr>
                <w:b/>
                <w:bCs/>
              </w:rPr>
              <w:t xml:space="preserve">Pastaba</w:t>
            </w:r>
            <w:r>
              <w:rPr/>
              <w:t xml:space="preserve">. Kūgių šlaitų tvirtinimo medžiagas ir sprendinį parenka tiekėjas.</w:t>
            </w:r>
          </w:p>
        </w:tc>
      </w:tr>
      <w:tr>
        <w:trPr/>
        <w:tc>
          <w:tcPr>
            <w:tcW w:type="dxa" w:w="2126"/>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Kitų konstrukcijų remontas ir įrengimas</w:t>
            </w:r>
          </w:p>
        </w:tc>
        <w:tc>
          <w:tcPr>
            <w:tcW w:type="dxa" w:w="7081"/>
            <w:tcBorders/>
          </w:tcPr>
          <w:p>
            <w:pPr>
              <w:pStyle w:val="Sraopastraipa"/>
              <w:numPr>
                <w:ilvl w:val="0"/>
                <w:numId w:val="24"/>
              </w:numPr>
              <w:spacing/>
              <w:jc w:val="both"/>
              <w:rPr>
                <w:rFonts w:cs="Times New Roman"/>
                <w:szCs w:val="20"/>
              </w:rPr>
            </w:pPr>
            <w:r>
              <w:rPr>
                <w:rFonts w:cs="Times New Roman"/>
                <w:szCs w:val="20"/>
              </w:rPr>
              <w:t xml:space="preserve">Įrengti/atstatyti reikiamus kelio ženklus</w:t>
            </w:r>
          </w:p>
        </w:tc>
      </w:tr>
    </w:tbl>
    <w:p w14:paraId="756451AE">
      <w:pPr>
        <w:pStyle w:val="Bodytext1"/>
        <w:shd w:val="clear" w:color="auto" w:fill="auto"/>
        <w:tabs>
          <w:tab w:val="left" w:pos="567"/>
        </w:tabs>
        <w:spacing w:before="0" w:after="0" w:line="240" w:lineRule="auto"/>
        <w:ind w:right="55" w:firstLine="0"/>
        <w:jc w:val="both"/>
        <w:rPr>
          <w:rFonts w:ascii="Arial Narrow" w:hAnsi="Arial Narrow"/>
          <w:b/>
          <w:bCs/>
          <w:sz w:val="20"/>
          <w:szCs w:val="20"/>
        </w:rPr>
      </w:pPr>
    </w:p>
    <w:p w14:paraId="756451AF">
      <w:pPr>
        <w:pStyle w:val="Sraopastraipa"/>
        <w:numPr>
          <w:ilvl w:val="2"/>
          <w:numId w:val="15"/>
        </w:numPr>
        <w:tabs>
          <w:tab w:val="left" w:pos="567"/>
        </w:tabs>
        <w:spacing/>
        <w:ind w:left="0" w:firstLine="0"/>
        <w:rPr>
          <w:rFonts w:cs="Times New Roman"/>
          <w:b/>
          <w:bCs/>
          <w:szCs w:val="20"/>
        </w:rPr>
      </w:pPr>
      <w:r>
        <w:rPr>
          <w:rFonts w:cs="Times New Roman"/>
          <w:b/>
          <w:bCs/>
          <w:szCs w:val="20"/>
        </w:rPr>
        <w:t xml:space="preserve">Viadukas 74,658 km </w:t>
      </w: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7081"/>
      </w:tblGrid>
      <w:tr>
        <w:trPr/>
        <w:tc>
          <w:tcPr>
            <w:tcW w:type="dxa" w:w="2409"/>
            <w:tcBorders/>
            <w:shd w:fill="005063" w:color="auto" w:val="clear"/>
          </w:tcPr>
          <w:p>
            <w:pPr>
              <w:tabs>
                <w:tab w:val="left" w:pos="567"/>
              </w:tabs>
              <w:spacing/>
              <w:ind w:right="55"/>
              <w:rPr/>
            </w:pPr>
            <w:r>
              <w:rPr>
                <w:rFonts w:ascii="Arial Narrow" w:hAnsi="Arial Narrow" w:eastAsia="Arial Narrow" w:cs="Arial Narrow"/>
                <w:b/>
                <w:bCs/>
                <w:color w:val="FFFFFF"/>
                <w:sz w:val="20"/>
              </w:rPr>
              <w:t xml:space="preserve">Elementas</w:t>
            </w:r>
          </w:p>
        </w:tc>
        <w:tc>
          <w:tcPr>
            <w:tcW w:type="dxa" w:w="7081"/>
            <w:tcBorders/>
            <w:shd w:fill="005063" w:color="auto" w:val="clear"/>
          </w:tcPr>
          <w:p>
            <w:pPr>
              <w:tabs>
                <w:tab w:val="left" w:pos="567"/>
              </w:tabs>
              <w:spacing/>
              <w:ind w:right="55"/>
              <w:rPr/>
            </w:pPr>
            <w:r>
              <w:rPr>
                <w:rFonts w:ascii="Arial Narrow" w:hAnsi="Arial Narrow" w:eastAsia="Arial Narrow" w:cs="Arial Narrow"/>
                <w:b/>
                <w:bCs/>
                <w:color w:val="FFFFFF"/>
                <w:sz w:val="20"/>
              </w:rPr>
              <w:t xml:space="preserve">Darbų aprašymas</w:t>
            </w:r>
          </w:p>
        </w:tc>
      </w:tr>
      <w:tr>
        <w:trPr/>
        <w:tc>
          <w:tcPr>
            <w:tcW w:type="dxa" w:w="2409"/>
            <w:tcBorders/>
          </w:tcPr>
          <w:p>
            <w:pPr>
              <w:spacing w:after="160" w:line="259" w:lineRule="auto"/>
              <w:rPr>
                <w:rFonts w:ascii="Arial Narrow" w:hAnsi="Arial Narrow" w:eastAsiaTheme="minorHAnsi"/>
                <w:sz w:val="20"/>
              </w:rPr>
            </w:pPr>
            <w:r>
              <w:rPr>
                <w:rFonts w:ascii="Arial Narrow" w:hAnsi="Arial Narrow" w:eastAsiaTheme="minorHAnsi"/>
                <w:sz w:val="20"/>
              </w:rPr>
              <w:t xml:space="preserve">Važiuojamosios dalies danga</w:t>
            </w:r>
          </w:p>
        </w:tc>
        <w:tc>
          <w:tcPr>
            <w:tcW w:type="dxa" w:w="7081"/>
            <w:tcBorders/>
          </w:tcPr>
          <w:p>
            <w:pPr>
              <w:pStyle w:val="Sraopastraipa"/>
              <w:numPr>
                <w:ilvl w:val="0"/>
                <w:numId w:val="24"/>
              </w:numPr>
              <w:spacing w:line="259" w:lineRule="auto"/>
              <w:ind w:left="714" w:hanging="357"/>
              <w:rPr>
                <w:rFonts w:cs="Times New Roman"/>
                <w:szCs w:val="20"/>
              </w:rPr>
            </w:pPr>
            <w:r>
              <w:rPr>
                <w:rFonts w:cs="Times New Roman"/>
                <w:szCs w:val="20"/>
              </w:rPr>
              <w:t xml:space="preserve">važiuojamosios dalies asfalto dangos pakeitimas vadovaujantis ĮT DBH 12 (viršutinio, apatinio ir apsauginio sluoksnių pakeitimas); </w:t>
            </w:r>
          </w:p>
          <w:p>
            <w:pPr>
              <w:pStyle w:val="Bodytext1"/>
              <w:numPr>
                <w:ilvl w:val="0"/>
                <w:numId w:val="24"/>
              </w:numPr>
              <w:shd w:val="clear" w:color="auto" w:fill="auto"/>
              <w:tabs>
                <w:tab w:val="left" w:pos="851"/>
              </w:tabs>
              <w:spacing w:before="0" w:after="0" w:line="240" w:lineRule="auto"/>
              <w:ind w:right="55"/>
              <w:jc w:val="both"/>
              <w:rPr>
                <w:rFonts w:ascii="Arial Narrow" w:hAnsi="Arial Narrow"/>
                <w:sz w:val="20"/>
                <w:szCs w:val="20"/>
              </w:rPr>
            </w:pPr>
            <w:r>
              <w:rPr>
                <w:rFonts w:ascii="Arial Narrow" w:hAnsi="Arial Narrow"/>
                <w:sz w:val="20"/>
                <w:szCs w:val="20"/>
              </w:rPr>
              <w:t xml:space="preserve">hidroizoliacijos sluoksnio pakeitimas vadovaujantis ĮT DBH 12;</w:t>
            </w:r>
          </w:p>
          <w:p>
            <w:pPr>
              <w:pStyle w:val="Bodytext1"/>
              <w:numPr>
                <w:ilvl w:val="0"/>
                <w:numId w:val="24"/>
              </w:numPr>
              <w:shd w:val="clear" w:color="auto" w:fill="auto"/>
              <w:tabs>
                <w:tab w:val="left" w:pos="851"/>
              </w:tabs>
              <w:spacing w:before="0" w:after="0" w:line="240" w:lineRule="auto"/>
              <w:ind w:right="55"/>
              <w:jc w:val="both"/>
              <w:rPr>
                <w:rFonts w:ascii="Arial Narrow" w:hAnsi="Arial Narrow"/>
                <w:sz w:val="20"/>
                <w:szCs w:val="20"/>
              </w:rPr>
            </w:pPr>
            <w:r>
              <w:rPr>
                <w:rFonts w:ascii="Arial Narrow" w:hAnsi="Arial Narrow"/>
                <w:sz w:val="20"/>
                <w:szCs w:val="20"/>
              </w:rPr>
              <w:t xml:space="preserve">išlyginamojo betono sluoksnio pakeitimas.</w:t>
            </w:r>
          </w:p>
          <w:p>
            <w:pPr>
              <w:pStyle w:val="Sraopastraipa"/>
              <w:spacing w:line="259" w:lineRule="auto"/>
              <w:rPr>
                <w:rFonts w:cs="Times New Roman"/>
                <w:szCs w:val="20"/>
              </w:rPr>
            </w:pP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Turėkliniai</w:t>
            </w:r>
            <w:r>
              <w:rPr>
                <w:rFonts w:ascii="Arial Narrow" w:hAnsi="Arial Narrow"/>
                <w:sz w:val="20"/>
                <w:szCs w:val="20"/>
              </w:rPr>
              <w:t xml:space="preserve"> bortai ir turėklai:</w:t>
            </w:r>
          </w:p>
          <w:p>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type="dxa" w:w="7081"/>
            <w:tcBorders/>
          </w:tcPr>
          <w:p>
            <w:pPr>
              <w:pStyle w:val="Sraopastraipa"/>
              <w:numPr>
                <w:ilvl w:val="0"/>
                <w:numId w:val="24"/>
              </w:numPr>
              <w:spacing w:line="259" w:lineRule="auto"/>
              <w:rPr/>
            </w:pPr>
            <w:r>
              <w:rPr/>
              <w:t xml:space="preserve">Įrengti naujus </w:t>
            </w:r>
            <w:r>
              <w:rPr/>
              <w:t xml:space="preserve">turėklinius</w:t>
            </w:r>
            <w:r>
              <w:rPr/>
              <w:t xml:space="preserve"> blokus;</w:t>
            </w:r>
          </w:p>
          <w:p>
            <w:pPr>
              <w:pStyle w:val="Sraopastraipa"/>
              <w:numPr>
                <w:ilvl w:val="0"/>
                <w:numId w:val="24"/>
              </w:numPr>
              <w:spacing w:line="259" w:lineRule="auto"/>
              <w:rPr/>
            </w:pPr>
            <w:r>
              <w:rPr/>
              <w:t xml:space="preserve">Padengti apsauginėmis dangomis;</w:t>
            </w:r>
          </w:p>
          <w:p>
            <w:pPr>
              <w:pStyle w:val="Sraopastraipa"/>
              <w:numPr>
                <w:ilvl w:val="0"/>
                <w:numId w:val="24"/>
              </w:numPr>
              <w:spacing w:line="259" w:lineRule="auto"/>
              <w:rPr/>
            </w:pPr>
            <w:r>
              <w:rPr/>
              <w:t xml:space="preserve">Įrengti naujus turėklus (dešinė pusė);</w:t>
            </w:r>
          </w:p>
          <w:p>
            <w:pPr>
              <w:pStyle w:val="Sraopastraipa"/>
              <w:numPr>
                <w:ilvl w:val="0"/>
                <w:numId w:val="24"/>
              </w:numPr>
              <w:spacing w:line="259" w:lineRule="auto"/>
              <w:rPr/>
            </w:pPr>
            <w:r>
              <w:rPr>
                <w:b/>
                <w:bCs/>
              </w:rPr>
              <w:t xml:space="preserve">Pastaba</w:t>
            </w:r>
            <w:r>
              <w:rPr/>
              <w:t xml:space="preserve">. Turėklai ir jų tvirtinimo elementai cinkuojami (pagal standartų reikalavimus). Turėklams architektūriniai reikalavimai nekeliami.</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Šalitilčiai</w:t>
            </w:r>
          </w:p>
        </w:tc>
        <w:tc>
          <w:tcPr>
            <w:tcW w:type="dxa" w:w="7081"/>
            <w:tcBorders/>
          </w:tcPr>
          <w:p>
            <w:pPr>
              <w:pStyle w:val="Sraopastraipa"/>
              <w:numPr>
                <w:ilvl w:val="0"/>
                <w:numId w:val="24"/>
              </w:numPr>
              <w:spacing/>
              <w:jc w:val="both"/>
              <w:rPr>
                <w:rFonts w:cs="Times New Roman"/>
                <w:szCs w:val="20"/>
              </w:rPr>
            </w:pPr>
            <w:r>
              <w:rPr>
                <w:rFonts w:cs="Times New Roman"/>
                <w:szCs w:val="20"/>
              </w:rPr>
              <w:t xml:space="preserve">Įrengti naujas </w:t>
            </w:r>
            <w:r>
              <w:rPr>
                <w:rFonts w:cs="Times New Roman"/>
                <w:szCs w:val="20"/>
              </w:rPr>
              <w:t xml:space="preserve">šalitilčių</w:t>
            </w:r>
            <w:r>
              <w:rPr>
                <w:rFonts w:cs="Times New Roman"/>
                <w:szCs w:val="20"/>
              </w:rPr>
              <w:t xml:space="preserve"> plokštes;</w:t>
            </w:r>
          </w:p>
          <w:p>
            <w:pPr>
              <w:pStyle w:val="Sraopastraipa"/>
              <w:numPr>
                <w:ilvl w:val="0"/>
                <w:numId w:val="24"/>
              </w:numPr>
              <w:spacing/>
              <w:jc w:val="both"/>
              <w:rPr>
                <w:rFonts w:cs="Times New Roman"/>
                <w:szCs w:val="20"/>
              </w:rPr>
            </w:pPr>
            <w:r>
              <w:rPr>
                <w:rFonts w:cs="Times New Roman"/>
                <w:szCs w:val="20"/>
              </w:rPr>
              <w:t xml:space="preserve">Padengti </w:t>
            </w:r>
            <w:r>
              <w:rPr>
                <w:rFonts w:cs="Times New Roman"/>
                <w:szCs w:val="20"/>
              </w:rPr>
              <w:t xml:space="preserve">šalitilčius</w:t>
            </w:r>
            <w:r>
              <w:rPr>
                <w:rFonts w:cs="Times New Roman"/>
                <w:szCs w:val="20"/>
              </w:rPr>
              <w:t xml:space="preserve"> ir </w:t>
            </w:r>
            <w:r>
              <w:rPr>
                <w:rFonts w:cs="Times New Roman"/>
                <w:szCs w:val="20"/>
              </w:rPr>
              <w:t xml:space="preserve">turėklinių</w:t>
            </w:r>
            <w:r>
              <w:rPr>
                <w:rFonts w:cs="Times New Roman"/>
                <w:szCs w:val="20"/>
              </w:rPr>
              <w:t xml:space="preserve"> bortų viršų nauja apsaugine neslidžia danga;</w:t>
            </w:r>
          </w:p>
          <w:p>
            <w:pPr>
              <w:pStyle w:val="Sraopastraipa"/>
              <w:numPr>
                <w:ilvl w:val="0"/>
                <w:numId w:val="24"/>
              </w:numPr>
              <w:spacing w:after="160" w:line="259" w:lineRule="auto"/>
              <w:rPr>
                <w:rFonts w:cs="Times New Roman"/>
                <w:szCs w:val="20"/>
              </w:rPr>
            </w:pPr>
            <w:r>
              <w:rPr>
                <w:rFonts w:cs="Times New Roman"/>
                <w:szCs w:val="20"/>
              </w:rPr>
              <w:t xml:space="preserve">Įrengti sklandžias kelkraščių ir </w:t>
            </w:r>
            <w:r>
              <w:rPr>
                <w:rFonts w:cs="Times New Roman"/>
                <w:szCs w:val="20"/>
              </w:rPr>
              <w:t xml:space="preserve">šalitilčių</w:t>
            </w:r>
            <w:r>
              <w:rPr>
                <w:rFonts w:cs="Times New Roman"/>
                <w:szCs w:val="20"/>
              </w:rPr>
              <w:t xml:space="preserve"> sandūras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Atitvarai</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 naujus atitvarus (pagal KPT TAS 09 reikalavimus) ant tilto ir prietilčiuose;</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Deformaciniai pjūviai</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 naujus deformacinis pjūvius (2vnt.).</w:t>
            </w:r>
          </w:p>
          <w:p>
            <w:pPr>
              <w:pStyle w:val="Sraopastraipa"/>
              <w:spacing/>
              <w:rPr>
                <w:rFonts w:cs="Times New Roman"/>
                <w:szCs w:val="20"/>
              </w:rPr>
            </w:pPr>
            <w:r>
              <w:rPr>
                <w:rFonts w:cs="Times New Roman"/>
                <w:szCs w:val="20"/>
              </w:rPr>
              <w:t xml:space="preserve">Pastaba. Parinkti deformacinių pjūvių sprendiniai turi patikimai perimti statinio konstrukcijų deformacijas.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Perdanga</w:t>
            </w:r>
          </w:p>
        </w:tc>
        <w:tc>
          <w:tcPr>
            <w:tcW w:type="dxa" w:w="7081"/>
            <w:tcBorders/>
          </w:tcPr>
          <w:p>
            <w:pPr>
              <w:pStyle w:val="Sraopastraipa"/>
              <w:numPr>
                <w:ilvl w:val="0"/>
                <w:numId w:val="24"/>
              </w:numPr>
              <w:spacing/>
              <w:jc w:val="both"/>
              <w:rPr>
                <w:rFonts w:cs="Arial"/>
                <w:szCs w:val="20"/>
              </w:rPr>
            </w:pPr>
            <w:r>
              <w:rPr>
                <w:rFonts w:cs="Arial"/>
                <w:szCs w:val="20"/>
              </w:rPr>
              <w:t xml:space="preserve">Suremontuoti perdangos plokštes: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pašalinti pažeistą, sutrūkusi, atšokusį betoną;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nuo armatūros strypų pašalinti rūdis;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armatūros strypus padengti antikorozinėmis dangomis;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remontiniais mišiniais atstatyti betono apsauginį sluoksnį;</w:t>
            </w:r>
          </w:p>
          <w:p>
            <w:pPr>
              <w:pStyle w:val="prastasiniatinklio"/>
              <w:numPr>
                <w:ilvl w:val="1"/>
                <w:numId w:val="24"/>
              </w:numPr>
              <w:shd w:val="clear" w:color="auto" w:fill="FFFFFF"/>
              <w:spacing w:before="0" w:beforeAutospacing="0" w:after="120" w:afterAutospacing="0"/>
              <w:jc w:val="both"/>
              <w:rPr>
                <w:rFonts w:ascii="Arial Narrow" w:hAnsi="Arial Narrow" w:cs="Arial"/>
                <w:sz w:val="20"/>
                <w:szCs w:val="20"/>
              </w:rPr>
            </w:pPr>
            <w:r>
              <w:rPr>
                <w:rFonts w:ascii="Arial Narrow" w:hAnsi="Arial Narrow" w:cs="Arial"/>
                <w:sz w:val="20"/>
                <w:szCs w:val="20"/>
              </w:rPr>
              <w:t xml:space="preserve">paviršius padengti apsauginėmis dangomis.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Atramos</w:t>
            </w:r>
          </w:p>
        </w:tc>
        <w:tc>
          <w:tcPr>
            <w:tcW w:type="dxa" w:w="7081"/>
            <w:tcBorders/>
          </w:tcPr>
          <w:p>
            <w:pPr>
              <w:pStyle w:val="Sraopastraipa"/>
              <w:numPr>
                <w:ilvl w:val="0"/>
                <w:numId w:val="24"/>
              </w:numPr>
              <w:spacing/>
              <w:jc w:val="both"/>
              <w:rPr>
                <w:rFonts w:cs="Arial"/>
                <w:szCs w:val="20"/>
              </w:rPr>
            </w:pPr>
            <w:r>
              <w:rPr>
                <w:rFonts w:cs="Arial"/>
                <w:szCs w:val="20"/>
              </w:rPr>
              <w:t xml:space="preserve">Suremontuoti </w:t>
            </w:r>
            <w:r>
              <w:rPr>
                <w:rFonts w:cs="Arial"/>
                <w:szCs w:val="20"/>
              </w:rPr>
              <w:t xml:space="preserve">ramtus</w:t>
            </w:r>
            <w:r>
              <w:rPr>
                <w:rFonts w:cs="Arial"/>
                <w:szCs w:val="20"/>
              </w:rPr>
              <w:t xml:space="preserve">:</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pašalinti patakuotą, sutrūkusi, atšokusį apsauginį betoną;</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nuo armatūros strypų pašalinti rūdis;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armatūros strypus padengti antikorozinėmis dangomis;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remontiniais mišiniais atstatyti betono apsauginį sluoksnį;</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paviršius padengti apsauginėmis dangomis.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Prietilčiai ir patiltė</w:t>
            </w:r>
          </w:p>
        </w:tc>
        <w:tc>
          <w:tcPr>
            <w:tcW w:type="dxa" w:w="7081"/>
            <w:tcBorders/>
          </w:tcPr>
          <w:p>
            <w:pPr>
              <w:pStyle w:val="Sraopastraipa"/>
              <w:numPr>
                <w:ilvl w:val="0"/>
                <w:numId w:val="24"/>
              </w:numPr>
              <w:spacing/>
              <w:rPr/>
            </w:pPr>
            <w:r>
              <w:rPr/>
              <w:t xml:space="preserve">Įrengti naujas pereinamąsias plokštes;</w:t>
            </w:r>
          </w:p>
          <w:p>
            <w:pPr>
              <w:pStyle w:val="Sraopastraipa"/>
              <w:numPr>
                <w:ilvl w:val="0"/>
                <w:numId w:val="24"/>
              </w:numPr>
              <w:spacing/>
              <w:jc w:val="both"/>
              <w:rPr/>
            </w:pPr>
            <w:r>
              <w:rPr/>
              <w:t xml:space="preserve">įrengti ženklus žyminčius viaduko perdangos apatinį kraštą</w:t>
            </w:r>
          </w:p>
          <w:p>
            <w:pPr>
              <w:pStyle w:val="Sraopastraipa"/>
              <w:numPr>
                <w:ilvl w:val="0"/>
                <w:numId w:val="24"/>
              </w:numPr>
              <w:spacing/>
              <w:rPr/>
            </w:pPr>
            <w:r>
              <w:rPr/>
              <w:t xml:space="preserve">Suremontuoti važiuojamosios dalies dangą patiltėje;</w:t>
            </w:r>
          </w:p>
          <w:p>
            <w:pPr>
              <w:pStyle w:val="Sraopastraipa"/>
              <w:numPr>
                <w:ilvl w:val="0"/>
                <w:numId w:val="24"/>
              </w:numPr>
              <w:spacing/>
              <w:rPr/>
            </w:pPr>
            <w:r>
              <w:rPr/>
              <w:t xml:space="preserve">Įrengti naują vandens surinkimo ir nuleidimo sistemą prietilčiuose.</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Kitų konstrukcijų remontas ir įrengimas</w:t>
            </w:r>
          </w:p>
        </w:tc>
        <w:tc>
          <w:tcPr>
            <w:tcW w:type="dxa" w:w="7081"/>
            <w:tcBorders/>
          </w:tcPr>
          <w:p>
            <w:pPr>
              <w:pStyle w:val="Sraopastraipa"/>
              <w:numPr>
                <w:ilvl w:val="0"/>
                <w:numId w:val="24"/>
              </w:numPr>
              <w:spacing w:after="160" w:line="256" w:lineRule="auto"/>
              <w:rPr>
                <w:rFonts w:cs="Arial"/>
                <w:szCs w:val="20"/>
              </w:rPr>
            </w:pPr>
            <w:r>
              <w:rPr>
                <w:rFonts w:cs="Arial"/>
                <w:szCs w:val="20"/>
              </w:rPr>
              <w:t xml:space="preserve">Įrengti/atstatyti reikiamus kelio ženklus;</w:t>
            </w:r>
          </w:p>
          <w:p>
            <w:pPr>
              <w:pStyle w:val="Sraopastraipa"/>
              <w:numPr>
                <w:ilvl w:val="0"/>
                <w:numId w:val="24"/>
              </w:numPr>
              <w:spacing w:after="160" w:line="276" w:lineRule="auto"/>
              <w:rPr>
                <w:rFonts w:cs="Arial"/>
                <w:szCs w:val="20"/>
              </w:rPr>
            </w:pPr>
            <w:r>
              <w:rPr>
                <w:rFonts w:cs="Arial"/>
                <w:szCs w:val="20"/>
              </w:rPr>
              <w:t xml:space="preserve">įrengti 316 kelio ženklus (aukščio ribojimas)</w:t>
            </w:r>
          </w:p>
          <w:p>
            <w:pPr>
              <w:pStyle w:val="Sraopastraipa"/>
              <w:numPr>
                <w:ilvl w:val="0"/>
                <w:numId w:val="24"/>
              </w:numPr>
              <w:spacing w:after="160" w:line="256" w:lineRule="auto"/>
              <w:rPr>
                <w:rFonts w:cs="Arial"/>
                <w:szCs w:val="20"/>
              </w:rPr>
            </w:pPr>
            <w:r>
              <w:rPr>
                <w:rFonts w:cs="Arial"/>
                <w:szCs w:val="20"/>
              </w:rPr>
              <w:t xml:space="preserve">Įrengti </w:t>
            </w:r>
            <w:r>
              <w:rPr>
                <w:rFonts w:cs="Arial"/>
                <w:szCs w:val="20"/>
              </w:rPr>
              <w:t xml:space="preserve">gabaritinius</w:t>
            </w:r>
            <w:r>
              <w:rPr>
                <w:rFonts w:cs="Arial"/>
                <w:szCs w:val="20"/>
              </w:rPr>
              <w:t xml:space="preserve"> vartus (2vnt.).</w:t>
            </w:r>
          </w:p>
        </w:tc>
      </w:tr>
    </w:tbl>
    <w:p w14:paraId="756451E7">
      <w:pPr>
        <w:pStyle w:val="Bodytext1"/>
        <w:shd w:val="clear" w:color="auto" w:fill="auto"/>
        <w:tabs>
          <w:tab w:val="left" w:pos="0"/>
        </w:tabs>
        <w:spacing w:before="0" w:after="0" w:line="240" w:lineRule="auto"/>
        <w:ind w:left="284" w:right="55" w:firstLine="0"/>
        <w:jc w:val="both"/>
        <w:rPr>
          <w:rFonts w:ascii="Arial Narrow" w:hAnsi="Arial Narrow"/>
          <w:b/>
          <w:bCs/>
          <w:color w:val="ED0000"/>
          <w:sz w:val="20"/>
          <w:szCs w:val="20"/>
        </w:rPr>
      </w:pPr>
    </w:p>
    <w:p w14:paraId="756451E8">
      <w:pPr>
        <w:pStyle w:val="Sraopastraipa"/>
        <w:numPr>
          <w:ilvl w:val="2"/>
          <w:numId w:val="15"/>
        </w:numPr>
        <w:tabs>
          <w:tab w:val="left" w:pos="567"/>
        </w:tabs>
        <w:spacing/>
        <w:ind w:left="0" w:firstLine="0"/>
        <w:rPr>
          <w:rFonts w:cs="Times New Roman"/>
          <w:b/>
          <w:bCs/>
          <w:szCs w:val="20"/>
        </w:rPr>
      </w:pPr>
      <w:r>
        <w:rPr>
          <w:rFonts w:cs="Times New Roman"/>
          <w:b/>
          <w:bCs/>
          <w:szCs w:val="20"/>
        </w:rPr>
        <w:t xml:space="preserve">Viadukas 76,893 km </w:t>
      </w: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7081"/>
      </w:tblGrid>
      <w:tr>
        <w:trPr/>
        <w:tc>
          <w:tcPr>
            <w:tcW w:type="dxa" w:w="2409"/>
            <w:tcBorders/>
            <w:shd w:fill="005063" w:color="auto" w:val="clear"/>
          </w:tcPr>
          <w:p>
            <w:pPr>
              <w:tabs>
                <w:tab w:val="left" w:pos="567"/>
              </w:tabs>
              <w:spacing/>
              <w:ind w:right="55"/>
              <w:rPr/>
            </w:pPr>
            <w:r>
              <w:rPr>
                <w:rFonts w:ascii="Arial Narrow" w:hAnsi="Arial Narrow" w:eastAsia="Arial Narrow" w:cs="Arial Narrow"/>
                <w:b/>
                <w:bCs/>
                <w:color w:val="FFFFFF"/>
                <w:sz w:val="20"/>
              </w:rPr>
              <w:t xml:space="preserve">Elementas</w:t>
            </w:r>
          </w:p>
        </w:tc>
        <w:tc>
          <w:tcPr>
            <w:tcW w:type="dxa" w:w="7081"/>
            <w:tcBorders/>
            <w:shd w:fill="005063" w:color="auto" w:val="clear"/>
          </w:tcPr>
          <w:p>
            <w:pPr>
              <w:tabs>
                <w:tab w:val="left" w:pos="567"/>
              </w:tabs>
              <w:spacing/>
              <w:ind w:right="55"/>
              <w:rPr/>
            </w:pPr>
            <w:r>
              <w:rPr>
                <w:rFonts w:ascii="Arial Narrow" w:hAnsi="Arial Narrow" w:eastAsia="Arial Narrow" w:cs="Arial Narrow"/>
                <w:b/>
                <w:bCs/>
                <w:color w:val="FFFFFF"/>
                <w:sz w:val="20"/>
              </w:rPr>
              <w:t xml:space="preserve">Darbų aprašymas</w:t>
            </w:r>
          </w:p>
        </w:tc>
      </w:tr>
      <w:tr>
        <w:trPr/>
        <w:tc>
          <w:tcPr>
            <w:tcW w:type="dxa" w:w="2409"/>
            <w:tcBorders/>
          </w:tcPr>
          <w:p>
            <w:pPr>
              <w:spacing w:after="160" w:line="259" w:lineRule="auto"/>
              <w:rPr>
                <w:rFonts w:ascii="Arial Narrow" w:hAnsi="Arial Narrow" w:eastAsiaTheme="minorHAnsi"/>
                <w:sz w:val="20"/>
              </w:rPr>
            </w:pPr>
            <w:r>
              <w:rPr>
                <w:rFonts w:ascii="Arial Narrow" w:hAnsi="Arial Narrow" w:eastAsiaTheme="minorHAnsi"/>
                <w:sz w:val="20"/>
              </w:rPr>
              <w:t xml:space="preserve">Važiuojamosios dalies danga</w:t>
            </w:r>
          </w:p>
        </w:tc>
        <w:tc>
          <w:tcPr>
            <w:tcW w:type="dxa" w:w="7081"/>
            <w:tcBorders/>
          </w:tcPr>
          <w:p>
            <w:pPr>
              <w:pStyle w:val="Sraopastraipa"/>
              <w:numPr>
                <w:ilvl w:val="0"/>
                <w:numId w:val="24"/>
              </w:numPr>
              <w:spacing w:line="259" w:lineRule="auto"/>
              <w:ind w:left="714" w:hanging="357"/>
              <w:rPr>
                <w:rFonts w:cs="Times New Roman"/>
                <w:szCs w:val="20"/>
              </w:rPr>
            </w:pPr>
            <w:r>
              <w:rPr>
                <w:rFonts w:cs="Times New Roman"/>
                <w:szCs w:val="20"/>
              </w:rPr>
              <w:t xml:space="preserve">važiuojamosios dalies asfalto dangos pakeitimas vadovaujantis ĮT DBH 12 (viršutinio, apatinio ir apsauginio sluoksnių pakeitimas); </w:t>
            </w:r>
          </w:p>
          <w:p>
            <w:pPr>
              <w:pStyle w:val="Bodytext1"/>
              <w:numPr>
                <w:ilvl w:val="0"/>
                <w:numId w:val="24"/>
              </w:numPr>
              <w:shd w:val="clear" w:color="auto" w:fill="auto"/>
              <w:tabs>
                <w:tab w:val="left" w:pos="851"/>
              </w:tabs>
              <w:spacing w:before="0" w:after="0" w:line="240" w:lineRule="auto"/>
              <w:ind w:right="55"/>
              <w:jc w:val="both"/>
              <w:rPr>
                <w:rFonts w:ascii="Arial Narrow" w:hAnsi="Arial Narrow"/>
                <w:sz w:val="20"/>
                <w:szCs w:val="20"/>
              </w:rPr>
            </w:pPr>
            <w:r>
              <w:rPr>
                <w:rFonts w:ascii="Arial Narrow" w:hAnsi="Arial Narrow"/>
                <w:sz w:val="20"/>
                <w:szCs w:val="20"/>
              </w:rPr>
              <w:t xml:space="preserve">hidroizoliacijos sluoksnio pakeitimas vadovaujantis ĮT DBH 12;</w:t>
            </w:r>
          </w:p>
          <w:p>
            <w:pPr>
              <w:pStyle w:val="Bodytext1"/>
              <w:numPr>
                <w:ilvl w:val="0"/>
                <w:numId w:val="24"/>
              </w:numPr>
              <w:shd w:val="clear" w:color="auto" w:fill="auto"/>
              <w:tabs>
                <w:tab w:val="left" w:pos="851"/>
              </w:tabs>
              <w:spacing w:before="0" w:after="0" w:line="240" w:lineRule="auto"/>
              <w:ind w:right="55"/>
              <w:jc w:val="both"/>
              <w:rPr>
                <w:rFonts w:ascii="Arial Narrow" w:hAnsi="Arial Narrow"/>
                <w:sz w:val="20"/>
                <w:szCs w:val="20"/>
              </w:rPr>
            </w:pPr>
            <w:r>
              <w:rPr>
                <w:rFonts w:ascii="Arial Narrow" w:hAnsi="Arial Narrow"/>
                <w:sz w:val="20"/>
                <w:szCs w:val="20"/>
              </w:rPr>
              <w:t xml:space="preserve">išlyginamojo betono sluoksnio pakeitimas.</w:t>
            </w:r>
          </w:p>
          <w:p>
            <w:pPr>
              <w:pStyle w:val="Sraopastraipa"/>
              <w:spacing w:line="259" w:lineRule="auto"/>
              <w:rPr>
                <w:rFonts w:cs="Times New Roman"/>
                <w:szCs w:val="20"/>
              </w:rPr>
            </w:pP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Turėkliniai</w:t>
            </w:r>
            <w:r>
              <w:rPr>
                <w:rFonts w:ascii="Arial Narrow" w:hAnsi="Arial Narrow"/>
                <w:sz w:val="20"/>
                <w:szCs w:val="20"/>
              </w:rPr>
              <w:t xml:space="preserve"> bortai ir turėklai:</w:t>
            </w:r>
          </w:p>
          <w:p>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type="dxa" w:w="7081"/>
            <w:tcBorders/>
          </w:tcPr>
          <w:p>
            <w:pPr>
              <w:pStyle w:val="Sraopastraipa"/>
              <w:numPr>
                <w:ilvl w:val="0"/>
                <w:numId w:val="24"/>
              </w:numPr>
              <w:spacing w:line="259" w:lineRule="auto"/>
              <w:rPr/>
            </w:pPr>
            <w:r>
              <w:rPr/>
              <w:t xml:space="preserve">Įrengti naujus </w:t>
            </w:r>
            <w:r>
              <w:rPr/>
              <w:t xml:space="preserve">turėklinius</w:t>
            </w:r>
            <w:r>
              <w:rPr/>
              <w:t xml:space="preserve"> blokus;</w:t>
            </w:r>
          </w:p>
          <w:p>
            <w:pPr>
              <w:pStyle w:val="Sraopastraipa"/>
              <w:numPr>
                <w:ilvl w:val="0"/>
                <w:numId w:val="24"/>
              </w:numPr>
              <w:spacing w:line="259" w:lineRule="auto"/>
              <w:rPr/>
            </w:pPr>
            <w:r>
              <w:rPr/>
              <w:t xml:space="preserve">Padengti apsauginėmis dangomis;</w:t>
            </w:r>
          </w:p>
          <w:p>
            <w:pPr>
              <w:pStyle w:val="Sraopastraipa"/>
              <w:numPr>
                <w:ilvl w:val="0"/>
                <w:numId w:val="24"/>
              </w:numPr>
              <w:spacing w:line="259" w:lineRule="auto"/>
              <w:rPr/>
            </w:pPr>
            <w:r>
              <w:rPr/>
              <w:t xml:space="preserve">Įrengti naujus turėklus (dešinė pusė);</w:t>
            </w:r>
          </w:p>
          <w:p>
            <w:pPr>
              <w:pStyle w:val="Sraopastraipa"/>
              <w:numPr>
                <w:ilvl w:val="0"/>
                <w:numId w:val="24"/>
              </w:numPr>
              <w:spacing w:line="259" w:lineRule="auto"/>
              <w:rPr/>
            </w:pPr>
            <w:r>
              <w:rPr>
                <w:b/>
                <w:bCs/>
              </w:rPr>
              <w:t xml:space="preserve">Pastaba</w:t>
            </w:r>
            <w:r>
              <w:rPr/>
              <w:t xml:space="preserve">. Turėklai ir jų tvirtinimo elementai cinkuojami (pagal standartų reikalavimus). Turėklams architektūriniai reikalavimai nekeliami.</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Šalitilčiai</w:t>
            </w:r>
          </w:p>
        </w:tc>
        <w:tc>
          <w:tcPr>
            <w:tcW w:type="dxa" w:w="7081"/>
            <w:tcBorders/>
          </w:tcPr>
          <w:p>
            <w:pPr>
              <w:pStyle w:val="Sraopastraipa"/>
              <w:numPr>
                <w:ilvl w:val="0"/>
                <w:numId w:val="24"/>
              </w:numPr>
              <w:spacing/>
              <w:jc w:val="both"/>
              <w:rPr>
                <w:rFonts w:cs="Times New Roman"/>
                <w:szCs w:val="20"/>
              </w:rPr>
            </w:pPr>
            <w:r>
              <w:rPr>
                <w:rFonts w:cs="Times New Roman"/>
                <w:szCs w:val="20"/>
              </w:rPr>
              <w:t xml:space="preserve">Įrengti naujas </w:t>
            </w:r>
            <w:r>
              <w:rPr>
                <w:rFonts w:cs="Times New Roman"/>
                <w:szCs w:val="20"/>
              </w:rPr>
              <w:t xml:space="preserve">šalitilčių</w:t>
            </w:r>
            <w:r>
              <w:rPr>
                <w:rFonts w:cs="Times New Roman"/>
                <w:szCs w:val="20"/>
              </w:rPr>
              <w:t xml:space="preserve"> plokštes;</w:t>
            </w:r>
          </w:p>
          <w:p>
            <w:pPr>
              <w:pStyle w:val="Sraopastraipa"/>
              <w:numPr>
                <w:ilvl w:val="0"/>
                <w:numId w:val="24"/>
              </w:numPr>
              <w:spacing/>
              <w:jc w:val="both"/>
              <w:rPr>
                <w:rFonts w:cs="Times New Roman"/>
                <w:szCs w:val="20"/>
              </w:rPr>
            </w:pPr>
            <w:r>
              <w:rPr>
                <w:rFonts w:cs="Times New Roman"/>
                <w:szCs w:val="20"/>
              </w:rPr>
              <w:t xml:space="preserve">Padengti </w:t>
            </w:r>
            <w:r>
              <w:rPr>
                <w:rFonts w:cs="Times New Roman"/>
                <w:szCs w:val="20"/>
              </w:rPr>
              <w:t xml:space="preserve">šalitilčius</w:t>
            </w:r>
            <w:r>
              <w:rPr>
                <w:rFonts w:cs="Times New Roman"/>
                <w:szCs w:val="20"/>
              </w:rPr>
              <w:t xml:space="preserve"> ir </w:t>
            </w:r>
            <w:r>
              <w:rPr>
                <w:rFonts w:cs="Times New Roman"/>
                <w:szCs w:val="20"/>
              </w:rPr>
              <w:t xml:space="preserve">turėklinių</w:t>
            </w:r>
            <w:r>
              <w:rPr>
                <w:rFonts w:cs="Times New Roman"/>
                <w:szCs w:val="20"/>
              </w:rPr>
              <w:t xml:space="preserve"> bortų viršų nauja apsaugine neslidžia danga;</w:t>
            </w:r>
          </w:p>
          <w:p>
            <w:pPr>
              <w:pStyle w:val="Sraopastraipa"/>
              <w:numPr>
                <w:ilvl w:val="0"/>
                <w:numId w:val="24"/>
              </w:numPr>
              <w:spacing w:after="160" w:line="259" w:lineRule="auto"/>
              <w:rPr>
                <w:rFonts w:cs="Times New Roman"/>
                <w:szCs w:val="20"/>
              </w:rPr>
            </w:pPr>
            <w:r>
              <w:rPr>
                <w:rFonts w:cs="Times New Roman"/>
                <w:szCs w:val="20"/>
              </w:rPr>
              <w:t xml:space="preserve">Įrengti sklandžias kelkraščių ir </w:t>
            </w:r>
            <w:r>
              <w:rPr>
                <w:rFonts w:cs="Times New Roman"/>
                <w:szCs w:val="20"/>
              </w:rPr>
              <w:t xml:space="preserve">šalitilčių</w:t>
            </w:r>
            <w:r>
              <w:rPr>
                <w:rFonts w:cs="Times New Roman"/>
                <w:szCs w:val="20"/>
              </w:rPr>
              <w:t xml:space="preserve"> sandūras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Atitvarai</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 naujus atitvarus (pagal KPT TAS 09 reikalavimus) ant tilto ir prietilčiuose;</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Deformaciniai pjūviai</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 naujus deformacinis pjūvius (2vnt.).</w:t>
            </w:r>
          </w:p>
          <w:p>
            <w:pPr>
              <w:pStyle w:val="Sraopastraipa"/>
              <w:spacing/>
              <w:rPr>
                <w:rFonts w:cs="Times New Roman"/>
                <w:szCs w:val="20"/>
              </w:rPr>
            </w:pPr>
            <w:r>
              <w:rPr>
                <w:rFonts w:cs="Times New Roman"/>
                <w:szCs w:val="20"/>
              </w:rPr>
              <w:t xml:space="preserve">Pastaba. Parinkti deformacinių pjūvių sprendiniai turi patikimai perimti statinio konstrukcijų deformacijas.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Perdanga</w:t>
            </w:r>
          </w:p>
        </w:tc>
        <w:tc>
          <w:tcPr>
            <w:tcW w:type="dxa" w:w="7081"/>
            <w:tcBorders/>
          </w:tcPr>
          <w:p>
            <w:pPr>
              <w:pStyle w:val="Sraopastraipa"/>
              <w:numPr>
                <w:ilvl w:val="0"/>
                <w:numId w:val="24"/>
              </w:numPr>
              <w:spacing/>
              <w:jc w:val="both"/>
              <w:rPr>
                <w:rFonts w:cs="Arial"/>
                <w:szCs w:val="20"/>
              </w:rPr>
            </w:pPr>
            <w:r>
              <w:rPr>
                <w:rFonts w:cs="Arial"/>
                <w:szCs w:val="20"/>
              </w:rPr>
              <w:t xml:space="preserve">Suremontuoti perdangos plokštes: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pašalinti pažeistą, sutrūkusi, atšokusį betoną;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nuo armatūros strypų pašalinti rūdis;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armatūros strypus padengti antikorozinėmis dangomis;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remontiniais mišiniais atstatyti betono apsauginį sluoksnį;</w:t>
            </w:r>
          </w:p>
          <w:p>
            <w:pPr>
              <w:pStyle w:val="prastasiniatinklio"/>
              <w:numPr>
                <w:ilvl w:val="1"/>
                <w:numId w:val="24"/>
              </w:numPr>
              <w:shd w:val="clear" w:color="auto" w:fill="FFFFFF"/>
              <w:spacing w:before="0" w:beforeAutospacing="0" w:after="120" w:afterAutospacing="0"/>
              <w:jc w:val="both"/>
              <w:rPr>
                <w:rFonts w:ascii="Arial Narrow" w:hAnsi="Arial Narrow" w:cs="Arial"/>
                <w:sz w:val="20"/>
                <w:szCs w:val="20"/>
              </w:rPr>
            </w:pPr>
            <w:r>
              <w:rPr>
                <w:rFonts w:ascii="Arial Narrow" w:hAnsi="Arial Narrow" w:cs="Arial"/>
                <w:sz w:val="20"/>
                <w:szCs w:val="20"/>
              </w:rPr>
              <w:t xml:space="preserve">paviršius padengti apsauginėmis dangomis.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Atramos</w:t>
            </w:r>
          </w:p>
        </w:tc>
        <w:tc>
          <w:tcPr>
            <w:tcW w:type="dxa" w:w="7081"/>
            <w:tcBorders/>
          </w:tcPr>
          <w:p>
            <w:pPr>
              <w:pStyle w:val="Sraopastraipa"/>
              <w:numPr>
                <w:ilvl w:val="0"/>
                <w:numId w:val="24"/>
              </w:numPr>
              <w:spacing/>
              <w:jc w:val="both"/>
              <w:rPr>
                <w:rFonts w:cs="Arial"/>
                <w:szCs w:val="20"/>
              </w:rPr>
            </w:pPr>
            <w:r>
              <w:rPr>
                <w:rFonts w:cs="Arial"/>
                <w:szCs w:val="20"/>
              </w:rPr>
              <w:t xml:space="preserve">Suremontuoti </w:t>
            </w:r>
            <w:r>
              <w:rPr>
                <w:rFonts w:cs="Arial"/>
                <w:szCs w:val="20"/>
              </w:rPr>
              <w:t xml:space="preserve">ramtus</w:t>
            </w:r>
            <w:r>
              <w:rPr>
                <w:rFonts w:cs="Arial"/>
                <w:szCs w:val="20"/>
              </w:rPr>
              <w:t xml:space="preserve">:</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pašalinti patakuotą, sutrūkusi, atšokusį apsauginį betoną;</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nuo armatūros strypų pašalinti rūdis;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armatūros strypus padengti antikorozinėmis dangomis;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remontiniais mišiniais atstatyti betono apsauginį sluoksnį;</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paviršius padengti apsauginėmis dangomis.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Prietilčiai ir patiltė</w:t>
            </w:r>
          </w:p>
        </w:tc>
        <w:tc>
          <w:tcPr>
            <w:tcW w:type="dxa" w:w="7081"/>
            <w:tcBorders/>
          </w:tcPr>
          <w:p>
            <w:pPr>
              <w:pStyle w:val="Sraopastraipa"/>
              <w:numPr>
                <w:ilvl w:val="0"/>
                <w:numId w:val="24"/>
              </w:numPr>
              <w:spacing/>
              <w:rPr/>
            </w:pPr>
            <w:r>
              <w:rPr/>
              <w:t xml:space="preserve">Įrengti naujas pereinamąsias plokštes;</w:t>
            </w:r>
          </w:p>
          <w:p>
            <w:pPr>
              <w:pStyle w:val="Sraopastraipa"/>
              <w:numPr>
                <w:ilvl w:val="0"/>
                <w:numId w:val="24"/>
              </w:numPr>
              <w:spacing/>
              <w:jc w:val="both"/>
              <w:rPr/>
            </w:pPr>
            <w:r>
              <w:rPr/>
              <w:t xml:space="preserve">įrengti ženklus žyminčius viaduko perdangos apatinį kraštą</w:t>
            </w:r>
          </w:p>
          <w:p>
            <w:pPr>
              <w:pStyle w:val="Sraopastraipa"/>
              <w:numPr>
                <w:ilvl w:val="0"/>
                <w:numId w:val="24"/>
              </w:numPr>
              <w:spacing/>
              <w:rPr/>
            </w:pPr>
            <w:r>
              <w:rPr/>
              <w:t xml:space="preserve">Suremontuoti važiuojamosios dalies dangą patiltėje;</w:t>
            </w:r>
          </w:p>
          <w:p>
            <w:pPr>
              <w:pStyle w:val="Sraopastraipa"/>
              <w:numPr>
                <w:ilvl w:val="0"/>
                <w:numId w:val="24"/>
              </w:numPr>
              <w:spacing/>
              <w:rPr/>
            </w:pPr>
            <w:r>
              <w:rPr/>
              <w:t xml:space="preserve">Įrengti naują vandens surinkimo ir nuleidimo sistemą prietilčiuose.</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Kitų konstrukcijų remontas ir įrengimas</w:t>
            </w:r>
          </w:p>
        </w:tc>
        <w:tc>
          <w:tcPr>
            <w:tcW w:type="dxa" w:w="7081"/>
            <w:tcBorders/>
          </w:tcPr>
          <w:p>
            <w:pPr>
              <w:pStyle w:val="Sraopastraipa"/>
              <w:numPr>
                <w:ilvl w:val="0"/>
                <w:numId w:val="24"/>
              </w:numPr>
              <w:spacing w:after="160" w:line="256" w:lineRule="auto"/>
              <w:rPr>
                <w:rFonts w:cs="Arial"/>
                <w:szCs w:val="20"/>
              </w:rPr>
            </w:pPr>
            <w:r>
              <w:rPr>
                <w:rFonts w:cs="Arial"/>
                <w:szCs w:val="20"/>
              </w:rPr>
              <w:t xml:space="preserve">Įrengti/atstatyti reikiamus kelio ženklus;</w:t>
            </w:r>
          </w:p>
          <w:p>
            <w:pPr>
              <w:pStyle w:val="Sraopastraipa"/>
              <w:numPr>
                <w:ilvl w:val="0"/>
                <w:numId w:val="24"/>
              </w:numPr>
              <w:spacing w:after="160" w:line="276" w:lineRule="auto"/>
              <w:rPr>
                <w:rFonts w:cs="Arial"/>
                <w:szCs w:val="20"/>
              </w:rPr>
            </w:pPr>
            <w:r>
              <w:rPr>
                <w:rFonts w:cs="Arial"/>
                <w:szCs w:val="20"/>
              </w:rPr>
              <w:t xml:space="preserve">įrengti 316 kelio ženklus (aukščio ribojimas)</w:t>
            </w:r>
          </w:p>
          <w:p>
            <w:pPr>
              <w:pStyle w:val="Sraopastraipa"/>
              <w:numPr>
                <w:ilvl w:val="0"/>
                <w:numId w:val="24"/>
              </w:numPr>
              <w:spacing w:after="160" w:line="256" w:lineRule="auto"/>
              <w:rPr>
                <w:rFonts w:cs="Arial"/>
                <w:szCs w:val="20"/>
              </w:rPr>
            </w:pPr>
            <w:r>
              <w:rPr>
                <w:rFonts w:cs="Arial"/>
                <w:szCs w:val="20"/>
              </w:rPr>
              <w:t xml:space="preserve">Įrengti </w:t>
            </w:r>
            <w:r>
              <w:rPr>
                <w:rFonts w:cs="Arial"/>
                <w:szCs w:val="20"/>
              </w:rPr>
              <w:t xml:space="preserve">gabaritinius</w:t>
            </w:r>
            <w:r>
              <w:rPr>
                <w:rFonts w:cs="Arial"/>
                <w:szCs w:val="20"/>
              </w:rPr>
              <w:t xml:space="preserve"> vartus (2vnt.).</w:t>
            </w:r>
          </w:p>
        </w:tc>
      </w:tr>
    </w:tbl>
    <w:p w14:paraId="75645220">
      <w:pPr>
        <w:pStyle w:val="Sraopastraipa"/>
        <w:tabs>
          <w:tab w:val="left" w:pos="567"/>
        </w:tabs>
        <w:spacing/>
        <w:ind w:left="0"/>
        <w:rPr>
          <w:rFonts w:cs="Times New Roman"/>
          <w:b/>
          <w:bCs/>
          <w:szCs w:val="20"/>
        </w:rPr>
      </w:pPr>
    </w:p>
    <w:p w14:paraId="75645221">
      <w:pPr>
        <w:pStyle w:val="Sraopastraipa"/>
        <w:numPr>
          <w:ilvl w:val="2"/>
          <w:numId w:val="15"/>
        </w:numPr>
        <w:tabs>
          <w:tab w:val="left" w:pos="567"/>
        </w:tabs>
        <w:spacing/>
        <w:ind w:left="0" w:firstLine="0"/>
        <w:rPr>
          <w:rFonts w:cs="Times New Roman"/>
          <w:b/>
          <w:bCs/>
          <w:szCs w:val="20"/>
        </w:rPr>
      </w:pPr>
      <w:r>
        <w:rPr>
          <w:rFonts w:cs="Times New Roman"/>
          <w:b/>
          <w:bCs/>
          <w:szCs w:val="20"/>
        </w:rPr>
        <w:t xml:space="preserve">Viadukas 78,776 km </w:t>
      </w: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9"/>
        <w:gridCol w:w="7081"/>
      </w:tblGrid>
      <w:tr>
        <w:trPr/>
        <w:tc>
          <w:tcPr>
            <w:tcW w:type="dxa" w:w="2409"/>
            <w:tcBorders/>
            <w:shd w:fill="005063" w:color="auto" w:val="clear"/>
          </w:tcPr>
          <w:p>
            <w:pPr>
              <w:tabs>
                <w:tab w:val="left" w:pos="567"/>
              </w:tabs>
              <w:spacing/>
              <w:ind w:right="55"/>
              <w:rPr/>
            </w:pPr>
            <w:r>
              <w:rPr>
                <w:rFonts w:ascii="Arial Narrow" w:hAnsi="Arial Narrow" w:eastAsia="Arial Narrow" w:cs="Arial Narrow"/>
                <w:b/>
                <w:bCs/>
                <w:color w:val="FFFFFF"/>
                <w:sz w:val="20"/>
              </w:rPr>
              <w:t xml:space="preserve">Elementas</w:t>
            </w:r>
          </w:p>
        </w:tc>
        <w:tc>
          <w:tcPr>
            <w:tcW w:type="dxa" w:w="7081"/>
            <w:tcBorders/>
            <w:shd w:fill="005063" w:color="auto" w:val="clear"/>
          </w:tcPr>
          <w:p>
            <w:pPr>
              <w:tabs>
                <w:tab w:val="left" w:pos="567"/>
              </w:tabs>
              <w:spacing/>
              <w:ind w:right="55"/>
              <w:rPr/>
            </w:pPr>
            <w:r>
              <w:rPr>
                <w:rFonts w:ascii="Arial Narrow" w:hAnsi="Arial Narrow" w:eastAsia="Arial Narrow" w:cs="Arial Narrow"/>
                <w:b/>
                <w:bCs/>
                <w:color w:val="FFFFFF"/>
                <w:sz w:val="20"/>
              </w:rPr>
              <w:t xml:space="preserve">Darbų aprašymas</w:t>
            </w:r>
          </w:p>
        </w:tc>
      </w:tr>
      <w:tr>
        <w:trPr/>
        <w:tc>
          <w:tcPr>
            <w:tcW w:type="dxa" w:w="2409"/>
            <w:tcBorders/>
          </w:tcPr>
          <w:p>
            <w:pPr>
              <w:spacing w:after="160" w:line="259" w:lineRule="auto"/>
              <w:rPr>
                <w:rFonts w:ascii="Arial Narrow" w:hAnsi="Arial Narrow" w:eastAsiaTheme="minorHAnsi"/>
                <w:sz w:val="20"/>
              </w:rPr>
            </w:pPr>
            <w:r>
              <w:rPr>
                <w:rFonts w:ascii="Arial Narrow" w:hAnsi="Arial Narrow" w:eastAsiaTheme="minorHAnsi"/>
                <w:sz w:val="20"/>
              </w:rPr>
              <w:t xml:space="preserve">Važiuojamosios dalies danga</w:t>
            </w:r>
          </w:p>
        </w:tc>
        <w:tc>
          <w:tcPr>
            <w:tcW w:type="dxa" w:w="7081"/>
            <w:tcBorders/>
          </w:tcPr>
          <w:p>
            <w:pPr>
              <w:pStyle w:val="Sraopastraipa"/>
              <w:numPr>
                <w:ilvl w:val="0"/>
                <w:numId w:val="24"/>
              </w:numPr>
              <w:spacing w:line="259" w:lineRule="auto"/>
              <w:ind w:left="714" w:hanging="357"/>
              <w:rPr>
                <w:rFonts w:cs="Times New Roman"/>
                <w:szCs w:val="20"/>
              </w:rPr>
            </w:pPr>
            <w:r>
              <w:rPr>
                <w:rFonts w:cs="Times New Roman"/>
                <w:szCs w:val="20"/>
              </w:rPr>
              <w:t xml:space="preserve">važiuojamosios dalies asfalto dangos pakeitimas vadovaujantis ĮT DBH 12 (viršutinio, apatinio ir apsauginio sluoksnių pakeitimas); </w:t>
            </w:r>
          </w:p>
          <w:p>
            <w:pPr>
              <w:pStyle w:val="Bodytext1"/>
              <w:numPr>
                <w:ilvl w:val="0"/>
                <w:numId w:val="24"/>
              </w:numPr>
              <w:shd w:val="clear" w:color="auto" w:fill="auto"/>
              <w:tabs>
                <w:tab w:val="left" w:pos="851"/>
              </w:tabs>
              <w:spacing w:before="0" w:after="0" w:line="240" w:lineRule="auto"/>
              <w:ind w:right="55"/>
              <w:jc w:val="both"/>
              <w:rPr>
                <w:rFonts w:ascii="Arial Narrow" w:hAnsi="Arial Narrow"/>
                <w:sz w:val="20"/>
                <w:szCs w:val="20"/>
              </w:rPr>
            </w:pPr>
            <w:r>
              <w:rPr>
                <w:rFonts w:ascii="Arial Narrow" w:hAnsi="Arial Narrow"/>
                <w:sz w:val="20"/>
                <w:szCs w:val="20"/>
              </w:rPr>
              <w:t xml:space="preserve">hidroizoliacijos sluoksnio pakeitimas vadovaujantis ĮT DBH 12;</w:t>
            </w:r>
          </w:p>
          <w:p>
            <w:pPr>
              <w:pStyle w:val="Bodytext1"/>
              <w:numPr>
                <w:ilvl w:val="0"/>
                <w:numId w:val="24"/>
              </w:numPr>
              <w:shd w:val="clear" w:color="auto" w:fill="auto"/>
              <w:tabs>
                <w:tab w:val="left" w:pos="851"/>
              </w:tabs>
              <w:spacing w:before="0" w:after="0" w:line="240" w:lineRule="auto"/>
              <w:ind w:right="55"/>
              <w:jc w:val="both"/>
              <w:rPr>
                <w:rFonts w:ascii="Arial Narrow" w:hAnsi="Arial Narrow"/>
                <w:sz w:val="20"/>
                <w:szCs w:val="20"/>
              </w:rPr>
            </w:pPr>
            <w:r>
              <w:rPr>
                <w:rFonts w:ascii="Arial Narrow" w:hAnsi="Arial Narrow"/>
                <w:sz w:val="20"/>
                <w:szCs w:val="20"/>
              </w:rPr>
              <w:t xml:space="preserve">išlyginamojo betono sluoksnio pakeitimas.</w:t>
            </w:r>
          </w:p>
          <w:p>
            <w:pPr>
              <w:pStyle w:val="Sraopastraipa"/>
              <w:spacing w:line="259" w:lineRule="auto"/>
              <w:rPr>
                <w:rFonts w:cs="Times New Roman"/>
                <w:szCs w:val="20"/>
              </w:rPr>
            </w:pP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Turėkliniai</w:t>
            </w:r>
            <w:r>
              <w:rPr>
                <w:rFonts w:ascii="Arial Narrow" w:hAnsi="Arial Narrow"/>
                <w:sz w:val="20"/>
                <w:szCs w:val="20"/>
              </w:rPr>
              <w:t xml:space="preserve"> bortai ir turėklai:</w:t>
            </w:r>
          </w:p>
          <w:p>
            <w:pPr>
              <w:pStyle w:val="Bodytext1"/>
              <w:shd w:val="clear" w:color="auto" w:fill="auto"/>
              <w:tabs>
                <w:tab w:val="left" w:pos="567"/>
              </w:tabs>
              <w:spacing w:before="0" w:after="0" w:line="240" w:lineRule="auto"/>
              <w:ind w:right="55" w:firstLine="0"/>
              <w:rPr>
                <w:rFonts w:ascii="Arial Narrow" w:hAnsi="Arial Narrow"/>
                <w:sz w:val="20"/>
                <w:szCs w:val="20"/>
              </w:rPr>
            </w:pPr>
          </w:p>
        </w:tc>
        <w:tc>
          <w:tcPr>
            <w:tcW w:type="dxa" w:w="7081"/>
            <w:tcBorders/>
          </w:tcPr>
          <w:p>
            <w:pPr>
              <w:pStyle w:val="Sraopastraipa"/>
              <w:numPr>
                <w:ilvl w:val="0"/>
                <w:numId w:val="24"/>
              </w:numPr>
              <w:spacing w:line="259" w:lineRule="auto"/>
              <w:rPr/>
            </w:pPr>
            <w:r>
              <w:rPr/>
              <w:t xml:space="preserve">Įrengti naujus </w:t>
            </w:r>
            <w:r>
              <w:rPr/>
              <w:t xml:space="preserve">turėklinius</w:t>
            </w:r>
            <w:r>
              <w:rPr/>
              <w:t xml:space="preserve"> blokus;</w:t>
            </w:r>
          </w:p>
          <w:p>
            <w:pPr>
              <w:pStyle w:val="Sraopastraipa"/>
              <w:numPr>
                <w:ilvl w:val="0"/>
                <w:numId w:val="24"/>
              </w:numPr>
              <w:spacing w:line="259" w:lineRule="auto"/>
              <w:rPr/>
            </w:pPr>
            <w:r>
              <w:rPr/>
              <w:t xml:space="preserve">Padengti apsauginėmis dangomis;</w:t>
            </w:r>
          </w:p>
          <w:p>
            <w:pPr>
              <w:pStyle w:val="Sraopastraipa"/>
              <w:numPr>
                <w:ilvl w:val="0"/>
                <w:numId w:val="24"/>
              </w:numPr>
              <w:spacing w:line="259" w:lineRule="auto"/>
              <w:rPr/>
            </w:pPr>
            <w:r>
              <w:rPr/>
              <w:t xml:space="preserve">Įrengti naujus turėklus (dešinė pusė);</w:t>
            </w:r>
          </w:p>
          <w:p>
            <w:pPr>
              <w:pStyle w:val="Sraopastraipa"/>
              <w:numPr>
                <w:ilvl w:val="0"/>
                <w:numId w:val="24"/>
              </w:numPr>
              <w:spacing w:line="259" w:lineRule="auto"/>
              <w:rPr/>
            </w:pPr>
            <w:r>
              <w:rPr>
                <w:b/>
                <w:bCs/>
              </w:rPr>
              <w:t xml:space="preserve">Pastaba</w:t>
            </w:r>
            <w:r>
              <w:rPr/>
              <w:t xml:space="preserve">. Turėklai ir jų tvirtinimo elementai cinkuojami (pagal standartų reikalavimus). Turėklams architektūriniai reikalavimai nekeliami.</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Šalitilčiai</w:t>
            </w:r>
          </w:p>
        </w:tc>
        <w:tc>
          <w:tcPr>
            <w:tcW w:type="dxa" w:w="7081"/>
            <w:tcBorders/>
          </w:tcPr>
          <w:p>
            <w:pPr>
              <w:pStyle w:val="Sraopastraipa"/>
              <w:numPr>
                <w:ilvl w:val="0"/>
                <w:numId w:val="24"/>
              </w:numPr>
              <w:spacing/>
              <w:jc w:val="both"/>
              <w:rPr>
                <w:rFonts w:cs="Times New Roman"/>
                <w:szCs w:val="20"/>
              </w:rPr>
            </w:pPr>
            <w:r>
              <w:rPr>
                <w:rFonts w:cs="Times New Roman"/>
                <w:szCs w:val="20"/>
              </w:rPr>
              <w:t xml:space="preserve">Įrengti naujas </w:t>
            </w:r>
            <w:r>
              <w:rPr>
                <w:rFonts w:cs="Times New Roman"/>
                <w:szCs w:val="20"/>
              </w:rPr>
              <w:t xml:space="preserve">šalitilčių</w:t>
            </w:r>
            <w:r>
              <w:rPr>
                <w:rFonts w:cs="Times New Roman"/>
                <w:szCs w:val="20"/>
              </w:rPr>
              <w:t xml:space="preserve"> plokštes;</w:t>
            </w:r>
          </w:p>
          <w:p>
            <w:pPr>
              <w:pStyle w:val="Sraopastraipa"/>
              <w:numPr>
                <w:ilvl w:val="0"/>
                <w:numId w:val="24"/>
              </w:numPr>
              <w:spacing/>
              <w:jc w:val="both"/>
              <w:rPr>
                <w:rFonts w:cs="Times New Roman"/>
                <w:szCs w:val="20"/>
              </w:rPr>
            </w:pPr>
            <w:r>
              <w:rPr>
                <w:rFonts w:cs="Times New Roman"/>
                <w:szCs w:val="20"/>
              </w:rPr>
              <w:t xml:space="preserve">Padengti </w:t>
            </w:r>
            <w:r>
              <w:rPr>
                <w:rFonts w:cs="Times New Roman"/>
                <w:szCs w:val="20"/>
              </w:rPr>
              <w:t xml:space="preserve">šalitilčius</w:t>
            </w:r>
            <w:r>
              <w:rPr>
                <w:rFonts w:cs="Times New Roman"/>
                <w:szCs w:val="20"/>
              </w:rPr>
              <w:t xml:space="preserve"> ir </w:t>
            </w:r>
            <w:r>
              <w:rPr>
                <w:rFonts w:cs="Times New Roman"/>
                <w:szCs w:val="20"/>
              </w:rPr>
              <w:t xml:space="preserve">turėklinių</w:t>
            </w:r>
            <w:r>
              <w:rPr>
                <w:rFonts w:cs="Times New Roman"/>
                <w:szCs w:val="20"/>
              </w:rPr>
              <w:t xml:space="preserve"> bortų viršų nauja apsaugine neslidžia danga;</w:t>
            </w:r>
          </w:p>
          <w:p>
            <w:pPr>
              <w:pStyle w:val="Sraopastraipa"/>
              <w:numPr>
                <w:ilvl w:val="0"/>
                <w:numId w:val="24"/>
              </w:numPr>
              <w:spacing w:after="160" w:line="259" w:lineRule="auto"/>
              <w:rPr>
                <w:rFonts w:cs="Times New Roman"/>
                <w:szCs w:val="20"/>
              </w:rPr>
            </w:pPr>
            <w:r>
              <w:rPr>
                <w:rFonts w:cs="Times New Roman"/>
                <w:szCs w:val="20"/>
              </w:rPr>
              <w:t xml:space="preserve">Įrengti sklandžias kelkraščių ir </w:t>
            </w:r>
            <w:r>
              <w:rPr>
                <w:rFonts w:cs="Times New Roman"/>
                <w:szCs w:val="20"/>
              </w:rPr>
              <w:t xml:space="preserve">šalitilčių</w:t>
            </w:r>
            <w:r>
              <w:rPr>
                <w:rFonts w:cs="Times New Roman"/>
                <w:szCs w:val="20"/>
              </w:rPr>
              <w:t xml:space="preserve"> sandūras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Atitvarai</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 naujus atitvarus (pagal KPT TAS 09 reikalavimus) ant tilto ir prietilčiuose;</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Deformaciniai pjūviai</w:t>
            </w:r>
          </w:p>
        </w:tc>
        <w:tc>
          <w:tcPr>
            <w:tcW w:type="dxa" w:w="7081"/>
            <w:tcBorders/>
          </w:tcPr>
          <w:p>
            <w:pPr>
              <w:pStyle w:val="Sraopastraipa"/>
              <w:numPr>
                <w:ilvl w:val="0"/>
                <w:numId w:val="24"/>
              </w:numPr>
              <w:spacing w:after="160" w:line="259" w:lineRule="auto"/>
              <w:rPr>
                <w:rFonts w:cs="Times New Roman"/>
                <w:szCs w:val="20"/>
              </w:rPr>
            </w:pPr>
            <w:r>
              <w:rPr>
                <w:rFonts w:cs="Times New Roman"/>
                <w:szCs w:val="20"/>
              </w:rPr>
              <w:t xml:space="preserve">įrengti naujus deformacinis pjūvius (2vnt.).</w:t>
            </w:r>
          </w:p>
          <w:p>
            <w:pPr>
              <w:pStyle w:val="Sraopastraipa"/>
              <w:spacing/>
              <w:rPr>
                <w:rFonts w:cs="Times New Roman"/>
                <w:szCs w:val="20"/>
              </w:rPr>
            </w:pPr>
            <w:r>
              <w:rPr>
                <w:rFonts w:cs="Times New Roman"/>
                <w:szCs w:val="20"/>
              </w:rPr>
              <w:t xml:space="preserve">Pastaba. Parinkti deformacinių pjūvių sprendiniai turi patikimai perimti statinio konstrukcijų deformacijas.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Perdanga</w:t>
            </w:r>
          </w:p>
        </w:tc>
        <w:tc>
          <w:tcPr>
            <w:tcW w:type="dxa" w:w="7081"/>
            <w:tcBorders/>
          </w:tcPr>
          <w:p>
            <w:pPr>
              <w:pStyle w:val="Sraopastraipa"/>
              <w:numPr>
                <w:ilvl w:val="0"/>
                <w:numId w:val="24"/>
              </w:numPr>
              <w:spacing/>
              <w:jc w:val="both"/>
              <w:rPr>
                <w:rFonts w:cs="Arial"/>
                <w:szCs w:val="20"/>
              </w:rPr>
            </w:pPr>
            <w:r>
              <w:rPr>
                <w:rFonts w:cs="Arial"/>
                <w:szCs w:val="20"/>
              </w:rPr>
              <w:t xml:space="preserve">Suremontuoti perdangos plokštes: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pašalinti pažeistą, sutrūkusi, atšokusį betoną;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nuo armatūros strypų pašalinti rūdis;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armatūros strypus padengti antikorozinėmis dangomis;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remontiniais mišiniais atstatyti betono apsauginį sluoksnį;</w:t>
            </w:r>
          </w:p>
          <w:p>
            <w:pPr>
              <w:pStyle w:val="prastasiniatinklio"/>
              <w:numPr>
                <w:ilvl w:val="1"/>
                <w:numId w:val="24"/>
              </w:numPr>
              <w:shd w:val="clear" w:color="auto" w:fill="FFFFFF"/>
              <w:spacing w:before="0" w:beforeAutospacing="0" w:after="120" w:afterAutospacing="0"/>
              <w:jc w:val="both"/>
              <w:rPr>
                <w:rFonts w:ascii="Arial Narrow" w:hAnsi="Arial Narrow" w:cs="Arial"/>
                <w:sz w:val="20"/>
                <w:szCs w:val="20"/>
              </w:rPr>
            </w:pPr>
            <w:r>
              <w:rPr>
                <w:rFonts w:ascii="Arial Narrow" w:hAnsi="Arial Narrow" w:cs="Arial"/>
                <w:sz w:val="20"/>
                <w:szCs w:val="20"/>
              </w:rPr>
              <w:t xml:space="preserve">paviršius padengti apsauginėmis dangomis.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Atramos</w:t>
            </w:r>
          </w:p>
        </w:tc>
        <w:tc>
          <w:tcPr>
            <w:tcW w:type="dxa" w:w="7081"/>
            <w:tcBorders/>
          </w:tcPr>
          <w:p>
            <w:pPr>
              <w:pStyle w:val="Sraopastraipa"/>
              <w:numPr>
                <w:ilvl w:val="0"/>
                <w:numId w:val="24"/>
              </w:numPr>
              <w:spacing/>
              <w:jc w:val="both"/>
              <w:rPr>
                <w:rFonts w:cs="Arial"/>
                <w:szCs w:val="20"/>
              </w:rPr>
            </w:pPr>
            <w:r>
              <w:rPr>
                <w:rFonts w:cs="Arial"/>
                <w:szCs w:val="20"/>
              </w:rPr>
              <w:t xml:space="preserve">Suremontuoti </w:t>
            </w:r>
            <w:r>
              <w:rPr>
                <w:rFonts w:cs="Arial"/>
                <w:szCs w:val="20"/>
              </w:rPr>
              <w:t xml:space="preserve">ramtus</w:t>
            </w:r>
            <w:r>
              <w:rPr>
                <w:rFonts w:cs="Arial"/>
                <w:szCs w:val="20"/>
              </w:rPr>
              <w:t xml:space="preserve">:</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pašalinti patakuotą, sutrūkusi, atšokusį apsauginį betoną;</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nuo armatūros strypų pašalinti rūdis;</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armatūros strypus padengti antikorozinėmis dangomis; </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remontiniais mišiniais atstatyti betono apsauginį sluoksnį;</w:t>
            </w:r>
          </w:p>
          <w:p>
            <w:pPr>
              <w:pStyle w:val="prastasiniatinklio"/>
              <w:numPr>
                <w:ilvl w:val="1"/>
                <w:numId w:val="24"/>
              </w:numPr>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paviršius padengti apsauginėmis dangomis.</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Prietilčiai ir patiltė</w:t>
            </w:r>
          </w:p>
        </w:tc>
        <w:tc>
          <w:tcPr>
            <w:tcW w:type="dxa" w:w="7081"/>
            <w:tcBorders/>
          </w:tcPr>
          <w:p>
            <w:pPr>
              <w:pStyle w:val="Sraopastraipa"/>
              <w:numPr>
                <w:ilvl w:val="0"/>
                <w:numId w:val="24"/>
              </w:numPr>
              <w:spacing/>
              <w:rPr/>
            </w:pPr>
            <w:r>
              <w:rPr/>
              <w:t xml:space="preserve">Įrengti naujas pereinamąsias plokštes;</w:t>
            </w:r>
          </w:p>
          <w:p>
            <w:pPr>
              <w:pStyle w:val="Sraopastraipa"/>
              <w:numPr>
                <w:ilvl w:val="0"/>
                <w:numId w:val="24"/>
              </w:numPr>
              <w:spacing/>
              <w:jc w:val="both"/>
              <w:rPr/>
            </w:pPr>
            <w:r>
              <w:rPr/>
              <w:t xml:space="preserve">įrengti ženklus žyminčius viaduko perdangos apatinį kraštą</w:t>
            </w:r>
          </w:p>
          <w:p>
            <w:pPr>
              <w:pStyle w:val="Sraopastraipa"/>
              <w:numPr>
                <w:ilvl w:val="0"/>
                <w:numId w:val="24"/>
              </w:numPr>
              <w:spacing/>
              <w:rPr/>
            </w:pPr>
            <w:r>
              <w:rPr/>
              <w:t xml:space="preserve">Suremontuoti važiuojamosios dalies dangą patiltėje;</w:t>
            </w:r>
          </w:p>
          <w:p>
            <w:pPr>
              <w:pStyle w:val="Sraopastraipa"/>
              <w:numPr>
                <w:ilvl w:val="0"/>
                <w:numId w:val="24"/>
              </w:numPr>
              <w:spacing/>
              <w:rPr/>
            </w:pPr>
            <w:r>
              <w:rPr/>
              <w:t xml:space="preserve">Įrengti naują vandens surinkimo ir nuleidimo sistemą prietilčiuose.</w:t>
            </w:r>
          </w:p>
        </w:tc>
      </w:tr>
      <w:tr>
        <w:trPr/>
        <w:tc>
          <w:tcPr>
            <w:tcW w:type="dxa" w:w="2409"/>
            <w:tcBorders/>
          </w:tcPr>
          <w:p>
            <w:pPr>
              <w:pStyle w:val="Bodytext1"/>
              <w:shd w:val="clear" w:color="auto" w:fill="auto"/>
              <w:tabs>
                <w:tab w:val="left" w:pos="567"/>
              </w:tabs>
              <w:spacing w:before="0" w:after="0" w:line="240" w:lineRule="auto"/>
              <w:ind w:right="55" w:firstLine="0"/>
              <w:rPr>
                <w:rFonts w:ascii="Arial Narrow" w:hAnsi="Arial Narrow"/>
                <w:sz w:val="20"/>
                <w:szCs w:val="20"/>
              </w:rPr>
            </w:pPr>
            <w:r>
              <w:rPr>
                <w:rFonts w:ascii="Arial Narrow" w:hAnsi="Arial Narrow"/>
                <w:sz w:val="20"/>
                <w:szCs w:val="20"/>
              </w:rPr>
              <w:t xml:space="preserve">Kitų konstrukcijų remontas ir įrengimas</w:t>
            </w:r>
          </w:p>
        </w:tc>
        <w:tc>
          <w:tcPr>
            <w:tcW w:type="dxa" w:w="7081"/>
            <w:tcBorders/>
          </w:tcPr>
          <w:p>
            <w:pPr>
              <w:pStyle w:val="Sraopastraipa"/>
              <w:numPr>
                <w:ilvl w:val="0"/>
                <w:numId w:val="24"/>
              </w:numPr>
              <w:spacing w:after="160" w:line="256" w:lineRule="auto"/>
              <w:rPr>
                <w:rFonts w:cs="Arial"/>
                <w:szCs w:val="20"/>
              </w:rPr>
            </w:pPr>
            <w:r>
              <w:rPr>
                <w:rFonts w:cs="Arial"/>
                <w:szCs w:val="20"/>
              </w:rPr>
              <w:t xml:space="preserve">Įrengti/atstatyti reikiamus kelio ženklus;</w:t>
            </w:r>
          </w:p>
          <w:p>
            <w:pPr>
              <w:pStyle w:val="Sraopastraipa"/>
              <w:numPr>
                <w:ilvl w:val="0"/>
                <w:numId w:val="24"/>
              </w:numPr>
              <w:spacing w:after="160" w:line="276" w:lineRule="auto"/>
              <w:rPr>
                <w:rFonts w:cs="Arial"/>
                <w:szCs w:val="20"/>
              </w:rPr>
            </w:pPr>
            <w:r>
              <w:rPr>
                <w:rFonts w:cs="Arial"/>
                <w:szCs w:val="20"/>
              </w:rPr>
              <w:t xml:space="preserve">įrengti 316 kelio ženklus (aukščio ribojimas)</w:t>
            </w:r>
          </w:p>
          <w:p>
            <w:pPr>
              <w:pStyle w:val="Sraopastraipa"/>
              <w:numPr>
                <w:ilvl w:val="0"/>
                <w:numId w:val="24"/>
              </w:numPr>
              <w:spacing w:after="160" w:line="256" w:lineRule="auto"/>
              <w:rPr>
                <w:rFonts w:cs="Arial"/>
                <w:szCs w:val="20"/>
              </w:rPr>
            </w:pPr>
            <w:r>
              <w:rPr>
                <w:rFonts w:cs="Arial"/>
                <w:szCs w:val="20"/>
              </w:rPr>
              <w:t xml:space="preserve">Įrengti </w:t>
            </w:r>
            <w:r>
              <w:rPr>
                <w:rFonts w:cs="Arial"/>
                <w:szCs w:val="20"/>
              </w:rPr>
              <w:t xml:space="preserve">gabaritinius</w:t>
            </w:r>
            <w:r>
              <w:rPr>
                <w:rFonts w:cs="Arial"/>
                <w:szCs w:val="20"/>
              </w:rPr>
              <w:t xml:space="preserve"> vartus (2vnt.).</w:t>
            </w:r>
          </w:p>
        </w:tc>
      </w:tr>
    </w:tbl>
    <w:p w14:paraId="75645259">
      <w:pPr>
        <w:pStyle w:val="Bodytext1"/>
        <w:shd w:val="clear" w:color="auto" w:fill="auto"/>
        <w:tabs>
          <w:tab w:val="left" w:pos="0"/>
        </w:tabs>
        <w:spacing w:before="0" w:after="0" w:line="240" w:lineRule="auto"/>
        <w:ind w:left="284" w:right="55" w:firstLine="0"/>
        <w:jc w:val="both"/>
        <w:rPr>
          <w:rFonts w:ascii="Arial Narrow" w:hAnsi="Arial Narrow"/>
          <w:b/>
          <w:bCs/>
          <w:color w:val="ED0000"/>
          <w:sz w:val="20"/>
          <w:szCs w:val="20"/>
        </w:rPr>
      </w:pPr>
    </w:p>
    <w:p w14:paraId="7564525A">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ED0000"/>
          <w:sz w:val="20"/>
          <w:szCs w:val="20"/>
        </w:rPr>
      </w:pPr>
      <w:r>
        <w:rPr>
          <w:rFonts w:ascii="Arial Narrow" w:hAnsi="Arial Narrow"/>
          <w:b/>
          <w:bCs/>
          <w:sz w:val="20"/>
          <w:szCs w:val="20"/>
        </w:rPr>
        <w:t xml:space="preserve">Vandens nuvedimo įrenginiai </w:t>
      </w:r>
    </w:p>
    <w:p w14:paraId="7564525B">
      <w:pPr>
        <w:pStyle w:val="Bodytext1"/>
        <w:numPr>
          <w:ilvl w:val="2"/>
          <w:numId w:val="15"/>
        </w:numPr>
        <w:shd w:val="clear" w:color="auto" w:fill="auto"/>
        <w:tabs>
          <w:tab w:val="left" w:pos="567"/>
        </w:tabs>
        <w:spacing w:before="0" w:after="0" w:line="240" w:lineRule="auto"/>
        <w:ind w:left="0" w:right="55" w:firstLine="0"/>
        <w:jc w:val="both"/>
        <w:rPr>
          <w:rFonts w:ascii="Arial Narrow" w:hAnsi="Arial Narrow"/>
          <w:color w:val="ED0000"/>
          <w:sz w:val="20"/>
          <w:szCs w:val="20"/>
        </w:rPr>
      </w:pPr>
      <w:r>
        <w:rPr>
          <w:rFonts w:ascii="Arial Narrow" w:hAnsi="Arial Narrow"/>
          <w:sz w:val="20"/>
          <w:szCs w:val="20"/>
        </w:rPr>
        <w:t xml:space="preserve">Nusimatyti esamų pralaidų po sankryžomis/nuovažomis, užneštų sąnašomis, valymą ir šalia šių pralaidų esamų griovių, kurie neužtikrina tinkamo vandens nuvedimo, atstatymą (išvalymą) iki 25 m atstumu nuo pralaidos centro į abi puses arba kol bus užtikrintas sklandus vandens nuvedimas.</w:t>
      </w:r>
    </w:p>
    <w:p w14:paraId="7564525C">
      <w:pPr>
        <w:pStyle w:val="Bodytext1"/>
        <w:numPr>
          <w:ilvl w:val="2"/>
          <w:numId w:val="15"/>
        </w:numPr>
        <w:shd w:val="clear" w:color="auto" w:fill="auto"/>
        <w:tabs>
          <w:tab w:val="left" w:pos="567"/>
        </w:tabs>
        <w:spacing w:before="0" w:after="0" w:line="240" w:lineRule="auto"/>
        <w:ind w:left="0" w:right="55" w:firstLine="0"/>
        <w:jc w:val="both"/>
        <w:rPr>
          <w:rFonts w:ascii="Arial Narrow" w:hAnsi="Arial Narrow"/>
          <w:color w:val="ED0000"/>
          <w:sz w:val="20"/>
          <w:szCs w:val="20"/>
        </w:rPr>
      </w:pPr>
      <w:r>
        <w:rPr>
          <w:rFonts w:ascii="Arial Narrow" w:hAnsi="Arial Narrow"/>
          <w:sz w:val="20"/>
          <w:szCs w:val="20"/>
        </w:rPr>
        <w:t xml:space="preserve">Nusimatyti esamų vandens nuvedimo sistemų (vandens surinkimo šulinėliai, latakai) išvalymą ir remontą.</w:t>
      </w:r>
    </w:p>
    <w:p w14:paraId="7564525D">
      <w:pPr>
        <w:pStyle w:val="Bodytext1"/>
        <w:numPr>
          <w:ilvl w:val="2"/>
          <w:numId w:val="15"/>
        </w:numPr>
        <w:shd w:val="clear" w:color="auto" w:fill="auto"/>
        <w:tabs>
          <w:tab w:val="left" w:pos="426"/>
        </w:tabs>
        <w:spacing w:before="0" w:after="0" w:line="240" w:lineRule="auto"/>
        <w:ind w:left="0" w:right="55" w:firstLine="0"/>
        <w:jc w:val="both"/>
        <w:rPr>
          <w:rFonts w:ascii="Arial Narrow" w:hAnsi="Arial Narrow"/>
          <w:b/>
          <w:bCs/>
          <w:sz w:val="20"/>
          <w:szCs w:val="20"/>
        </w:rPr>
      </w:pPr>
      <w:r>
        <w:rPr>
          <w:rFonts w:ascii="Arial Narrow" w:hAnsi="Arial Narrow"/>
          <w:b/>
          <w:bCs/>
          <w:sz w:val="20"/>
          <w:szCs w:val="20"/>
        </w:rPr>
        <w:t xml:space="preserve">Pralaidų po keliu remonto sprendiniai.</w:t>
      </w:r>
    </w:p>
    <w:p w14:paraId="7564525E">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Pr>
          <w:rFonts w:ascii="Arial Narrow" w:hAnsi="Arial Narrow"/>
          <w:sz w:val="20"/>
          <w:szCs w:val="20"/>
          <w:u w:val="single"/>
        </w:rPr>
        <w:t xml:space="preserve">Atlikti esamos pralaidos remontą:</w:t>
      </w:r>
    </w:p>
    <w:p w14:paraId="7564525F">
      <w:pPr>
        <w:pStyle w:val="Bodytext1"/>
        <w:shd w:val="clear" w:color="auto" w:fill="auto"/>
        <w:tabs>
          <w:tab w:val="left" w:pos="426"/>
          <w:tab w:val="left" w:pos="567"/>
        </w:tabs>
        <w:spacing w:before="0" w:after="0" w:line="240" w:lineRule="auto"/>
        <w:ind w:right="55" w:firstLine="0"/>
        <w:jc w:val="both"/>
        <w:rPr>
          <w:rFonts w:ascii="Arial Narrow" w:hAnsi="Arial Narrow"/>
          <w:sz w:val="20"/>
          <w:szCs w:val="20"/>
        </w:rPr>
      </w:pPr>
      <w:r>
        <w:rPr>
          <w:rFonts w:ascii="Arial Narrow" w:hAnsi="Arial Narrow"/>
          <w:sz w:val="20"/>
          <w:szCs w:val="20"/>
        </w:rPr>
        <w:t xml:space="preserve">P</w:t>
      </w:r>
      <w:r>
        <w:rPr>
          <w:rFonts w:ascii="Arial Narrow" w:hAnsi="Arial Narrow"/>
          <w:sz w:val="20"/>
          <w:szCs w:val="20"/>
        </w:rPr>
        <w:t xml:space="preserve">o važiuojamąja kelio dalimi esamos gelžbetoninės pralaidos turi būti pakeistos naujomis, kurių skersmuo ne mažesnis kaip 800 mm. Naujos pralaidos parametrus nustatyti hidrologiniais ir hidrauliniais skaičiavimais, atsižvelgiant į projektinių debitų viršijimo tikimybę. </w:t>
      </w:r>
    </w:p>
    <w:p w14:paraId="75645260">
      <w:pPr>
        <w:pStyle w:val="Bodytext1"/>
        <w:shd w:val="clear" w:color="auto" w:fill="auto"/>
        <w:tabs>
          <w:tab w:val="left" w:pos="426"/>
          <w:tab w:val="left" w:pos="567"/>
        </w:tabs>
        <w:spacing w:before="0" w:after="0" w:line="240" w:lineRule="auto"/>
        <w:ind w:right="55" w:firstLine="0"/>
        <w:jc w:val="both"/>
        <w:rPr>
          <w:rFonts w:ascii="Arial Narrow" w:hAnsi="Arial Narrow"/>
          <w:sz w:val="20"/>
          <w:szCs w:val="20"/>
        </w:rPr>
      </w:pPr>
      <w:r>
        <w:rPr>
          <w:rFonts w:ascii="Arial Narrow" w:hAnsi="Arial Narrow"/>
          <w:sz w:val="20"/>
          <w:szCs w:val="20"/>
        </w:rPr>
        <w:t xml:space="preserve">PASTABA: Tiekėjas gali siūlyti ir kitokį pralaidos remonto technologinį sprendinį. Pasirinktas sprendinys turi būti parinktas atsižvelgiant į    vietovės sąlygas bei kelio, po kuriuo bus įrengiama pralaida, geometrinius parametrus.</w:t>
      </w:r>
    </w:p>
    <w:p w14:paraId="75645261">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Pr>
          <w:rFonts w:ascii="Arial Narrow" w:hAnsi="Arial Narrow"/>
          <w:sz w:val="20"/>
          <w:szCs w:val="20"/>
        </w:rPr>
        <w:t xml:space="preserve">Vadovaujantis KPT TAS 09 taisyklėmis, įvertinti poreikį ties pralaidomis įrengti naujus apsauginius kelio atitvarus.</w:t>
      </w:r>
    </w:p>
    <w:p w14:paraId="75645262">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Pr>
          <w:rFonts w:ascii="Arial Narrow" w:hAnsi="Arial Narrow"/>
          <w:sz w:val="20"/>
          <w:szCs w:val="20"/>
          <w:u w:val="single"/>
        </w:rPr>
        <w:t xml:space="preserve">Atliekant po važiuojamąja kelio dalimi esančios pralaidos Tiekėjas turi:</w:t>
      </w:r>
    </w:p>
    <w:p w14:paraId="75645263">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Pralaidos ardymo vietoje įrengti naują kelio konstrukciją (dangos konstrukcijos klasė – DK10) vadovaujantis Automobilių kelių standartizuotų dangų konstrukcijų projektavimo taisyklių nustatytais reikalavimais.</w:t>
      </w:r>
    </w:p>
    <w:p w14:paraId="75645264">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Prie vandens pralaidos įtekamojo ir ištekamojo antgalių, pylimų šlaitai ir griovio dugnas bei šlaitai turi būti sutvirtinti.</w:t>
      </w:r>
    </w:p>
    <w:p w14:paraId="75645265">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Pralaidos prieigose, nuo pralaidos centro į abi puses, iki 25 m atstumu sutvarkomi esami kelio šlaitai juos sklandžiai suvedant su esamais.</w:t>
      </w:r>
    </w:p>
    <w:p w14:paraId="75645266">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Pralaidos prieigose, nuo pralaidos centro į abi puses, iki 25 m atstumu sutvarkomi kelio grioviai juos sklandžiai suvedant su esamais grioviais ar paviršiais.</w:t>
      </w:r>
    </w:p>
    <w:p w14:paraId="75645267">
      <w:pPr>
        <w:pStyle w:val="Bodytext1"/>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Pastaba: atskirais atvejais, kai esantis landšaftas trukdo griovio suformavimui, šie darbai nėra atliekami.</w:t>
      </w:r>
    </w:p>
    <w:p w14:paraId="75645268">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Išvalyti, ties pralaida esantį griovio dugną statinio (kelio sklypo) ribose.</w:t>
      </w:r>
    </w:p>
    <w:p w14:paraId="75645269">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Pr>
          <w:rFonts w:ascii="Arial Narrow" w:hAnsi="Arial Narrow"/>
          <w:sz w:val="20"/>
          <w:szCs w:val="20"/>
          <w:u w:val="single"/>
        </w:rPr>
        <w:t xml:space="preserve">Pralaidos remonto metu Tiekėjas įsipareigoja:</w:t>
      </w:r>
    </w:p>
    <w:p w14:paraId="7564526A">
      <w:pPr>
        <w:pStyle w:val="Bodytext1"/>
        <w:numPr>
          <w:ilvl w:val="4"/>
          <w:numId w:val="15"/>
        </w:numPr>
        <w:shd w:val="clear" w:color="auto" w:fill="auto"/>
        <w:tabs>
          <w:tab w:val="left" w:pos="567"/>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Konkurso metu išnagrinėti pirkimo dokumentus bei statybvietės aplinkos sąlygas ir teikdamas pasiūlymą privalo įvertinti visas pagrįstai numatomas išlaidas, priemones ar išlaidas priemonėms pralaidos po važiuojamąja kelio dalimi konstrukcijų elementams suprojektuoti ir įrengti.</w:t>
      </w:r>
    </w:p>
    <w:p w14:paraId="7564526B">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Prieš teikiant pasiūlymą privalo apsilankyti statybvietėje, įvertinti jos aplinką ir būklę, įvertinti pralaidos konstrukcijų elementų būklę, susipažinti su vietove, kad pasiūlyme būtų tinkamai ir pilnai įvertintos darbų apimtys.</w:t>
      </w:r>
    </w:p>
    <w:p w14:paraId="7564526C">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Parengti dokumentus ir gauti technines sąlygas (jei numatomi atlikti pralaidos remonto darbai gali turėti įtakos trečiųjų asmenų veiklai ar turtui), kitus pagal poreikį būtinus duomenis ir dokumentus aprašo parengimui.</w:t>
      </w:r>
    </w:p>
    <w:p w14:paraId="7564526D">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Kai tai būtina, Lietuvos Respublikos teisės aktų nustatyta tvarka, pralaidų remonto sprendinius suderinti su kaimyninių sklypų savininkais, valdytojais ir naudotojais.</w:t>
      </w:r>
    </w:p>
    <w:p w14:paraId="7564526E">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Parengti projektinius sprendinius nepažeidžiant esamo statinio (žemės sklypo) ribų.</w:t>
      </w:r>
    </w:p>
    <w:p w14:paraId="7564526F">
      <w:pPr>
        <w:pStyle w:val="Bodytext1"/>
        <w:numPr>
          <w:ilvl w:val="3"/>
          <w:numId w:val="15"/>
        </w:numPr>
        <w:shd w:val="clear" w:color="auto" w:fill="auto"/>
        <w:tabs>
          <w:tab w:val="left" w:pos="426"/>
          <w:tab w:val="left" w:pos="567"/>
        </w:tabs>
        <w:spacing w:before="0" w:after="0" w:line="240" w:lineRule="auto"/>
        <w:ind w:left="862" w:right="55" w:hanging="862"/>
        <w:jc w:val="both"/>
        <w:rPr>
          <w:rFonts w:ascii="Arial Narrow" w:hAnsi="Arial Narrow"/>
          <w:sz w:val="20"/>
          <w:szCs w:val="20"/>
          <w:u w:val="single"/>
        </w:rPr>
      </w:pPr>
      <w:r>
        <w:rPr>
          <w:rFonts w:ascii="Arial Narrow" w:hAnsi="Arial Narrow"/>
          <w:sz w:val="20"/>
          <w:szCs w:val="20"/>
          <w:u w:val="single"/>
        </w:rPr>
        <w:t xml:space="preserve">Bendrieji reikalavimai.</w:t>
      </w:r>
    </w:p>
    <w:p w14:paraId="75645270">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Pralaidos vamzdyno medžiagiškumą parenka Tiekėjas paprastojo remonto Aprašo rengimo metu. Medžiaga parenkama atsižvelgiant į kainą ir ilgaamžiškumą, pralaidos įrengimo technologiją (darbų trukmę).</w:t>
      </w:r>
    </w:p>
    <w:p w14:paraId="75645271">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Naudojami produktai turi būti tinkamai paženklinti.</w:t>
      </w:r>
    </w:p>
    <w:p w14:paraId="75645272">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Visi gaminiai, medžiagos ir priedai turi atitikti reikalavimus, nurodytus aprašo techninėje dokumentacijoje. Medžiagos turi būti pateiktos su gamintojo rekvizitais, specifikacija, naudojimo instrukcija. Užsakovas turi teisę atmesti medžiagą, jei ji neatitinka  aprašo techninės specifikacijos reikalavimų. Rangovas, prieš pradėdamas naudoti visas projekte nurodytas medžiagas, privalo pateikti  techninės priežiūros vadovui  jų techninių charakteristikų ir standartų dokumentus.</w:t>
      </w:r>
    </w:p>
    <w:p w14:paraId="75645273">
      <w:pPr>
        <w:pStyle w:val="Bodytext1"/>
        <w:numPr>
          <w:ilvl w:val="4"/>
          <w:numId w:val="15"/>
        </w:numPr>
        <w:shd w:val="clear" w:color="auto" w:fill="auto"/>
        <w:tabs>
          <w:tab w:val="left" w:pos="851"/>
        </w:tabs>
        <w:spacing w:before="0" w:after="0" w:line="240" w:lineRule="auto"/>
        <w:ind w:left="142" w:right="55" w:firstLine="0"/>
        <w:jc w:val="both"/>
        <w:rPr>
          <w:rFonts w:ascii="Arial Narrow" w:hAnsi="Arial Narrow"/>
          <w:sz w:val="20"/>
          <w:szCs w:val="20"/>
        </w:rPr>
      </w:pPr>
      <w:r>
        <w:rPr>
          <w:rFonts w:ascii="Arial Narrow" w:hAnsi="Arial Narrow"/>
          <w:sz w:val="20"/>
          <w:szCs w:val="20"/>
        </w:rPr>
        <w:t xml:space="preserve">Rangovas privalo informuoti techninę priežiūrą, kada galima tikrinti medžiagų ir pralaidų remonto stadijų darbo kokybę, uždengiant įrengtas konstrukcijas. Tiekėjas turi užfiksuoti dengiamus darbus fotofiksacijos būdu.</w:t>
      </w:r>
    </w:p>
    <w:p w14:paraId="75645274">
      <w:pPr>
        <w:pStyle w:val="Bodytext1"/>
        <w:numPr>
          <w:ilvl w:val="3"/>
          <w:numId w:val="15"/>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Projektiniai sprendiniai turi būti parengti</w:t>
      </w:r>
      <w:r>
        <w:rPr>
          <w:rFonts w:ascii="Arial Narrow" w:hAnsi="Arial Narrow"/>
          <w:sz w:val="20"/>
          <w:szCs w:val="20"/>
        </w:rPr>
        <w:t xml:space="preserve"> pagal galiojančių Lietuvos standartų (LST), techninių reglamentų TR 2.01:2019 „Automobilių kelių ir geležinkelio tiltų ir tunelių projektavimas“, KTR 1.01:2008 „Automobilių keliai“, statybos taisyklių ST 8871063.01:2002 „Automobilių kelių apvalių gelžbetoninių vandens pralaidų kartotiniai konstrukciniai sprendiniai“, ST 188710638.07.2004 “Automobilių kelių metalinių ir plastikinių vandens pralaidų kartotiniai konstrukciniai sprendiniai ir kitų normatyvinių statybos techninių dokumentų reikalavimus</w:t>
      </w:r>
    </w:p>
    <w:p w14:paraId="75645275">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75645276">
      <w:pPr>
        <w:pStyle w:val="Bodytext1"/>
        <w:numPr>
          <w:ilvl w:val="1"/>
          <w:numId w:val="15"/>
        </w:numPr>
        <w:shd w:val="clear" w:color="auto" w:fill="auto"/>
        <w:tabs>
          <w:tab w:val="left" w:pos="0"/>
        </w:tabs>
        <w:spacing w:before="0" w:after="0" w:line="240" w:lineRule="auto"/>
        <w:ind w:left="284" w:right="55" w:hanging="284"/>
        <w:jc w:val="both"/>
        <w:rPr>
          <w:rFonts w:ascii="Arial Narrow" w:hAnsi="Arial Narrow"/>
          <w:b/>
          <w:bCs/>
          <w:color w:val="000000"/>
          <w:sz w:val="20"/>
          <w:szCs w:val="20"/>
        </w:rPr>
      </w:pPr>
      <w:r>
        <w:rPr>
          <w:rFonts w:ascii="Arial Narrow" w:hAnsi="Arial Narrow"/>
          <w:b/>
          <w:bCs/>
          <w:color w:val="000000"/>
          <w:sz w:val="20"/>
          <w:szCs w:val="20"/>
        </w:rPr>
        <w:t xml:space="preserve"> ITS įrenginių atstatymas.</w:t>
      </w:r>
    </w:p>
    <w:p w14:paraId="75645277">
      <w:pPr>
        <w:pStyle w:val="Bodytext1"/>
        <w:shd w:val="clear" w:color="auto" w:fill="auto"/>
        <w:tabs>
          <w:tab w:val="left" w:pos="0"/>
        </w:tabs>
        <w:spacing w:before="0" w:after="0" w:line="240" w:lineRule="auto"/>
        <w:ind w:firstLine="0"/>
        <w:jc w:val="both"/>
        <w:rPr>
          <w:rFonts w:ascii="Arial Narrow" w:hAnsi="Arial Narrow"/>
          <w:color w:val="000000"/>
          <w:sz w:val="20"/>
          <w:szCs w:val="20"/>
        </w:rPr>
      </w:pPr>
      <w:r>
        <w:rPr>
          <w:rFonts w:ascii="Arial Narrow" w:hAnsi="Arial Narrow"/>
          <w:color w:val="000000"/>
          <w:sz w:val="20"/>
          <w:szCs w:val="20"/>
        </w:rPr>
        <w:t xml:space="preserve">Remontuojamame ruože esantys ITS įrenginiai su dangoje įrengtais davikliais:  68,045 km KOS su įšalo jutikliu ir </w:t>
      </w:r>
      <w:r>
        <w:rPr>
          <w:rFonts w:ascii="Arial Narrow" w:hAnsi="Arial Narrow"/>
          <w:sz w:val="20"/>
          <w:szCs w:val="20"/>
        </w:rPr>
        <w:t xml:space="preserve">druskos kiekio/lygio davikliu</w:t>
      </w:r>
      <w:r>
        <w:rPr>
          <w:rFonts w:ascii="Arial Narrow" w:hAnsi="Arial Narrow"/>
          <w:color w:val="000000"/>
          <w:sz w:val="20"/>
          <w:szCs w:val="20"/>
        </w:rPr>
        <w:t xml:space="preserve">. </w:t>
      </w:r>
    </w:p>
    <w:p w14:paraId="75645278">
      <w:pPr>
        <w:pStyle w:val="Bodytext1"/>
        <w:shd w:val="clear" w:color="auto" w:fill="auto"/>
        <w:tabs>
          <w:tab w:val="left" w:pos="0"/>
        </w:tabs>
        <w:spacing w:before="0" w:after="0" w:line="240" w:lineRule="auto"/>
        <w:ind w:firstLine="0"/>
        <w:jc w:val="both"/>
        <w:rPr>
          <w:rFonts w:ascii="Arial Narrow" w:hAnsi="Arial Narrow"/>
          <w:color w:val="000000"/>
          <w:sz w:val="20"/>
          <w:szCs w:val="20"/>
        </w:rPr>
      </w:pPr>
      <w:r>
        <w:rPr>
          <w:rFonts w:ascii="Arial Narrow" w:hAnsi="Arial Narrow"/>
          <w:sz w:val="20"/>
          <w:szCs w:val="20"/>
        </w:rPr>
        <w:t xml:space="preserve">Tiekėjas, informuoja Užsakovą apie pradedamus darbus tuose ruožuose,  kuriuose yra minima ITS įranga. </w:t>
      </w:r>
      <w:r>
        <w:rPr>
          <w:rFonts w:ascii="Arial Narrow" w:hAnsi="Arial Narrow"/>
          <w:color w:val="000000"/>
          <w:sz w:val="20"/>
          <w:szCs w:val="20"/>
        </w:rPr>
        <w:t xml:space="preserve">Jeigu pagal darbų technologiją pilnai išfrezuojant asfalto dangą pažeidžiamos esamos indukcinės kilpos ar kiti nurodyti ITS įrenginių davikliai, jų atstatymo darbus rangovas turi įsivertinti pasiūlyme. Šie darbai turės būti atliekami prižiūrint Užsakovo atstovui. </w:t>
      </w:r>
    </w:p>
    <w:p w14:paraId="75645279">
      <w:pPr>
        <w:pStyle w:val="Bodytext1"/>
        <w:shd w:val="clear" w:color="auto" w:fill="auto"/>
        <w:tabs>
          <w:tab w:val="left" w:pos="567"/>
        </w:tabs>
        <w:spacing w:before="0" w:after="0" w:line="240" w:lineRule="auto"/>
        <w:ind w:left="360" w:right="55" w:firstLine="0"/>
        <w:jc w:val="both"/>
        <w:rPr>
          <w:rFonts w:ascii="Arial Narrow" w:hAnsi="Arial Narrow"/>
          <w:color w:val="ED0000"/>
          <w:sz w:val="20"/>
          <w:szCs w:val="20"/>
        </w:rPr>
      </w:pPr>
    </w:p>
    <w:p w14:paraId="7564527A">
      <w:pPr>
        <w:pStyle w:val="Bodytext1"/>
        <w:shd w:val="clear" w:color="auto" w:fill="auto"/>
        <w:tabs>
          <w:tab w:val="left" w:pos="0"/>
        </w:tabs>
        <w:spacing w:before="0" w:after="0" w:line="240" w:lineRule="auto"/>
        <w:ind w:right="55" w:firstLine="0"/>
        <w:jc w:val="both"/>
        <w:rPr>
          <w:rFonts w:ascii="Arial Narrow" w:hAnsi="Arial Narrow"/>
          <w:color w:val="FF0000"/>
          <w:sz w:val="20"/>
          <w:szCs w:val="20"/>
        </w:rPr>
      </w:pP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bookmarkStart w:id="3" w:name="_Hlk80275011"/>
            <w:r>
              <w:rPr>
                <w:rFonts w:ascii="Arial Narrow" w:hAnsi="Arial Narrow"/>
                <w:b/>
                <w:caps/>
                <w:color w:val="FFFFFF"/>
                <w:sz w:val="20"/>
                <w:szCs w:val="16"/>
              </w:rPr>
              <w:t xml:space="preserve">5. garantinis terminas</w:t>
            </w:r>
          </w:p>
        </w:tc>
      </w:tr>
      <w:bookmarkEnd w:id="3"/>
    </w:tbl>
    <w:p w14:paraId="7564527D">
      <w:pPr>
        <w:spacing/>
        <w:jc w:val="left"/>
        <w:rPr>
          <w:rFonts w:ascii="Arial Narrow" w:hAnsi="Arial Narrow"/>
          <w:b/>
          <w:caps/>
        </w:rPr>
      </w:pPr>
    </w:p>
    <w:p w14:paraId="7564527E">
      <w:pPr>
        <w:pStyle w:val="Bodytext1"/>
        <w:tabs>
          <w:tab w:val="left" w:pos="0"/>
        </w:tabs>
        <w:spacing w:before="0" w:after="0" w:line="240" w:lineRule="auto"/>
        <w:ind w:right="57" w:firstLine="0"/>
        <w:jc w:val="both"/>
        <w:rPr>
          <w:rFonts w:ascii="Arial Narrow" w:hAnsi="Arial Narrow"/>
          <w:sz w:val="20"/>
          <w:szCs w:val="20"/>
        </w:rPr>
      </w:pPr>
      <w:r>
        <w:rPr>
          <w:rFonts w:ascii="Arial Narrow" w:hAnsi="Arial Narrow"/>
          <w:sz w:val="20"/>
          <w:szCs w:val="20"/>
        </w:rPr>
        <w:t xml:space="preserve">Visiems atliktiems statybos darbams, įskaitant jiems panaudotas medžiagas, priemones bei visas jų sudedamąsias dalis, Rangovas suteikia Sutartyje nurodytą garantinį terminą.</w:t>
      </w:r>
    </w:p>
    <w:p w14:paraId="7564527F">
      <w:pPr>
        <w:pStyle w:val="Bodytext1"/>
        <w:shd w:val="clear" w:color="auto" w:fill="auto"/>
        <w:tabs>
          <w:tab w:val="left" w:pos="0"/>
        </w:tabs>
        <w:spacing w:before="0" w:after="0" w:line="240" w:lineRule="auto"/>
        <w:ind w:right="57" w:firstLine="0"/>
        <w:jc w:val="both"/>
        <w:rPr>
          <w:rFonts w:ascii="Arial Narrow" w:hAnsi="Arial Narrow"/>
          <w:sz w:val="20"/>
          <w:szCs w:val="20"/>
        </w:rPr>
      </w:pPr>
      <w:r>
        <w:rPr>
          <w:rFonts w:ascii="Arial Narrow" w:hAnsi="Arial Narrow"/>
          <w:sz w:val="20"/>
          <w:szCs w:val="20"/>
        </w:rPr>
        <w:t xml:space="preserve">Rangovas nebus atsakingas už garantinio laikotarpio metu atsiradusius defektus, kurių priežastis nėra susijusi su Techninėje specifikacijoje numatytais ir Rangovo kokybiškai atliktais darbais.</w:t>
      </w:r>
    </w:p>
    <w:p w14:paraId="75645280">
      <w:pPr>
        <w:pStyle w:val="Bodytext1"/>
        <w:shd w:val="clear" w:color="auto" w:fill="auto"/>
        <w:tabs>
          <w:tab w:val="left" w:pos="0"/>
        </w:tabs>
        <w:spacing w:before="0" w:after="0" w:line="240" w:lineRule="auto"/>
        <w:ind w:right="55" w:firstLine="0"/>
        <w:jc w:val="both"/>
        <w:rPr>
          <w:rFonts w:ascii="Arial Narrow" w:hAnsi="Arial Narrow"/>
          <w:sz w:val="20"/>
          <w:szCs w:val="20"/>
        </w:rPr>
      </w:pP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6. DARBŲ ORGANIZAVIMAS</w:t>
            </w:r>
          </w:p>
        </w:tc>
      </w:tr>
    </w:tbl>
    <w:p w14:paraId="75645283">
      <w:pPr>
        <w:spacing/>
        <w:jc w:val="left"/>
        <w:rPr>
          <w:rFonts w:ascii="Arial Narrow" w:hAnsi="Arial Narrow"/>
          <w:b/>
          <w:caps/>
        </w:rPr>
      </w:pPr>
    </w:p>
    <w:p w14:paraId="75645284">
      <w:pPr>
        <w:pStyle w:val="Sraopastraipa"/>
        <w:numPr>
          <w:ilvl w:val="1"/>
          <w:numId w:val="14"/>
        </w:numPr>
        <w:tabs>
          <w:tab w:val="left" w:pos="284"/>
        </w:tabs>
        <w:suppressAutoHyphens/>
        <w:spacing/>
        <w:ind w:left="0" w:firstLine="0"/>
        <w:jc w:val="both"/>
        <w:rPr>
          <w:i/>
          <w:szCs w:val="24"/>
          <w:lang w:eastAsia="lt-LT"/>
        </w:rPr>
      </w:pPr>
      <w:r>
        <w:rPr>
          <w:noProof/>
          <w:szCs w:val="24"/>
        </w:rPr>
        <w:t xml:space="preserve">Kelio ruožų paprastojo remonto darbai turi būti organizuojami taip, kad nebūtų nutraukiamas transporto eismas. Pasirinkta remonto darbų vykdymo metodika turi užtikrinti kuo mažesnes kliūtis pagalbos tarnybų automobilių privažiavimui ar pravažiavimui ir viešojo transporto eismui. Turi būti užtikrintas patekimas į teritorijas, kurios ribojasi su remontuojamu keliu. </w:t>
      </w:r>
      <w:r>
        <w:rPr>
          <w:szCs w:val="24"/>
          <w:lang w:eastAsia="lt-LT"/>
        </w:rPr>
        <w:t xml:space="preserve">Kelio ruože, kuriame vykdomi statybos darbai, transporto eismas gali būti nutrauktas tik suderinus apylankas.</w:t>
      </w:r>
    </w:p>
    <w:p w14:paraId="75645285">
      <w:pPr>
        <w:pStyle w:val="Sraopastraipa"/>
        <w:numPr>
          <w:ilvl w:val="1"/>
          <w:numId w:val="14"/>
        </w:numPr>
        <w:tabs>
          <w:tab w:val="left" w:pos="284"/>
        </w:tabs>
        <w:suppressAutoHyphens/>
        <w:spacing/>
        <w:ind w:left="0" w:firstLine="0"/>
        <w:jc w:val="both"/>
        <w:rPr>
          <w:i/>
          <w:szCs w:val="24"/>
          <w:lang w:eastAsia="lt-LT"/>
        </w:rPr>
      </w:pPr>
      <w:r>
        <w:rPr>
          <w:szCs w:val="24"/>
          <w:lang w:eastAsia="lt-LT"/>
        </w:rPr>
        <w:t xml:space="preserve">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w:t>
      </w:r>
      <w:r>
        <w:rPr>
          <w:szCs w:val="24"/>
          <w:lang w:eastAsia="lt-LT"/>
        </w:rPr>
        <w:t xml:space="preserve">ir defektus kelio dangoje bei kituose kelio elementuose.</w:t>
      </w:r>
    </w:p>
    <w:p w14:paraId="75645286">
      <w:pPr>
        <w:pStyle w:val="Sraopastraipa"/>
        <w:numPr>
          <w:ilvl w:val="1"/>
          <w:numId w:val="14"/>
        </w:numPr>
        <w:tabs>
          <w:tab w:val="left" w:pos="284"/>
        </w:tabs>
        <w:suppressAutoHyphens/>
        <w:spacing/>
        <w:ind w:left="0" w:firstLine="0"/>
        <w:jc w:val="both"/>
        <w:rPr>
          <w:noProof/>
          <w:color w:val="FF0000"/>
          <w:szCs w:val="24"/>
        </w:rPr>
      </w:pPr>
      <w:r>
        <w:rPr>
          <w:noProof/>
          <w:szCs w:val="24"/>
        </w:rPr>
        <w:t xml:space="preserve">Eismo organizavimą darbų metu vykdyti vadovaujantis T DVAER 12 reikalavimais. Visi kaštai susiję su darbų organizavimu ir laikinu eismo ribojimu turi būti įvertinti Tiekėjo pasiūlyme..</w:t>
      </w:r>
    </w:p>
    <w:p w14:paraId="75645287">
      <w:pPr>
        <w:pStyle w:val="Sraopastraipa"/>
        <w:tabs>
          <w:tab w:val="left" w:pos="284"/>
        </w:tabs>
        <w:suppressAutoHyphens/>
        <w:spacing/>
        <w:ind w:left="0"/>
        <w:jc w:val="both"/>
        <w:rPr>
          <w:i/>
          <w:iCs/>
          <w:noProof/>
          <w:szCs w:val="24"/>
        </w:rPr>
      </w:pPr>
      <w:r>
        <w:rPr>
          <w:i/>
          <w:iCs/>
          <w:noProof/>
          <w:szCs w:val="24"/>
        </w:rPr>
        <w:t xml:space="preserve">Pastaba: 1. Darbo vietas reikia planuoti taip, kad jų buvimo trukmė ir išdėstymas kelio zonoje kuo mažiau trikdytų eismo procesą. Jei darbai laikinai neatliekami arba pagal aplinkybes kartkartėmis galima juos palengvinti, tuo laikotarpiu reikia nuimti ribojamąsias priemones arba sumažinti jų kiekį. Kai darbai neatliekami, ypač turi būti siekiama pašalinti ribojamąsias arba draudžiamąsias priemones, kurių reikia tik darbų metu (pvz., veiksmingai saugančias darbų zoną).</w:t>
      </w:r>
    </w:p>
    <w:p w14:paraId="75645288">
      <w:pPr>
        <w:pStyle w:val="Sraopastraipa"/>
        <w:numPr>
          <w:ilvl w:val="1"/>
          <w:numId w:val="14"/>
        </w:numPr>
        <w:tabs>
          <w:tab w:val="left" w:pos="284"/>
        </w:tabs>
        <w:suppressAutoHyphens/>
        <w:spacing/>
        <w:ind w:left="0" w:firstLine="0"/>
        <w:jc w:val="both"/>
        <w:rPr>
          <w:noProof/>
          <w:color w:val="FF0000"/>
          <w:szCs w:val="24"/>
        </w:rPr>
      </w:pPr>
      <w:r>
        <w:rPr>
          <w:noProof/>
          <w:szCs w:val="24"/>
        </w:rPr>
        <w:t xml:space="preserve">Ruože </w:t>
      </w:r>
      <w:r>
        <w:rPr>
          <w:szCs w:val="20"/>
        </w:rPr>
        <w:t xml:space="preserve">67,256-68,72 km</w:t>
      </w:r>
      <w:r>
        <w:rPr>
          <w:noProof/>
          <w:szCs w:val="24"/>
        </w:rPr>
        <w:t xml:space="preserve"> darbo vietų zonose priešingų krypčių eismas turi būti reguliuojamas naudojant ne mažesnio pločio nei 250 mm konstrukcinius nukreipiamuosius elementus (toliau – KNE)</w:t>
      </w:r>
      <w:r>
        <w:rPr>
          <w:b/>
          <w:bCs/>
          <w:noProof/>
          <w:szCs w:val="24"/>
        </w:rPr>
        <w:t xml:space="preserve"> </w:t>
      </w:r>
      <w:r>
        <w:rPr>
          <w:noProof/>
          <w:szCs w:val="24"/>
        </w:rPr>
        <w:t xml:space="preserve">pagal</w:t>
      </w:r>
      <w:r>
        <w:rPr>
          <w:b/>
          <w:bCs/>
          <w:noProof/>
          <w:szCs w:val="24"/>
        </w:rPr>
        <w:t xml:space="preserve"> </w:t>
      </w:r>
      <w:r>
        <w:rPr>
          <w:noProof/>
          <w:szCs w:val="24"/>
        </w:rPr>
        <w:t xml:space="preserve">T DVAER 12 VII skyriaus V skirsnyje pateiktus reikalavimus. KNE turi būti įrengiami ištisiniame darbų zonos ruože, užtikrinant, jog automobiliai negalėtų laisvai kirsti ištisinės linijos ir išvažiuoti į priešingo eismo juostą. Tiekėjas gali laisvai pasirinkti, kurį KNE  tipą naudoti: nukreipiamuosius gulekšnius, bortus ar s</w:t>
      </w:r>
      <w:r>
        <w:rPr>
          <w:noProof/>
          <w:szCs w:val="24"/>
        </w:rPr>
        <w:t xml:space="preserve">ieneles. Turi būti parenkami tokie konstrukcinių nukreipiamųjų elementų tvirtinimo sprendiniai, kurie nepažeistų esamos dangos (jeigu tvirtinant </w:t>
      </w:r>
      <w:r>
        <w:rPr>
          <w:noProof/>
          <w:szCs w:val="24"/>
        </w:rPr>
        <w:t xml:space="preserve">nukreipiamuosius gulekšnius būtų pažeidžiama danga, tiekėjas turės įsivertinti dangos sutvarkymą).Laikinas horizontalusis ženklinimas turi būti įrengiamas naudojant laikiną nuimamą kelių ženklinimo plėvelę (juostą).</w:t>
      </w:r>
    </w:p>
    <w:p w14:paraId="75645289">
      <w:pPr>
        <w:pStyle w:val="Sraopastraipa"/>
        <w:numPr>
          <w:ilvl w:val="1"/>
          <w:numId w:val="14"/>
        </w:numPr>
        <w:tabs>
          <w:tab w:val="left" w:pos="284"/>
        </w:tabs>
        <w:suppressAutoHyphens/>
        <w:spacing/>
        <w:ind w:left="0" w:firstLine="0"/>
        <w:rPr>
          <w:noProof/>
          <w:color w:val="FF0000"/>
          <w:szCs w:val="24"/>
        </w:rPr>
      </w:pPr>
      <w:r>
        <w:rPr>
          <w:noProof/>
          <w:szCs w:val="24"/>
        </w:rPr>
        <w:t xml:space="preserve">Visi kaštai susiję su darbų organizavimu ir laikinu eismo ribojimu turi būti įvertinti Tiekėjo pasiūlyme. </w:t>
      </w:r>
    </w:p>
    <w:p w14:paraId="7564528A">
      <w:pPr>
        <w:numPr>
          <w:ilvl w:val="1"/>
          <w:numId w:val="14"/>
        </w:numPr>
        <w:tabs>
          <w:tab w:val="left" w:pos="426"/>
        </w:tabs>
        <w:spacing/>
        <w:ind w:left="0" w:firstLine="0"/>
        <w:jc w:val="left"/>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Reikalavimai eismo reguliavimo įrangai darbų metu:</w:t>
      </w:r>
    </w:p>
    <w:p w14:paraId="7564528B">
      <w:pPr>
        <w:numPr>
          <w:ilvl w:val="2"/>
          <w:numId w:val="14"/>
        </w:numPr>
        <w:tabs>
          <w:tab w:val="left" w:pos="426"/>
          <w:tab w:val="left" w:pos="567"/>
        </w:tabs>
        <w:spacing/>
        <w:ind w:left="0" w:firstLine="0"/>
        <w:jc w:val="left"/>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7564528C">
      <w:pPr>
        <w:numPr>
          <w:ilvl w:val="2"/>
          <w:numId w:val="14"/>
        </w:numPr>
        <w:tabs>
          <w:tab w:val="left" w:pos="426"/>
          <w:tab w:val="left" w:pos="567"/>
        </w:tabs>
        <w:spacing/>
        <w:ind w:left="0" w:firstLine="0"/>
        <w:jc w:val="left"/>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7564528D">
      <w:pPr>
        <w:numPr>
          <w:ilvl w:val="2"/>
          <w:numId w:val="14"/>
        </w:numPr>
        <w:tabs>
          <w:tab w:val="left" w:pos="426"/>
          <w:tab w:val="left" w:pos="567"/>
        </w:tabs>
        <w:spacing/>
        <w:ind w:left="0" w:firstLine="0"/>
        <w:jc w:val="left"/>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7564528E">
      <w:pPr>
        <w:numPr>
          <w:ilvl w:val="2"/>
          <w:numId w:val="14"/>
        </w:numPr>
        <w:tabs>
          <w:tab w:val="left" w:pos="426"/>
          <w:tab w:val="left" w:pos="567"/>
        </w:tabs>
        <w:spacing/>
        <w:ind w:left="0" w:firstLine="0"/>
        <w:jc w:val="left"/>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7564528F">
      <w:pPr>
        <w:numPr>
          <w:ilvl w:val="2"/>
          <w:numId w:val="14"/>
        </w:numPr>
        <w:tabs>
          <w:tab w:val="left" w:pos="426"/>
          <w:tab w:val="left" w:pos="567"/>
        </w:tabs>
        <w:spacing/>
        <w:ind w:left="0" w:firstLine="0"/>
        <w:jc w:val="left"/>
        <w:rPr>
          <w:rFonts w:ascii="Arial Narrow" w:hAnsi="Arial Narrow" w:eastAsiaTheme="minorHAnsi" w:cstheme="minorBidi"/>
          <w:noProof/>
          <w:sz w:val="20"/>
          <w:szCs w:val="24"/>
        </w:rPr>
      </w:pPr>
      <w:r>
        <w:rPr>
          <w:rFonts w:ascii="Arial Narrow" w:hAnsi="Arial Narrow" w:eastAsiaTheme="minorHAnsi" w:cstheme="minorBidi"/>
          <w:noProof/>
          <w:sz w:val="20"/>
          <w:szCs w:val="24"/>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75645290">
      <w:pPr>
        <w:spacing/>
        <w:jc w:val="left"/>
        <w:rPr>
          <w:rFonts w:ascii="Arial Narrow" w:hAnsi="Arial Narrow"/>
          <w:b/>
          <w:caps/>
        </w:rPr>
      </w:pP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7. darbų kokybė</w:t>
            </w:r>
          </w:p>
        </w:tc>
      </w:tr>
    </w:tbl>
    <w:p w14:paraId="75645293">
      <w:pPr>
        <w:pStyle w:val="Bodytext1"/>
        <w:shd w:val="clear" w:color="auto" w:fill="auto"/>
        <w:tabs>
          <w:tab w:val="left" w:pos="284"/>
        </w:tabs>
        <w:spacing w:before="0" w:after="0" w:line="240" w:lineRule="auto"/>
        <w:ind w:right="55" w:firstLine="0"/>
        <w:jc w:val="both"/>
        <w:rPr>
          <w:rFonts w:ascii="Arial Narrow" w:hAnsi="Arial Narrow"/>
          <w:sz w:val="20"/>
          <w:szCs w:val="20"/>
        </w:rPr>
      </w:pPr>
    </w:p>
    <w:p w14:paraId="75645294">
      <w:pPr>
        <w:pStyle w:val="Bodytext1"/>
        <w:numPr>
          <w:ilvl w:val="1"/>
          <w:numId w:val="12"/>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 </w:t>
      </w:r>
      <w:r>
        <w:rPr>
          <w:rFonts w:ascii="Arial Narrow" w:hAnsi="Arial Narrow"/>
          <w:sz w:val="20"/>
          <w:szCs w:val="20"/>
        </w:rPr>
        <w:t xml:space="preserve">Viršutinis pagrindo sluoksnis iš gruntų ir (arba) nesurištųjų mišinių, surištų rišikliu ir jonų mainus gerinančiu priedu (CTB):</w:t>
      </w:r>
    </w:p>
    <w:p w14:paraId="75645295">
      <w:pPr>
        <w:pStyle w:val="Bodytext1"/>
        <w:numPr>
          <w:ilvl w:val="2"/>
          <w:numId w:val="1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Ruože 67,256-68,72 km turi būti numatytos priemonės, skirtos užtikrinti, kad II eismo juostos ir sustojimo juostos zonoje ties jungtimi su I eismo juosta nesusidarytų tuštymės CTB sluoksnio įrengimo metu. I ir II eismo juostų asfalto sandūroje turėtų būti teikiamas prioritetas sandarintos siūlės įrengimui.</w:t>
      </w:r>
    </w:p>
    <w:p w14:paraId="75645296">
      <w:pPr>
        <w:pStyle w:val="Bodytext1"/>
        <w:numPr>
          <w:ilvl w:val="2"/>
          <w:numId w:val="1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CTB sluoksniui įrengti naudojami gruntai ir kiti nesurištieji mišiniai turi atitikti MN AGPS 25 reikalavimus. Pagrindo sluoksniui apdoroti turi būti naudojamas 42,5 arba 52,5 stiprumo klasės cementas, tenkinantis standarto LST EN 197-1 reikalavimus arba cemento ir kito tipo rišiklio (pvz., nuosėdinių ar lakiųjų pelenų) kombinacijos, jei jų tinkamumas yra įrodytas ir tai yra suderinta tarp Užsakovo ir Rangovo. Kalkės gali būti naudojamos tik optimaliam apdorojamų medžiagų drėgniui pasiekti. Jeigu kelių tiesi</w:t>
      </w:r>
      <w:r>
        <w:rPr>
          <w:rFonts w:ascii="Arial Narrow" w:hAnsi="Arial Narrow"/>
          <w:sz w:val="20"/>
          <w:szCs w:val="20"/>
        </w:rPr>
        <w:t xml:space="preserve">mo medžiagų mišinių gamybai naudojamas ne geriamasis vanduo, tai tinkamumo bandymams atlikti turi būti naudojamas toks vanduo, kuris vėliau bus naudojamas statybvietėje. Naudojamas vanduo turi būti be organinių priemaišų, o jo pH – 6,5-8. Bandymai atliekami pagal standartą LST EN 1008. Pagrindo sluoksniui apdoroti turi būti naudojamas jonų mainus gerinantis priedas tenkinantis MN AGPS 25 reikalavimus. Gruntų, nesurištųjų medžiagų ir rišiklio mišinys turi atitikti MN AGPS 25 reikalavimus.</w:t>
      </w:r>
    </w:p>
    <w:p w14:paraId="75645297">
      <w:pPr>
        <w:pStyle w:val="Bodytext1"/>
        <w:numPr>
          <w:ilvl w:val="2"/>
          <w:numId w:val="1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Prieš darbų pradžią Rangovas privalo pateikti tinkamumo bandymų ataskaitą, įrodančią numatytų naudoti statybinių medžiagų, jų mišinių bei gruntų tinkamumą. Tinkamumo bandymų ataskaita prieš atliekant darbus turi būti suderinta su Techniniu prižiūrėtoju arba Užsakovu. Tinkamumo (rišiklio kiekio ir optimalaus drėgnio nustatymo) bandymai turi būti atliekami akredituotoje laboratorijoje.</w:t>
      </w:r>
    </w:p>
    <w:p w14:paraId="75645298">
      <w:pPr>
        <w:pStyle w:val="Bodytext1"/>
        <w:numPr>
          <w:ilvl w:val="2"/>
          <w:numId w:val="1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Ėminių tinkamumo bandymams kiekis ir paėmimo vietos turi būti reprezentatyvios ir parinktos atsižvelgiant į kintamą esamos dangos konstrukcijos esamos dangos konstrukcijos sluoksnių tipą storį. CTB sluoksniui įrengti parenkamas tinkamumo bandymais nustatytas didžiausias reikalingas cemento kiekis. Nustatytas didžiausias reikalingas cemento kiekis taikomas visa objekto apimtimi. Dėl specifinių bandymų sąlygų, tinkamumo bandymai gali užtrukti iki 5 savaičių, todėl tai turi būti įvertinta planuojant ir vykdant</w:t>
      </w:r>
      <w:r>
        <w:rPr>
          <w:rFonts w:ascii="Arial Narrow" w:hAnsi="Arial Narrow"/>
          <w:sz w:val="20"/>
          <w:szCs w:val="20"/>
        </w:rPr>
        <w:t xml:space="preserve"> darbus. </w:t>
      </w:r>
    </w:p>
    <w:p w14:paraId="75645299">
      <w:pPr>
        <w:pStyle w:val="Bodytext1"/>
        <w:numPr>
          <w:ilvl w:val="2"/>
          <w:numId w:val="1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CTB mišiniui keliami reikalavimai (tinkamumo bandymai):</w:t>
      </w:r>
    </w:p>
    <w:tbl>
      <w:tblPr>
        <w:tblStyle w:val="Lentelstinklelis"/>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30"/>
        <w:gridCol w:w="6809"/>
      </w:tblGrid>
      <w:tr>
        <w:trPr>
          <w:trHeight w:val="316" w:hRule="atLeast"/>
          <w:tblHeader/>
          <w:jc w:val="center"/>
        </w:trPr>
        <w:tc>
          <w:tcPr>
            <w:tcW w:type="dxa" w:w="2830"/>
            <w:vMerge w:val="restart"/>
            <w:tcBorders/>
            <w:vAlign w:val="center"/>
          </w:tcPr>
          <w:p>
            <w:pPr>
              <w:spacing/>
              <w:jc w:val="center"/>
              <w:rPr>
                <w:rFonts w:ascii="Arial Narrow" w:hAnsi="Arial Narrow"/>
                <w:b/>
                <w:sz w:val="20"/>
              </w:rPr>
            </w:pPr>
            <w:r>
              <w:rPr>
                <w:rFonts w:ascii="Arial Narrow" w:hAnsi="Arial Narrow"/>
                <w:b/>
                <w:sz w:val="20"/>
              </w:rPr>
              <w:t xml:space="preserve">Savybė</w:t>
            </w:r>
          </w:p>
        </w:tc>
        <w:tc>
          <w:tcPr>
            <w:tcW w:type="dxa" w:w="6809"/>
            <w:tcBorders/>
            <w:vAlign w:val="center"/>
          </w:tcPr>
          <w:p>
            <w:pPr>
              <w:spacing/>
              <w:jc w:val="center"/>
              <w:rPr>
                <w:rFonts w:ascii="Arial Narrow" w:hAnsi="Arial Narrow"/>
                <w:b/>
                <w:sz w:val="20"/>
              </w:rPr>
            </w:pPr>
            <w:r>
              <w:rPr>
                <w:rFonts w:ascii="Arial Narrow" w:hAnsi="Arial Narrow"/>
                <w:b/>
                <w:sz w:val="20"/>
              </w:rPr>
              <w:t xml:space="preserve">Reikalavimas</w:t>
            </w:r>
          </w:p>
        </w:tc>
      </w:tr>
      <w:tr>
        <w:trPr>
          <w:trHeight w:val="316" w:hRule="atLeast"/>
          <w:tblHeader/>
          <w:jc w:val="center"/>
        </w:trPr>
        <w:tc>
          <w:tcPr>
            <w:tcW w:type="dxa" w:w="2830"/>
            <w:vMerge w:val="continue"/>
            <w:tcBorders/>
            <w:vAlign w:val="center"/>
          </w:tcPr>
          <w:p>
            <w:pPr>
              <w:spacing/>
              <w:jc w:val="center"/>
              <w:rPr>
                <w:rFonts w:ascii="Arial Narrow" w:hAnsi="Arial Narrow"/>
                <w:b/>
                <w:sz w:val="20"/>
              </w:rPr>
            </w:pPr>
          </w:p>
        </w:tc>
        <w:tc>
          <w:tcPr>
            <w:tcW w:type="dxa" w:w="6809"/>
            <w:tcBorders/>
            <w:vAlign w:val="center"/>
          </w:tcPr>
          <w:p>
            <w:pPr>
              <w:spacing/>
              <w:jc w:val="center"/>
              <w:rPr>
                <w:rFonts w:ascii="Arial Narrow" w:hAnsi="Arial Narrow"/>
                <w:b/>
                <w:sz w:val="20"/>
              </w:rPr>
            </w:pPr>
            <w:r>
              <w:rPr>
                <w:rFonts w:ascii="Arial Narrow" w:hAnsi="Arial Narrow"/>
                <w:b/>
                <w:sz w:val="20"/>
              </w:rPr>
              <w:t xml:space="preserve">CTB</w:t>
            </w:r>
          </w:p>
        </w:tc>
      </w:tr>
      <w:tr>
        <w:trPr>
          <w:trHeight w:val="299" w:hRule="atLeast"/>
          <w:jc w:val="center"/>
        </w:trPr>
        <w:tc>
          <w:tcPr>
            <w:tcW w:type="dxa" w:w="2830"/>
            <w:tcBorders/>
            <w:vAlign w:val="center"/>
          </w:tcPr>
          <w:p>
            <w:pPr>
              <w:spacing/>
              <w:jc w:val="center"/>
              <w:rPr>
                <w:rFonts w:ascii="Arial Narrow" w:hAnsi="Arial Narrow"/>
                <w:sz w:val="20"/>
                <w:vertAlign w:val="superscript"/>
              </w:rPr>
            </w:pPr>
            <w:r>
              <w:rPr>
                <w:rFonts w:ascii="Arial Narrow" w:hAnsi="Arial Narrow"/>
                <w:sz w:val="20"/>
              </w:rPr>
              <w:t xml:space="preserve">Gniuždomasis stipris</w:t>
            </w:r>
            <w:r>
              <w:rPr>
                <w:rFonts w:ascii="Arial Narrow" w:hAnsi="Arial Narrow"/>
                <w:sz w:val="20"/>
                <w:vertAlign w:val="superscript"/>
              </w:rPr>
              <w:t xml:space="preserve">1) 2)</w:t>
            </w:r>
          </w:p>
        </w:tc>
        <w:tc>
          <w:tcPr>
            <w:tcW w:type="dxa" w:w="6809"/>
            <w:tcBorders/>
            <w:vAlign w:val="center"/>
          </w:tcPr>
          <w:p>
            <w:pPr>
              <w:spacing/>
              <w:jc w:val="center"/>
              <w:rPr>
                <w:rFonts w:ascii="Arial Narrow" w:hAnsi="Arial Narrow"/>
                <w:sz w:val="20"/>
              </w:rPr>
            </w:pPr>
            <w:r>
              <w:rPr>
                <w:rFonts w:ascii="Arial Narrow" w:hAnsi="Arial Narrow"/>
                <w:sz w:val="20"/>
              </w:rPr>
              <w:t xml:space="preserve">≥ 2,5 </w:t>
            </w:r>
            <w:r>
              <w:rPr>
                <w:rFonts w:ascii="Arial Narrow" w:hAnsi="Arial Narrow"/>
                <w:sz w:val="20"/>
              </w:rPr>
              <w:t xml:space="preserve">MPa</w:t>
            </w:r>
          </w:p>
        </w:tc>
      </w:tr>
      <w:tr>
        <w:trPr>
          <w:trHeight w:val="299" w:hRule="atLeast"/>
          <w:jc w:val="center"/>
        </w:trPr>
        <w:tc>
          <w:tcPr>
            <w:tcW w:type="dxa" w:w="2830"/>
            <w:tcBorders/>
            <w:vAlign w:val="center"/>
          </w:tcPr>
          <w:p>
            <w:pPr>
              <w:spacing/>
              <w:jc w:val="center"/>
              <w:rPr>
                <w:rFonts w:ascii="Arial Narrow" w:hAnsi="Arial Narrow"/>
                <w:sz w:val="20"/>
                <w:vertAlign w:val="superscript"/>
              </w:rPr>
            </w:pPr>
            <w:r>
              <w:rPr>
                <w:rFonts w:ascii="Arial Narrow" w:hAnsi="Arial Narrow"/>
                <w:sz w:val="20"/>
              </w:rPr>
              <w:t xml:space="preserve">Atsparumas šalčiui</w:t>
            </w:r>
            <w:r>
              <w:rPr>
                <w:rFonts w:ascii="Arial Narrow" w:hAnsi="Arial Narrow"/>
                <w:sz w:val="20"/>
                <w:vertAlign w:val="superscript"/>
              </w:rPr>
              <w:t xml:space="preserve">3)</w:t>
            </w:r>
          </w:p>
        </w:tc>
        <w:tc>
          <w:tcPr>
            <w:tcW w:type="dxa" w:w="6809"/>
            <w:tcBorders/>
            <w:vAlign w:val="center"/>
          </w:tcPr>
          <w:p>
            <w:pPr>
              <w:spacing/>
              <w:jc w:val="center"/>
              <w:rPr>
                <w:rFonts w:ascii="Arial Narrow" w:hAnsi="Arial Narrow"/>
                <w:sz w:val="20"/>
              </w:rPr>
            </w:pPr>
            <w:r>
              <w:rPr>
                <w:rFonts w:ascii="Arial Narrow" w:hAnsi="Arial Narrow"/>
                <w:sz w:val="20"/>
              </w:rPr>
              <w:t xml:space="preserve">≥ 0,7</w:t>
            </w:r>
            <w:r>
              <w:rPr>
                <w:rFonts w:ascii="Arial Narrow" w:hAnsi="Arial Narrow"/>
                <w:sz w:val="20"/>
                <w:vertAlign w:val="superscript"/>
              </w:rPr>
              <w:t xml:space="preserve">4)</w:t>
            </w:r>
          </w:p>
        </w:tc>
      </w:tr>
      <w:tr>
        <w:trPr>
          <w:trHeight w:val="624" w:hRule="atLeast"/>
          <w:jc w:val="center"/>
        </w:trPr>
        <w:tc>
          <w:tcPr>
            <w:tcW w:type="dxa" w:w="9639"/>
            <w:gridSpan w:val="2"/>
            <w:tcBorders/>
            <w:vAlign w:val="center"/>
          </w:tcPr>
          <w:p>
            <w:pPr>
              <w:spacing/>
              <w:contextualSpacing/>
              <w:rPr>
                <w:rFonts w:ascii="Arial Narrow" w:hAnsi="Arial Narrow"/>
                <w:sz w:val="20"/>
                <w:lang w:eastAsia="lt-LT"/>
              </w:rPr>
            </w:pPr>
            <w:r>
              <w:rPr>
                <w:rFonts w:ascii="Arial Narrow" w:hAnsi="Arial Narrow"/>
                <w:sz w:val="20"/>
                <w:vertAlign w:val="superscript"/>
                <w:lang w:eastAsia="lt-LT"/>
              </w:rPr>
              <w:t xml:space="preserve">1)</w:t>
            </w:r>
            <w:r>
              <w:rPr>
                <w:rFonts w:ascii="Arial Narrow" w:hAnsi="Arial Narrow"/>
                <w:sz w:val="20"/>
                <w:lang w:eastAsia="lt-LT"/>
              </w:rPr>
              <w:t xml:space="preserve"> Rangovui turint patirtį, suformuoti bandiniai gali būti bandomi po 7 parų. Pasiekus 90 % projektinės gniuždomojo stiprio vertės yra laikoma, kad po 28 parų bus pasiektas projektinis gniuždomasis stipris.</w:t>
            </w:r>
          </w:p>
          <w:p>
            <w:pPr>
              <w:spacing/>
              <w:contextualSpacing/>
              <w:rPr>
                <w:rFonts w:ascii="Arial Narrow" w:hAnsi="Arial Narrow"/>
                <w:sz w:val="20"/>
              </w:rPr>
            </w:pPr>
            <w:r>
              <w:rPr>
                <w:rFonts w:ascii="Arial Narrow" w:hAnsi="Arial Narrow"/>
                <w:sz w:val="20"/>
                <w:vertAlign w:val="superscript"/>
              </w:rPr>
              <w:t xml:space="preserve">2)</w:t>
            </w:r>
            <w:r>
              <w:rPr>
                <w:rFonts w:ascii="Arial Narrow" w:hAnsi="Arial Narrow"/>
                <w:sz w:val="20"/>
              </w:rPr>
              <w:t xml:space="preserve"> Gniuždomasis stipris, nustatytas po 28 parų pagal standartą LST EN 13286-41 – bandiniai 14 parų laikomi drėgnoje aplinkoje ir 14 parų vandenyje. Po mirkymo atliekamas gniuždomojo stiprio bandymas.</w:t>
            </w:r>
          </w:p>
          <w:p>
            <w:pPr>
              <w:keepNext/>
              <w:pBdr>
                <w:right w:val="single" w:color="auto" w:sz="18" w:space="4"/>
              </w:pBdr>
              <w:tabs>
                <w:tab w:val="left" w:pos="362"/>
              </w:tabs>
              <w:spacing/>
              <w:rPr>
                <w:rFonts w:ascii="Arial Narrow" w:hAnsi="Arial Narrow" w:eastAsia="Calibri"/>
                <w:sz w:val="20"/>
              </w:rPr>
            </w:pPr>
            <w:r>
              <w:rPr>
                <w:rFonts w:ascii="Arial Narrow" w:hAnsi="Arial Narrow" w:eastAsia="Calibri"/>
                <w:sz w:val="20"/>
              </w:rPr>
              <w:t xml:space="preserve">Gniuždomasis stipris, nustatytas po 7 parų pagal standartą LST EN 13286-41 – bandiniai 6 paras laikomi drėgnoje aplinkoje ir 1 parą vandenyje. Po mirkymo atliekamas gniuždomojo stiprio bandymas.</w:t>
            </w:r>
          </w:p>
          <w:p>
            <w:pPr>
              <w:spacing/>
              <w:contextualSpacing/>
              <w:rPr>
                <w:rFonts w:ascii="Arial Narrow" w:hAnsi="Arial Narrow"/>
                <w:sz w:val="20"/>
              </w:rPr>
            </w:pPr>
            <w:r>
              <w:rPr>
                <w:rFonts w:ascii="Arial Narrow" w:hAnsi="Arial Narrow"/>
                <w:sz w:val="20"/>
                <w:vertAlign w:val="superscript"/>
              </w:rPr>
              <w:t xml:space="preserve">3)</w:t>
            </w:r>
            <w:r>
              <w:rPr>
                <w:rFonts w:ascii="Arial Narrow" w:hAnsi="Arial Narrow"/>
                <w:sz w:val="20"/>
              </w:rPr>
              <w:t xml:space="preserve"> Atliekant atsparumo šalčiui bandymus, bandiniai laikomi 13 dienų drėgnoje aplinkoje, po to 1 parą laikomi panardinti kambario temperatūros vandenyje, po to jiems taikoma 14 užšaldymo ir atšildymo ciklų. Vienu užšaldymo ir atšildymo ciklu bandiniai (ištraukti </w:t>
            </w:r>
            <w:r>
              <w:rPr>
                <w:rFonts w:ascii="Arial Narrow" w:hAnsi="Arial Narrow"/>
                <w:sz w:val="20"/>
              </w:rPr>
              <w:t xml:space="preserve">iš vandens) -23°C temperatūroje 8 valandas šaldomi ir 16 valandų atšildomi kambario temperatūros vandenyje. Po šaldymo atšildymo ciklų atliekamas gniuždomojo stiprio bandymas pagal standartą LST EN 13286-41.</w:t>
            </w:r>
          </w:p>
          <w:p>
            <w:pPr>
              <w:spacing/>
              <w:contextualSpacing/>
              <w:rPr>
                <w:rFonts w:ascii="Arial Narrow" w:hAnsi="Arial Narrow"/>
                <w:sz w:val="20"/>
              </w:rPr>
            </w:pPr>
            <w:r>
              <w:rPr>
                <w:rFonts w:ascii="Arial Narrow" w:hAnsi="Arial Narrow"/>
                <w:sz w:val="20"/>
                <w:vertAlign w:val="superscript"/>
              </w:rPr>
              <w:t xml:space="preserve">4)</w:t>
            </w:r>
            <w:r>
              <w:rPr>
                <w:rFonts w:ascii="Arial Narrow" w:hAnsi="Arial Narrow"/>
                <w:sz w:val="20"/>
              </w:rPr>
              <w:t xml:space="preserve"> Bandinių po šaldymo ir atšildymo ciklų bei referencinių bandinių (po 28 parų) gniuždomojo stiprio santykis.</w:t>
            </w:r>
          </w:p>
        </w:tc>
      </w:tr>
    </w:tbl>
    <w:p w14:paraId="756452AC">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756452AD">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756452AE">
      <w:pPr>
        <w:pStyle w:val="Bodytext1"/>
        <w:numPr>
          <w:ilvl w:val="2"/>
          <w:numId w:val="1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Reikalavimai CTB mišiniui bei įrengtam pagrindo sluoksniui:</w:t>
      </w:r>
    </w:p>
    <w:tbl>
      <w:tblPr>
        <w:tblStyle w:val="TableGrid2"/>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59"/>
        <w:gridCol w:w="2502"/>
        <w:gridCol w:w="4484"/>
      </w:tblGrid>
      <w:tr>
        <w:trPr>
          <w:trHeight w:val="316" w:hRule="atLeast"/>
          <w:tblHeader/>
        </w:trPr>
        <w:tc>
          <w:tcPr>
            <w:tcW w:type="dxa" w:w="2359"/>
            <w:tcBorders/>
            <w:vAlign w:val="center"/>
          </w:tcPr>
          <w:p>
            <w:pPr>
              <w:spacing/>
              <w:jc w:val="center"/>
              <w:rPr>
                <w:rFonts w:ascii="Arial Narrow" w:hAnsi="Arial Narrow" w:eastAsia="Calibri"/>
                <w:b/>
                <w:sz w:val="20"/>
                <w:lang w:val="lt-LT"/>
              </w:rPr>
            </w:pPr>
            <w:r>
              <w:rPr>
                <w:rFonts w:ascii="Arial Narrow" w:hAnsi="Arial Narrow" w:eastAsia="Calibri"/>
                <w:b/>
                <w:sz w:val="20"/>
                <w:lang w:val="lt-LT"/>
              </w:rPr>
              <w:t xml:space="preserve">Savybė</w:t>
            </w:r>
          </w:p>
        </w:tc>
        <w:tc>
          <w:tcPr>
            <w:tcW w:type="dxa" w:w="2502"/>
            <w:tcBorders/>
            <w:vAlign w:val="center"/>
          </w:tcPr>
          <w:p>
            <w:pPr>
              <w:spacing/>
              <w:jc w:val="center"/>
              <w:rPr>
                <w:rFonts w:ascii="Arial Narrow" w:hAnsi="Arial Narrow" w:eastAsia="Calibri"/>
                <w:b/>
                <w:sz w:val="20"/>
                <w:lang w:val="lt-LT"/>
              </w:rPr>
            </w:pPr>
            <w:r>
              <w:rPr>
                <w:rFonts w:ascii="Arial Narrow" w:hAnsi="Arial Narrow" w:eastAsia="Calibri"/>
                <w:b/>
                <w:sz w:val="20"/>
                <w:lang w:val="lt-LT"/>
              </w:rPr>
              <w:t xml:space="preserve">Reikalavimas</w:t>
            </w:r>
          </w:p>
        </w:tc>
        <w:tc>
          <w:tcPr>
            <w:tcW w:type="dxa" w:w="4484"/>
            <w:tcBorders/>
            <w:vAlign w:val="center"/>
          </w:tcPr>
          <w:p>
            <w:pPr>
              <w:spacing/>
              <w:jc w:val="center"/>
              <w:rPr>
                <w:rFonts w:ascii="Arial Narrow" w:hAnsi="Arial Narrow" w:eastAsia="Calibri"/>
                <w:b/>
                <w:sz w:val="20"/>
                <w:lang w:val="lt-LT"/>
              </w:rPr>
            </w:pPr>
            <w:r>
              <w:rPr>
                <w:rFonts w:ascii="Arial Narrow" w:hAnsi="Arial Narrow" w:eastAsia="Calibri"/>
                <w:b/>
                <w:sz w:val="20"/>
                <w:lang w:val="lt-LT"/>
              </w:rPr>
              <w:t xml:space="preserve">Pastabos</w:t>
            </w:r>
          </w:p>
        </w:tc>
      </w:tr>
      <w:tr>
        <w:trPr>
          <w:trHeight w:val="299" w:hRule="atLeast"/>
        </w:trPr>
        <w:tc>
          <w:tcPr>
            <w:tcW w:type="dxa" w:w="9345"/>
            <w:gridSpan w:val="3"/>
            <w:tcBorders/>
            <w:vAlign w:val="center"/>
          </w:tcPr>
          <w:p>
            <w:pPr>
              <w:spacing/>
              <w:rPr>
                <w:rFonts w:ascii="Arial Narrow" w:hAnsi="Arial Narrow" w:eastAsia="Calibri"/>
                <w:b/>
                <w:bCs/>
                <w:sz w:val="20"/>
                <w:lang w:val="lt-LT"/>
              </w:rPr>
            </w:pPr>
            <w:r>
              <w:rPr>
                <w:rFonts w:ascii="Arial Narrow" w:hAnsi="Arial Narrow" w:eastAsia="Calibri"/>
                <w:b/>
                <w:bCs/>
                <w:sz w:val="20"/>
                <w:lang w:val="lt-LT"/>
              </w:rPr>
              <w:t xml:space="preserve">Rišikliais ir jonų mainus gerinančiu priedu surištas mišinys ar gruntas</w:t>
            </w:r>
          </w:p>
        </w:tc>
      </w:tr>
      <w:tr>
        <w:trPr>
          <w:trHeight w:val="299" w:hRule="atLeast"/>
        </w:trPr>
        <w:tc>
          <w:tcPr>
            <w:tcW w:type="dxa" w:w="2359"/>
            <w:tcBorders/>
            <w:vAlign w:val="center"/>
          </w:tcPr>
          <w:p>
            <w:pPr>
              <w:spacing/>
              <w:jc w:val="center"/>
              <w:rPr>
                <w:rFonts w:ascii="Arial Narrow" w:hAnsi="Arial Narrow" w:eastAsia="Calibri"/>
                <w:sz w:val="20"/>
                <w:lang w:val="lt-LT"/>
              </w:rPr>
            </w:pPr>
            <w:r>
              <w:rPr>
                <w:rFonts w:ascii="Arial Narrow" w:hAnsi="Arial Narrow" w:eastAsia="Calibri"/>
                <w:sz w:val="20"/>
                <w:lang w:val="lt-LT"/>
              </w:rPr>
              <w:t xml:space="preserve">Gniuždomasis stipris</w:t>
            </w:r>
            <w:r>
              <w:rPr>
                <w:rFonts w:ascii="Arial Narrow" w:hAnsi="Arial Narrow" w:eastAsia="Calibri"/>
                <w:sz w:val="20"/>
                <w:vertAlign w:val="superscript"/>
                <w:lang w:val="lt-LT"/>
              </w:rPr>
              <w:t xml:space="preserve">1)</w:t>
            </w:r>
          </w:p>
        </w:tc>
        <w:tc>
          <w:tcPr>
            <w:tcW w:type="dxa" w:w="2502"/>
            <w:tcBorders/>
            <w:vAlign w:val="center"/>
          </w:tcPr>
          <w:p>
            <w:pPr>
              <w:spacing/>
              <w:jc w:val="center"/>
              <w:rPr>
                <w:rFonts w:ascii="Arial Narrow" w:hAnsi="Arial Narrow" w:eastAsia="Calibri"/>
                <w:sz w:val="20"/>
                <w:vertAlign w:val="superscript"/>
                <w:lang w:val="lt-LT"/>
              </w:rPr>
            </w:pPr>
            <w:r>
              <w:rPr>
                <w:rFonts w:ascii="Arial Narrow" w:hAnsi="Arial Narrow" w:eastAsia="Calibri"/>
                <w:sz w:val="20"/>
                <w:lang w:val="lt-LT"/>
              </w:rPr>
              <w:t xml:space="preserve">≥ 2,5 MPa</w:t>
            </w:r>
            <w:r>
              <w:rPr>
                <w:rFonts w:ascii="Arial Narrow" w:hAnsi="Arial Narrow" w:eastAsia="Calibri"/>
                <w:sz w:val="20"/>
                <w:vertAlign w:val="superscript"/>
                <w:lang w:val="lt-LT"/>
              </w:rPr>
              <w:t xml:space="preserve">2)</w:t>
            </w:r>
          </w:p>
        </w:tc>
        <w:tc>
          <w:tcPr>
            <w:tcW w:type="dxa" w:w="4484"/>
            <w:tcBorders/>
            <w:vAlign w:val="center"/>
          </w:tcPr>
          <w:p>
            <w:pPr>
              <w:spacing/>
              <w:rPr>
                <w:rFonts w:ascii="Arial Narrow" w:hAnsi="Arial Narrow" w:eastAsia="Calibri"/>
                <w:sz w:val="20"/>
                <w:lang w:val="lt-LT"/>
              </w:rPr>
            </w:pPr>
            <w:r>
              <w:rPr>
                <w:rFonts w:ascii="Arial Narrow" w:hAnsi="Arial Narrow" w:eastAsia="Calibri"/>
                <w:sz w:val="20"/>
                <w:lang w:val="lt-LT"/>
              </w:rPr>
              <w:t xml:space="preserve">Gniuždomasis stipris, nustatytas po 28 parų pagal standartą LST EN 13286-41 – bandiniai 14 parų laikomi drėgnoje aplinkoje ir 14 parų vandenyje. Po mirkymo atliekamas gniuždomojo stiprio bandymas.</w:t>
            </w:r>
          </w:p>
          <w:p>
            <w:pPr>
              <w:spacing/>
              <w:rPr>
                <w:rFonts w:ascii="Arial Narrow" w:hAnsi="Arial Narrow" w:eastAsia="Calibri"/>
                <w:sz w:val="20"/>
                <w:lang w:val="lt-LT"/>
              </w:rPr>
            </w:pPr>
            <w:r>
              <w:rPr>
                <w:rFonts w:ascii="Arial Narrow" w:hAnsi="Arial Narrow" w:eastAsia="Calibri"/>
                <w:sz w:val="20"/>
                <w:lang w:val="lt-LT"/>
              </w:rPr>
              <w:t xml:space="preserve">Gniuždomasis stipris, nustatytas po 7 parų pagal standartą LST EN 13286-41 – bandiniai 6 paras laikomi drėgnoje aplinkoje ir 1 parą vandenyje. Po mirkymo atliekamas gniuždomojo stiprio bandymas.</w:t>
            </w:r>
          </w:p>
        </w:tc>
      </w:tr>
      <w:tr>
        <w:trPr>
          <w:trHeight w:val="1942" w:hRule="atLeast"/>
        </w:trPr>
        <w:tc>
          <w:tcPr>
            <w:tcW w:type="dxa" w:w="2359"/>
            <w:tcBorders/>
            <w:vAlign w:val="center"/>
          </w:tcPr>
          <w:p>
            <w:pPr>
              <w:spacing/>
              <w:jc w:val="center"/>
              <w:rPr>
                <w:rFonts w:ascii="Arial Narrow" w:hAnsi="Arial Narrow" w:eastAsia="Calibri"/>
                <w:sz w:val="20"/>
                <w:lang w:val="lt-LT"/>
              </w:rPr>
            </w:pPr>
            <w:r>
              <w:rPr>
                <w:rFonts w:ascii="Arial Narrow" w:hAnsi="Arial Narrow" w:eastAsia="Calibri"/>
                <w:sz w:val="20"/>
                <w:lang w:val="lt-LT"/>
              </w:rPr>
              <w:t xml:space="preserve">Atsparumas šalčiui</w:t>
            </w:r>
          </w:p>
        </w:tc>
        <w:tc>
          <w:tcPr>
            <w:tcW w:type="dxa" w:w="2502"/>
            <w:tcBorders/>
            <w:vAlign w:val="center"/>
          </w:tcPr>
          <w:p>
            <w:pPr>
              <w:spacing/>
              <w:rPr>
                <w:rFonts w:ascii="Arial Narrow" w:hAnsi="Arial Narrow" w:eastAsia="Calibri"/>
                <w:sz w:val="20"/>
                <w:lang w:val="lt-LT"/>
              </w:rPr>
            </w:pPr>
            <w:r>
              <w:rPr>
                <w:rFonts w:ascii="Arial Narrow" w:hAnsi="Arial Narrow" w:eastAsia="Calibri"/>
                <w:sz w:val="20"/>
                <w:lang w:val="lt-LT"/>
              </w:rPr>
              <w:t xml:space="preserve">Bandinių po šaldymo ir atšildymo ciklų bei referencinių bandinių (po 28 parų) gniuždomojo stiprio santykis ne mažiau kaip 0,7.</w:t>
            </w:r>
          </w:p>
        </w:tc>
        <w:tc>
          <w:tcPr>
            <w:tcW w:type="dxa" w:w="4484"/>
            <w:tcBorders/>
            <w:vAlign w:val="center"/>
          </w:tcPr>
          <w:p>
            <w:pPr>
              <w:spacing/>
              <w:rPr>
                <w:rFonts w:ascii="Arial Narrow" w:hAnsi="Arial Narrow" w:eastAsia="Calibri"/>
                <w:sz w:val="20"/>
                <w:lang w:val="lt-LT"/>
              </w:rPr>
            </w:pPr>
            <w:r>
              <w:rPr>
                <w:rFonts w:ascii="Arial Narrow" w:hAnsi="Arial Narrow" w:eastAsia="Calibri"/>
                <w:sz w:val="20"/>
                <w:lang w:val="lt-LT"/>
              </w:rPr>
              <w:t xml:space="preserve">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w:t>
            </w:r>
          </w:p>
          <w:p>
            <w:pPr>
              <w:spacing/>
              <w:rPr>
                <w:rFonts w:ascii="Arial Narrow" w:hAnsi="Arial Narrow" w:eastAsia="Calibri"/>
                <w:sz w:val="20"/>
                <w:lang w:val="lt-LT"/>
              </w:rPr>
            </w:pPr>
            <w:r>
              <w:rPr>
                <w:rFonts w:ascii="Arial Narrow" w:hAnsi="Arial Narrow" w:eastAsia="Calibri"/>
                <w:sz w:val="20"/>
                <w:lang w:val="lt-LT"/>
              </w:rPr>
              <w:t xml:space="preserve">Esant poreikiui, atliekant atsparumo šalčiui bandymus, šaldymo ciklus galima pradėti anksčiau nei po 14 parų, pavyzdžiui po 7 parų.</w:t>
            </w:r>
          </w:p>
        </w:tc>
      </w:tr>
      <w:tr>
        <w:trPr>
          <w:trHeight w:val="316" w:hRule="atLeast"/>
        </w:trPr>
        <w:tc>
          <w:tcPr>
            <w:tcW w:type="dxa" w:w="9345"/>
            <w:gridSpan w:val="3"/>
            <w:tcBorders/>
            <w:vAlign w:val="center"/>
          </w:tcPr>
          <w:p>
            <w:pPr>
              <w:keepNext/>
              <w:spacing/>
              <w:rPr>
                <w:rFonts w:ascii="Arial Narrow" w:hAnsi="Arial Narrow" w:eastAsia="Calibri"/>
                <w:b/>
                <w:bCs/>
                <w:sz w:val="20"/>
                <w:lang w:val="lt-LT"/>
              </w:rPr>
            </w:pPr>
            <w:r>
              <w:rPr>
                <w:rFonts w:ascii="Arial Narrow" w:hAnsi="Arial Narrow" w:eastAsia="Calibri"/>
                <w:b/>
                <w:bCs/>
                <w:sz w:val="20"/>
                <w:lang w:val="lt-LT"/>
              </w:rPr>
              <w:t xml:space="preserve">Įrengtas pagrindo sluoksnis</w:t>
            </w:r>
          </w:p>
        </w:tc>
      </w:tr>
      <w:tr>
        <w:trPr>
          <w:trHeight w:val="316" w:hRule="atLeast"/>
        </w:trPr>
        <w:tc>
          <w:tcPr>
            <w:tcW w:type="dxa" w:w="2359"/>
            <w:tcBorders/>
            <w:vAlign w:val="center"/>
          </w:tcPr>
          <w:p>
            <w:pPr>
              <w:spacing/>
              <w:jc w:val="center"/>
              <w:rPr>
                <w:rFonts w:ascii="Arial Narrow" w:hAnsi="Arial Narrow" w:eastAsia="Calibri"/>
                <w:sz w:val="20"/>
                <w:vertAlign w:val="subscript"/>
                <w:lang w:val="lt-LT"/>
              </w:rPr>
            </w:pPr>
            <w:r>
              <w:rPr>
                <w:rFonts w:ascii="Arial Narrow" w:hAnsi="Arial Narrow" w:eastAsia="Calibri"/>
                <w:sz w:val="20"/>
                <w:lang w:val="lt-LT"/>
              </w:rPr>
              <w:t xml:space="preserve">Deformacijos modulis E</w:t>
            </w:r>
            <w:r>
              <w:rPr>
                <w:rFonts w:ascii="Arial Narrow" w:hAnsi="Arial Narrow" w:eastAsia="Calibri"/>
                <w:sz w:val="20"/>
                <w:vertAlign w:val="subscript"/>
                <w:lang w:val="lt-LT"/>
              </w:rPr>
              <w:t xml:space="preserve">v2</w:t>
            </w:r>
          </w:p>
          <w:p>
            <w:pPr>
              <w:spacing/>
              <w:jc w:val="center"/>
              <w:rPr>
                <w:rFonts w:ascii="Arial Narrow" w:hAnsi="Arial Narrow" w:eastAsia="Calibri"/>
                <w:sz w:val="20"/>
                <w:lang w:val="lt-LT" w:eastAsia="lt-LT"/>
              </w:rPr>
            </w:pPr>
            <w:r>
              <w:rPr>
                <w:rFonts w:ascii="Arial Narrow" w:hAnsi="Arial Narrow" w:eastAsia="Calibri"/>
                <w:sz w:val="20"/>
                <w:lang w:val="lt-LT" w:eastAsia="lt-LT"/>
              </w:rPr>
              <w:t xml:space="preserve">arba</w:t>
            </w:r>
          </w:p>
          <w:p>
            <w:pPr>
              <w:spacing/>
              <w:jc w:val="center"/>
              <w:rPr>
                <w:rFonts w:ascii="Arial Narrow" w:hAnsi="Arial Narrow" w:eastAsia="Calibri"/>
                <w:sz w:val="20"/>
                <w:vertAlign w:val="subscript"/>
                <w:lang w:val="lt-LT"/>
              </w:rPr>
            </w:pPr>
            <w:r>
              <w:rPr>
                <w:rFonts w:ascii="Arial Narrow" w:hAnsi="Arial Narrow" w:eastAsia="Calibri"/>
                <w:sz w:val="20"/>
                <w:lang w:val="lt-LT"/>
              </w:rPr>
              <w:t xml:space="preserve">Ekvivalentinis standumo modulis E</w:t>
            </w:r>
            <w:r>
              <w:rPr>
                <w:rFonts w:ascii="Arial Narrow" w:hAnsi="Arial Narrow" w:eastAsia="Calibri"/>
                <w:sz w:val="20"/>
                <w:vertAlign w:val="subscript"/>
                <w:lang w:val="lt-LT"/>
              </w:rPr>
              <w:t xml:space="preserve">0</w:t>
            </w:r>
          </w:p>
        </w:tc>
        <w:tc>
          <w:tcPr>
            <w:tcW w:type="dxa" w:w="2502"/>
            <w:tcBorders/>
            <w:vAlign w:val="center"/>
          </w:tcPr>
          <w:p>
            <w:pPr>
              <w:spacing/>
              <w:jc w:val="center"/>
              <w:rPr>
                <w:rFonts w:ascii="Arial Narrow" w:hAnsi="Arial Narrow" w:eastAsia="Calibri"/>
                <w:sz w:val="20"/>
                <w:lang w:val="lt-LT"/>
              </w:rPr>
            </w:pPr>
            <w:r>
              <w:rPr>
                <w:rFonts w:ascii="Arial Narrow" w:hAnsi="Arial Narrow" w:eastAsia="Calibri"/>
                <w:sz w:val="20"/>
                <w:lang w:val="lt-LT"/>
              </w:rPr>
              <w:t xml:space="preserve">≥ 400 </w:t>
            </w:r>
            <w:r>
              <w:rPr>
                <w:rFonts w:ascii="Arial Narrow" w:hAnsi="Arial Narrow" w:eastAsia="Calibri"/>
                <w:sz w:val="20"/>
                <w:lang w:val="lt-LT"/>
              </w:rPr>
              <w:t xml:space="preserve">MPa</w:t>
            </w:r>
            <w:r>
              <w:rPr>
                <w:rFonts w:ascii="Arial Narrow" w:hAnsi="Arial Narrow" w:eastAsia="Calibri"/>
                <w:sz w:val="20"/>
                <w:lang w:val="lt-LT"/>
              </w:rPr>
              <w:br/>
            </w:r>
          </w:p>
          <w:p>
            <w:pPr>
              <w:spacing/>
              <w:jc w:val="center"/>
              <w:rPr>
                <w:rFonts w:ascii="Arial Narrow" w:hAnsi="Arial Narrow" w:eastAsia="Calibri"/>
                <w:sz w:val="20"/>
                <w:lang w:val="lt-LT"/>
              </w:rPr>
            </w:pPr>
          </w:p>
          <w:p>
            <w:pPr>
              <w:spacing/>
              <w:jc w:val="center"/>
              <w:rPr>
                <w:rFonts w:ascii="Arial Narrow" w:hAnsi="Arial Narrow" w:eastAsia="Calibri"/>
                <w:sz w:val="20"/>
                <w:lang w:val="lt-LT"/>
              </w:rPr>
            </w:pPr>
            <w:r>
              <w:rPr>
                <w:rFonts w:ascii="Arial Narrow" w:hAnsi="Arial Narrow" w:eastAsia="Calibri"/>
                <w:sz w:val="20"/>
                <w:lang w:val="lt-LT"/>
              </w:rPr>
              <w:t xml:space="preserve">≥ 500 </w:t>
            </w:r>
            <w:r>
              <w:rPr>
                <w:rFonts w:ascii="Arial Narrow" w:hAnsi="Arial Narrow" w:eastAsia="Calibri"/>
                <w:sz w:val="20"/>
                <w:lang w:val="lt-LT"/>
              </w:rPr>
              <w:t xml:space="preserve">MPa</w:t>
            </w:r>
          </w:p>
        </w:tc>
        <w:tc>
          <w:tcPr>
            <w:tcW w:type="dxa" w:w="4484"/>
            <w:tcBorders/>
            <w:vAlign w:val="center"/>
          </w:tcPr>
          <w:p>
            <w:pPr>
              <w:keepNext/>
              <w:spacing/>
              <w:rPr>
                <w:rFonts w:ascii="Arial Narrow" w:hAnsi="Arial Narrow" w:eastAsia="Calibri"/>
                <w:sz w:val="20"/>
                <w:lang w:val="lt-LT"/>
              </w:rPr>
            </w:pPr>
            <w:r>
              <w:rPr>
                <w:rFonts w:ascii="Arial Narrow" w:hAnsi="Arial Narrow" w:eastAsia="Calibri"/>
                <w:sz w:val="20"/>
                <w:lang w:val="lt-LT"/>
              </w:rPr>
              <w:t xml:space="preserve">Deformacijos modulis nustatytas antruoju apkrovimo ciklu spaudžiant sluoksnį štampu pagal LST 1360-5.</w:t>
            </w:r>
          </w:p>
          <w:p>
            <w:pPr>
              <w:keepNext/>
              <w:spacing/>
              <w:jc w:val="center"/>
              <w:rPr>
                <w:rFonts w:ascii="Arial Narrow" w:hAnsi="Arial Narrow" w:eastAsia="Calibri"/>
                <w:sz w:val="20"/>
                <w:lang w:val="lt-LT"/>
              </w:rPr>
            </w:pPr>
          </w:p>
          <w:p>
            <w:pPr>
              <w:keepNext/>
              <w:spacing/>
              <w:rPr>
                <w:rFonts w:ascii="Arial Narrow" w:hAnsi="Arial Narrow" w:eastAsia="Calibri"/>
                <w:sz w:val="20"/>
                <w:lang w:val="lt-LT"/>
              </w:rPr>
            </w:pPr>
            <w:r>
              <w:rPr>
                <w:rFonts w:ascii="Arial Narrow" w:hAnsi="Arial Narrow" w:eastAsia="Calibri"/>
                <w:sz w:val="20"/>
                <w:lang w:val="lt-LT"/>
              </w:rPr>
              <w:t xml:space="preserve">Ekvivalentinis standumo modulis išmatuotas su FWD arba lygiaverčiu įrenginiu.</w:t>
            </w:r>
          </w:p>
        </w:tc>
      </w:tr>
      <w:tr>
        <w:trPr>
          <w:trHeight w:val="1380" w:hRule="atLeast"/>
        </w:trPr>
        <w:tc>
          <w:tcPr>
            <w:tcW w:type="dxa" w:w="2359"/>
            <w:tcBorders/>
            <w:vAlign w:val="center"/>
          </w:tcPr>
          <w:p>
            <w:pPr>
              <w:spacing/>
              <w:jc w:val="center"/>
              <w:rPr>
                <w:rFonts w:ascii="Arial Narrow" w:hAnsi="Arial Narrow" w:eastAsia="Calibri"/>
                <w:sz w:val="20"/>
                <w:vertAlign w:val="superscript"/>
                <w:lang w:val="lt-LT" w:eastAsia="lt-LT"/>
              </w:rPr>
            </w:pPr>
            <w:r>
              <w:rPr>
                <w:rFonts w:ascii="Arial Narrow" w:hAnsi="Arial Narrow" w:eastAsia="Calibri"/>
                <w:sz w:val="20"/>
                <w:lang w:val="lt-LT"/>
              </w:rPr>
              <w:t xml:space="preserve">Deformacijos modulio </w:t>
            </w:r>
            <w:r>
              <w:rPr>
                <w:rFonts w:ascii="Arial Narrow" w:hAnsi="Arial Narrow" w:eastAsia="Calibri"/>
                <w:sz w:val="20"/>
                <w:lang w:val="lt-LT" w:eastAsia="lt-LT"/>
              </w:rPr>
              <w:t xml:space="preserve">E</w:t>
            </w:r>
            <w:r>
              <w:rPr>
                <w:rFonts w:ascii="Arial Narrow" w:hAnsi="Arial Narrow" w:eastAsia="Calibri"/>
                <w:sz w:val="20"/>
                <w:vertAlign w:val="subscript"/>
                <w:lang w:val="lt-LT" w:eastAsia="lt-LT"/>
              </w:rPr>
              <w:t xml:space="preserve">v2</w:t>
            </w:r>
            <w:r>
              <w:rPr>
                <w:rFonts w:ascii="Arial Narrow" w:hAnsi="Arial Narrow" w:eastAsia="Calibri"/>
                <w:sz w:val="20"/>
                <w:lang w:val="lt-LT" w:eastAsia="lt-LT"/>
              </w:rPr>
              <w:t xml:space="preserve">/E</w:t>
            </w:r>
            <w:r>
              <w:rPr>
                <w:rFonts w:ascii="Arial Narrow" w:hAnsi="Arial Narrow" w:eastAsia="Calibri"/>
                <w:sz w:val="20"/>
                <w:vertAlign w:val="subscript"/>
                <w:lang w:val="lt-LT" w:eastAsia="lt-LT"/>
              </w:rPr>
              <w:t xml:space="preserve">v1 </w:t>
            </w:r>
            <w:r>
              <w:rPr>
                <w:rFonts w:ascii="Arial Narrow" w:hAnsi="Arial Narrow" w:eastAsia="Calibri"/>
                <w:sz w:val="20"/>
                <w:lang w:val="lt-LT" w:eastAsia="lt-LT"/>
              </w:rPr>
              <w:t xml:space="preserve">santykis</w:t>
            </w:r>
            <w:r>
              <w:rPr>
                <w:rFonts w:ascii="Arial Narrow" w:hAnsi="Arial Narrow" w:eastAsia="Calibri"/>
                <w:sz w:val="20"/>
                <w:vertAlign w:val="superscript"/>
                <w:lang w:val="lt-LT" w:eastAsia="lt-LT"/>
              </w:rPr>
              <w:t xml:space="preserve"> 3)</w:t>
            </w:r>
          </w:p>
          <w:p>
            <w:pPr>
              <w:spacing/>
              <w:jc w:val="center"/>
              <w:rPr>
                <w:rFonts w:ascii="Arial Narrow" w:hAnsi="Arial Narrow" w:eastAsia="Calibri"/>
                <w:sz w:val="20"/>
                <w:lang w:val="lt-LT" w:eastAsia="lt-LT"/>
              </w:rPr>
            </w:pPr>
            <w:r>
              <w:rPr>
                <w:rFonts w:ascii="Arial Narrow" w:hAnsi="Arial Narrow" w:eastAsia="Calibri"/>
                <w:sz w:val="20"/>
                <w:lang w:val="lt-LT" w:eastAsia="lt-LT"/>
              </w:rPr>
              <w:t xml:space="preserve">arba</w:t>
            </w:r>
          </w:p>
          <w:p>
            <w:pPr>
              <w:spacing/>
              <w:jc w:val="center"/>
              <w:rPr>
                <w:rFonts w:ascii="Arial Narrow" w:hAnsi="Arial Narrow" w:eastAsia="Calibri"/>
                <w:sz w:val="20"/>
                <w:vertAlign w:val="superscript"/>
                <w:lang w:val="lt-LT"/>
              </w:rPr>
            </w:pPr>
            <w:r>
              <w:rPr>
                <w:rFonts w:ascii="Arial Narrow" w:hAnsi="Arial Narrow" w:eastAsia="Calibri"/>
                <w:sz w:val="20"/>
                <w:lang w:val="lt-LT"/>
              </w:rPr>
              <w:t xml:space="preserve">Sutankinimo laipsnis D</w:t>
            </w:r>
            <w:r>
              <w:rPr>
                <w:rFonts w:ascii="Arial Narrow" w:hAnsi="Arial Narrow" w:eastAsia="Calibri"/>
                <w:sz w:val="20"/>
                <w:vertAlign w:val="subscript"/>
                <w:lang w:val="lt-LT"/>
              </w:rPr>
              <w:t xml:space="preserve">Pr</w:t>
            </w:r>
            <w:r>
              <w:rPr>
                <w:rFonts w:ascii="Arial Narrow" w:hAnsi="Arial Narrow" w:eastAsia="Calibri"/>
                <w:sz w:val="20"/>
                <w:vertAlign w:val="superscript"/>
                <w:lang w:val="lt-LT"/>
              </w:rPr>
              <w:t xml:space="preserve">3)</w:t>
            </w:r>
          </w:p>
        </w:tc>
        <w:tc>
          <w:tcPr>
            <w:tcW w:type="dxa" w:w="2502"/>
            <w:tcBorders/>
            <w:vAlign w:val="center"/>
          </w:tcPr>
          <w:p>
            <w:pPr>
              <w:spacing/>
              <w:rPr>
                <w:rFonts w:ascii="Arial Narrow" w:hAnsi="Arial Narrow" w:eastAsia="Calibri"/>
                <w:sz w:val="20"/>
                <w:lang w:val="lt-LT" w:eastAsia="lt-LT"/>
              </w:rPr>
            </w:pPr>
          </w:p>
          <w:p>
            <w:pPr>
              <w:spacing/>
              <w:jc w:val="center"/>
              <w:rPr>
                <w:rFonts w:ascii="Arial Narrow" w:hAnsi="Arial Narrow" w:eastAsia="Calibri"/>
                <w:sz w:val="20"/>
                <w:vertAlign w:val="superscript"/>
                <w:lang w:val="lt-LT" w:eastAsia="lt-LT"/>
              </w:rPr>
            </w:pPr>
            <w:r>
              <w:rPr>
                <w:rFonts w:ascii="Arial Narrow" w:hAnsi="Arial Narrow" w:eastAsia="Calibri"/>
                <w:sz w:val="20"/>
                <w:lang w:val="lt-LT" w:eastAsia="lt-LT"/>
              </w:rPr>
              <w:t xml:space="preserve">≤ 2,3</w:t>
            </w:r>
          </w:p>
          <w:p>
            <w:pPr>
              <w:spacing/>
              <w:jc w:val="center"/>
              <w:rPr>
                <w:rFonts w:ascii="Arial Narrow" w:hAnsi="Arial Narrow" w:eastAsia="Calibri"/>
                <w:sz w:val="20"/>
                <w:lang w:val="lt-LT"/>
              </w:rPr>
            </w:pPr>
          </w:p>
          <w:p>
            <w:pPr>
              <w:spacing/>
              <w:jc w:val="center"/>
              <w:rPr>
                <w:rFonts w:ascii="Arial Narrow" w:hAnsi="Arial Narrow" w:eastAsia="Calibri"/>
                <w:sz w:val="20"/>
                <w:vertAlign w:val="superscript"/>
                <w:lang w:val="lt-LT"/>
              </w:rPr>
            </w:pPr>
            <w:r>
              <w:rPr>
                <w:rFonts w:ascii="Arial Narrow" w:hAnsi="Arial Narrow" w:eastAsia="Calibri"/>
                <w:sz w:val="20"/>
                <w:lang w:val="lt-LT"/>
              </w:rPr>
              <w:t xml:space="preserve">≥ 100 %</w:t>
            </w:r>
          </w:p>
        </w:tc>
        <w:tc>
          <w:tcPr>
            <w:tcW w:type="dxa" w:w="4484"/>
            <w:tcBorders/>
            <w:vAlign w:val="center"/>
          </w:tcPr>
          <w:p>
            <w:pPr>
              <w:keepNext/>
              <w:spacing/>
              <w:jc w:val="center"/>
              <w:rPr>
                <w:rFonts w:ascii="Arial Narrow" w:hAnsi="Arial Narrow" w:eastAsia="Calibri"/>
                <w:sz w:val="20"/>
                <w:lang w:val="lt-LT"/>
              </w:rPr>
            </w:pPr>
            <w:r>
              <w:rPr>
                <w:rFonts w:ascii="Arial Narrow" w:hAnsi="Arial Narrow" w:eastAsia="Calibri"/>
                <w:sz w:val="20"/>
                <w:lang w:val="lt-LT"/>
              </w:rPr>
              <w:t xml:space="preserve">-</w:t>
            </w:r>
          </w:p>
        </w:tc>
      </w:tr>
      <w:tr>
        <w:trPr>
          <w:trHeight w:val="437" w:hRule="atLeast"/>
        </w:trPr>
        <w:tc>
          <w:tcPr>
            <w:tcW w:type="dxa" w:w="9345"/>
            <w:gridSpan w:val="3"/>
            <w:tcBorders/>
            <w:vAlign w:val="center"/>
          </w:tcPr>
          <w:p>
            <w:pPr>
              <w:spacing/>
              <w:contextualSpacing/>
              <w:rPr>
                <w:rFonts w:ascii="Arial Narrow" w:hAnsi="Arial Narrow" w:eastAsia="Calibri"/>
                <w:sz w:val="20"/>
                <w:lang w:val="lt-LT" w:eastAsia="lt-LT"/>
              </w:rPr>
            </w:pPr>
            <w:r>
              <w:rPr>
                <w:rFonts w:ascii="Arial Narrow" w:hAnsi="Arial Narrow" w:eastAsia="Calibri"/>
                <w:sz w:val="20"/>
                <w:vertAlign w:val="superscript"/>
                <w:lang w:val="lt-LT" w:eastAsia="lt-LT"/>
              </w:rPr>
              <w:t xml:space="preserve">1) </w:t>
            </w:r>
            <w:r>
              <w:rPr>
                <w:rFonts w:ascii="Arial Narrow" w:hAnsi="Arial Narrow" w:eastAsia="Calibri"/>
                <w:sz w:val="20"/>
                <w:lang w:val="lt-LT" w:eastAsia="lt-LT"/>
              </w:rPr>
              <w:t xml:space="preserve">Rangovui turint patirtį, suformuoti bandiniai gali būti bandomi po 7 parų. Pasiekus 90 % projektinės gniuždomojo stiprio vertės yra laikoma, kad po 28 parų bus pasiektas projektinis gniuždomasis stipris.</w:t>
            </w:r>
          </w:p>
          <w:p>
            <w:pPr>
              <w:spacing/>
              <w:contextualSpacing/>
              <w:rPr>
                <w:rFonts w:ascii="Arial Narrow" w:hAnsi="Arial Narrow" w:eastAsia="Calibri"/>
                <w:sz w:val="20"/>
                <w:lang w:val="lt-LT" w:eastAsia="lt-LT"/>
              </w:rPr>
            </w:pPr>
            <w:r>
              <w:rPr>
                <w:rFonts w:ascii="Arial Narrow" w:hAnsi="Arial Narrow" w:eastAsia="Calibri"/>
                <w:sz w:val="20"/>
                <w:vertAlign w:val="superscript"/>
                <w:lang w:val="lt-LT" w:eastAsia="lt-LT"/>
              </w:rPr>
              <w:t xml:space="preserve">2)</w:t>
            </w:r>
            <w:r>
              <w:rPr>
                <w:rFonts w:ascii="Arial Narrow" w:hAnsi="Arial Narrow" w:eastAsia="Calibri"/>
                <w:sz w:val="20"/>
                <w:lang w:val="lt-LT" w:eastAsia="lt-LT"/>
              </w:rPr>
              <w:t xml:space="preserve"> </w:t>
            </w:r>
            <w:r>
              <w:rPr>
                <w:rFonts w:ascii="Arial Narrow" w:hAnsi="Arial Narrow"/>
                <w:sz w:val="20"/>
                <w:lang w:val="lt-LT"/>
              </w:rPr>
              <w:t xml:space="preserve">Gniuždomajam stipriui, nustatytam iš darbų atlikimo metu suformuotų bandinių, taikomas -10 % </w:t>
            </w:r>
            <w:r>
              <w:rPr>
                <w:rFonts w:ascii="Arial Narrow" w:hAnsi="Arial Narrow"/>
                <w:sz w:val="20"/>
                <w:lang w:val="lt-LT"/>
              </w:rPr>
              <w:t xml:space="preserve">leistinasis</w:t>
            </w:r>
            <w:r>
              <w:rPr>
                <w:rFonts w:ascii="Arial Narrow" w:hAnsi="Arial Narrow"/>
                <w:sz w:val="20"/>
                <w:lang w:val="lt-LT"/>
              </w:rPr>
              <w:t xml:space="preserve"> nuokrypis.</w:t>
            </w:r>
          </w:p>
          <w:p>
            <w:pPr>
              <w:spacing/>
              <w:contextualSpacing/>
              <w:rPr>
                <w:rFonts w:ascii="Arial Narrow" w:hAnsi="Arial Narrow" w:eastAsia="Calibri"/>
                <w:sz w:val="20"/>
                <w:lang w:val="lt-LT" w:eastAsia="lt-LT"/>
              </w:rPr>
            </w:pPr>
            <w:r>
              <w:rPr>
                <w:rFonts w:ascii="Arial Narrow" w:hAnsi="Arial Narrow" w:eastAsia="Calibri"/>
                <w:sz w:val="20"/>
                <w:vertAlign w:val="superscript"/>
                <w:lang w:val="lt-LT" w:eastAsia="lt-LT"/>
              </w:rPr>
              <w:t xml:space="preserve">3)</w:t>
            </w:r>
            <w:r>
              <w:rPr>
                <w:rFonts w:ascii="Arial Narrow" w:hAnsi="Arial Narrow" w:eastAsia="Calibri"/>
                <w:sz w:val="20"/>
                <w:lang w:val="lt-LT" w:eastAsia="lt-LT"/>
              </w:rPr>
              <w:t xml:space="preserve"> Matavimai atliekami iki medžiagų rišimosi pradžios, iškarto užbaigus tankinimą.</w:t>
            </w:r>
          </w:p>
        </w:tc>
      </w:tr>
    </w:tbl>
    <w:p w14:paraId="756452D8">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756452D9">
      <w:pPr>
        <w:pStyle w:val="Bodytext1"/>
        <w:numPr>
          <w:ilvl w:val="2"/>
          <w:numId w:val="1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Atliekant CTB sluoksnio įrengimo darbus turi būti laikomasi MN AGPS 25 reikalavimų.</w:t>
      </w:r>
    </w:p>
    <w:p w14:paraId="756452DA">
      <w:pPr>
        <w:pStyle w:val="Bodytext1"/>
        <w:numPr>
          <w:ilvl w:val="2"/>
          <w:numId w:val="1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Įrengiant CTB įpjovos yra privalomos, kai asfalto sluoksnių bendrasis storis virš CTB yra ≤ 16 cm ir tinkamumo bandymais nustatytas reikalingas grunto ir rišiklio mišinio gniuždomasis stipris yra ≥ 6 </w:t>
      </w:r>
      <w:r>
        <w:rPr>
          <w:rFonts w:ascii="Arial Narrow" w:hAnsi="Arial Narrow"/>
          <w:sz w:val="20"/>
          <w:szCs w:val="20"/>
        </w:rPr>
        <w:t xml:space="preserve">MPa</w:t>
      </w:r>
      <w:r>
        <w:rPr>
          <w:rFonts w:ascii="Arial Narrow" w:hAnsi="Arial Narrow"/>
          <w:sz w:val="20"/>
          <w:szCs w:val="20"/>
        </w:rPr>
        <w:t xml:space="preserve">. Įpjovų gylis turi būti ne mažesnis kaip 1/3 CTB sluoksnio storio, o atstumas tarp įpjovų turi būti ne didesnis kaip:</w:t>
      </w:r>
    </w:p>
    <w:p w14:paraId="756452DB">
      <w:pPr>
        <w:pStyle w:val="Bodytext1"/>
        <w:tabs>
          <w:tab w:val="left" w:pos="1134"/>
        </w:tabs>
        <w:spacing w:before="0" w:after="0" w:line="240" w:lineRule="auto"/>
        <w:ind w:left="567" w:firstLine="0"/>
        <w:rPr>
          <w:rFonts w:ascii="Arial Narrow" w:hAnsi="Arial Narrow"/>
          <w:sz w:val="20"/>
          <w:szCs w:val="20"/>
        </w:rPr>
      </w:pPr>
      <w:r>
        <w:rPr>
          <w:rFonts w:ascii="Arial Narrow" w:hAnsi="Arial Narrow"/>
          <w:sz w:val="20"/>
          <w:szCs w:val="20"/>
        </w:rPr>
        <w:t xml:space="preserve">– 4,0 m, kuomet CTB sluoksnio storis 30 cm;</w:t>
      </w:r>
    </w:p>
    <w:p w14:paraId="756452DC">
      <w:pPr>
        <w:pStyle w:val="Bodytext1"/>
        <w:shd w:val="clear" w:color="auto" w:fill="auto"/>
        <w:tabs>
          <w:tab w:val="left" w:pos="1134"/>
        </w:tabs>
        <w:spacing w:before="0" w:after="0" w:line="240" w:lineRule="auto"/>
        <w:ind w:left="567" w:firstLine="0"/>
        <w:jc w:val="both"/>
        <w:rPr>
          <w:rFonts w:ascii="Arial Narrow" w:hAnsi="Arial Narrow"/>
          <w:sz w:val="20"/>
          <w:szCs w:val="20"/>
        </w:rPr>
      </w:pPr>
      <w:r>
        <w:rPr>
          <w:rFonts w:ascii="Arial Narrow" w:hAnsi="Arial Narrow"/>
          <w:sz w:val="20"/>
          <w:szCs w:val="20"/>
        </w:rPr>
        <w:t xml:space="preserve">– 4,5 m, kuomet CTB sluoksnio storis 35 cm.</w:t>
      </w:r>
    </w:p>
    <w:p w14:paraId="756452DD">
      <w:pPr>
        <w:pStyle w:val="Bodytext1"/>
        <w:numPr>
          <w:ilvl w:val="2"/>
          <w:numId w:val="1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Darbų kontrolė ir bandymai turi atitikti MN AGPS 25 reikalavimus. Reikalavimai CTB sluoksnio įrengimo kontrolei:</w:t>
      </w:r>
    </w:p>
    <w:tbl>
      <w:tblPr>
        <w:tblW w:w="95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70" w:type="dxa"/>
          <w:right w:w="70" w:type="dxa"/>
        </w:tblCellMar>
        <w:tblLook w:val="04A0" w:firstRow="1" w:lastRow="0" w:firstColumn="1" w:lastColumn="0" w:noHBand="0" w:noVBand="1"/>
      </w:tblPr>
      <w:tblGrid>
        <w:gridCol w:w="704"/>
        <w:gridCol w:w="3119"/>
        <w:gridCol w:w="2693"/>
        <w:gridCol w:w="3052"/>
      </w:tblGrid>
      <w:tr>
        <w:trPr>
          <w:trHeight w:val="672" w:hRule="atLeast"/>
          <w:tblHeader/>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0"/>
              </w:tabs>
              <w:spacing/>
              <w:jc w:val="center"/>
              <w:rPr>
                <w:rFonts w:ascii="Arial Narrow" w:hAnsi="Arial Narrow"/>
                <w:b/>
                <w:bCs/>
                <w:color w:val="000000"/>
                <w:sz w:val="20"/>
                <w:lang w:eastAsia="de-DE"/>
              </w:rPr>
            </w:pPr>
            <w:r>
              <w:rPr>
                <w:rFonts w:ascii="Arial Narrow" w:hAnsi="Arial Narrow"/>
                <w:b/>
                <w:bCs/>
                <w:color w:val="000000"/>
                <w:sz w:val="20"/>
                <w:lang w:eastAsia="de-DE"/>
              </w:rPr>
              <w:t xml:space="preserve">Eil.</w:t>
            </w:r>
          </w:p>
          <w:p>
            <w:pPr>
              <w:pBdr>
                <w:right w:val="single" w:color="auto" w:sz="18" w:space="4"/>
              </w:pBdr>
              <w:tabs>
                <w:tab w:val="left" w:pos="0"/>
              </w:tabs>
              <w:spacing/>
              <w:jc w:val="center"/>
              <w:rPr>
                <w:rFonts w:ascii="Arial Narrow" w:hAnsi="Arial Narrow"/>
                <w:b/>
                <w:bCs/>
                <w:color w:val="000000"/>
                <w:sz w:val="20"/>
                <w:lang w:eastAsia="de-DE"/>
              </w:rPr>
            </w:pPr>
            <w:r>
              <w:rPr>
                <w:rFonts w:ascii="Arial Narrow" w:hAnsi="Arial Narrow"/>
                <w:b/>
                <w:bCs/>
                <w:color w:val="000000"/>
                <w:sz w:val="20"/>
                <w:lang w:eastAsia="de-DE"/>
              </w:rPr>
              <w:t xml:space="preserve">Nr.</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0"/>
              </w:tabs>
              <w:spacing/>
              <w:jc w:val="center"/>
              <w:rPr>
                <w:rFonts w:ascii="Arial Narrow" w:hAnsi="Arial Narrow"/>
                <w:b/>
                <w:bCs/>
                <w:color w:val="000000"/>
                <w:sz w:val="20"/>
                <w:lang w:eastAsia="de-DE"/>
              </w:rPr>
            </w:pPr>
            <w:r>
              <w:rPr>
                <w:rFonts w:ascii="Arial Narrow" w:hAnsi="Arial Narrow"/>
                <w:b/>
                <w:bCs/>
                <w:color w:val="000000"/>
                <w:sz w:val="20"/>
                <w:lang w:eastAsia="de-DE"/>
              </w:rPr>
              <w:t xml:space="preserve">Charakteristikos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0"/>
              </w:tabs>
              <w:spacing/>
              <w:jc w:val="center"/>
              <w:rPr>
                <w:rFonts w:ascii="Arial Narrow" w:hAnsi="Arial Narrow"/>
                <w:b/>
                <w:bCs/>
                <w:color w:val="000000"/>
                <w:sz w:val="20"/>
                <w:lang w:eastAsia="de-DE"/>
              </w:rPr>
            </w:pPr>
            <w:r>
              <w:rPr>
                <w:rFonts w:ascii="Arial Narrow" w:hAnsi="Arial Narrow"/>
                <w:b/>
                <w:bCs/>
                <w:color w:val="000000"/>
                <w:sz w:val="20"/>
                <w:lang w:eastAsia="de-DE"/>
              </w:rPr>
              <w:t xml:space="preserve">Vidinės kontrolės bandymai</w:t>
            </w:r>
          </w:p>
        </w:tc>
        <w:tc>
          <w:tcPr>
            <w:tcW w:type="dxa" w:w="3052"/>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0"/>
              </w:tabs>
              <w:spacing/>
              <w:jc w:val="center"/>
              <w:rPr>
                <w:rFonts w:ascii="Arial Narrow" w:hAnsi="Arial Narrow"/>
                <w:b/>
                <w:bCs/>
                <w:color w:val="000000"/>
                <w:sz w:val="20"/>
                <w:lang w:eastAsia="de-DE"/>
              </w:rPr>
            </w:pPr>
            <w:r>
              <w:rPr>
                <w:rFonts w:ascii="Arial Narrow" w:hAnsi="Arial Narrow"/>
                <w:b/>
                <w:bCs/>
                <w:color w:val="000000"/>
                <w:sz w:val="20"/>
                <w:lang w:eastAsia="de-DE"/>
              </w:rPr>
              <w:t xml:space="preserve">Kontroliniai bandymai</w:t>
            </w: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1.</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rPr>
                <w:rFonts w:ascii="Arial Narrow" w:hAnsi="Arial Narrow"/>
                <w:b/>
                <w:bCs/>
                <w:color w:val="000000"/>
                <w:sz w:val="20"/>
                <w:lang w:eastAsia="de-DE"/>
              </w:rPr>
            </w:pPr>
            <w:r>
              <w:rPr>
                <w:rFonts w:ascii="Arial Narrow" w:hAnsi="Arial Narrow"/>
                <w:b/>
                <w:bCs/>
                <w:color w:val="000000"/>
                <w:sz w:val="20"/>
                <w:lang w:eastAsia="de-DE"/>
              </w:rPr>
              <w:t xml:space="preserve">Rišiklis</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p>
        </w:tc>
      </w:tr>
      <w:tr>
        <w:trPr>
          <w:trHeight w:val="359" w:hRule="atLeast"/>
          <w:jc w:val="center"/>
        </w:trPr>
        <w:tc>
          <w:tcPr>
            <w:tcW w:type="dxa" w:w="704"/>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1.1</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Tiekiamo rišiklio atitiktis sutarties sąlygoms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Kiekvienai tiekiamai partijai</w:t>
            </w:r>
          </w:p>
        </w:tc>
        <w:tc>
          <w:tcPr>
            <w:tcW w:type="dxa" w:w="3052"/>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Kylant abejonei dėl kokybės ar rezultatų</w:t>
            </w:r>
          </w:p>
        </w:tc>
      </w:tr>
      <w:tr>
        <w:trPr>
          <w:trHeight w:val="359" w:hRule="atLeast"/>
          <w:jc w:val="center"/>
        </w:trPr>
        <w:tc>
          <w:tcPr>
            <w:tcW w:type="dxa" w:w="704"/>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1.2</w:t>
            </w:r>
          </w:p>
        </w:tc>
        <w:tc>
          <w:tcPr>
            <w:tcW w:type="dxa" w:w="3119"/>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Tiekiamo priedo atitiktis sutarties sąlygoms</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Kylant abejonei dėl kokybės ar rezultatų</w:t>
            </w: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Kylant abejonei dėl kokybės ar rezultatų</w:t>
            </w:r>
          </w:p>
        </w:tc>
      </w:tr>
      <w:tr>
        <w:trPr>
          <w:trHeight w:val="359" w:hRule="atLeast"/>
          <w:jc w:val="center"/>
        </w:trPr>
        <w:tc>
          <w:tcPr>
            <w:tcW w:type="dxa" w:w="704"/>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1.3</w:t>
            </w:r>
          </w:p>
        </w:tc>
        <w:tc>
          <w:tcPr>
            <w:tcW w:type="dxa" w:w="3119"/>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Tiekiamo priedo tankis</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Kiekvienai tiekiamai partijai</w:t>
            </w: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Kylant abejonei dėl kokybės ar rezultatų</w:t>
            </w: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2.</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1296"/>
              </w:tabs>
              <w:spacing/>
              <w:ind w:left="357" w:hanging="357"/>
              <w:rPr>
                <w:rFonts w:ascii="Arial Narrow" w:hAnsi="Arial Narrow"/>
                <w:b/>
                <w:color w:val="000000"/>
                <w:sz w:val="20"/>
                <w:lang w:eastAsia="de-DE"/>
              </w:rPr>
            </w:pPr>
            <w:r>
              <w:rPr>
                <w:rFonts w:ascii="Arial Narrow" w:hAnsi="Arial Narrow"/>
                <w:b/>
                <w:color w:val="000000"/>
                <w:sz w:val="20"/>
                <w:lang w:eastAsia="de-DE"/>
              </w:rPr>
              <w:t xml:space="preserve">Gruntai</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p>
        </w:tc>
      </w:tr>
      <w:tr>
        <w:trPr>
          <w:trHeight w:val="35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2.1</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Granuliometrinė sudėtis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350 m ir kiekvieniems 4500 m</w:t>
            </w:r>
            <w:r>
              <w:rPr>
                <w:rFonts w:ascii="Arial Narrow" w:hAnsi="Arial Narrow"/>
                <w:sz w:val="20"/>
                <w:vertAlign w:val="superscript"/>
                <w:lang w:eastAsia="de-DE"/>
              </w:rPr>
              <w:t xml:space="preserve">2</w:t>
            </w:r>
          </w:p>
        </w:tc>
        <w:tc>
          <w:tcPr>
            <w:tcW w:type="dxa" w:w="3052"/>
            <w:vMerge w:val="restart"/>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Kylant abejonei dėl kokybės ar rezultatų</w:t>
            </w: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2.2</w:t>
            </w:r>
          </w:p>
        </w:tc>
        <w:tc>
          <w:tcPr>
            <w:tcW w:type="dxa" w:w="3119"/>
            <w:tcBorders>
              <w:top w:val="single" w:color="auto" w:sz="4" w:space="0"/>
              <w:left w:val="single" w:color="auto" w:sz="4" w:space="0"/>
              <w:bottom w:val="single" w:color="auto" w:sz="4" w:space="0"/>
              <w:right w:val="single" w:color="auto" w:sz="4" w:space="0"/>
            </w:tcBorders>
            <w:hideMark/>
            <w:vAlign w:val="center"/>
          </w:tcPr>
          <w:p>
            <w:pP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Takumo ir plastiškumo ribos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pagal poreikį</w:t>
            </w:r>
          </w:p>
        </w:tc>
        <w:tc>
          <w:tcPr>
            <w:tcW w:type="dxa" w:w="3052"/>
            <w:vMerge w:val="continue"/>
            <w:tcBorders>
              <w:top w:val="single" w:color="auto" w:sz="4" w:space="0"/>
              <w:left w:val="single" w:color="auto" w:sz="4" w:space="0"/>
              <w:bottom w:val="single" w:color="auto" w:sz="4" w:space="0"/>
              <w:right w:val="single" w:color="auto" w:sz="4" w:space="0"/>
            </w:tcBorders>
            <w:hideMark/>
            <w:vAlign w:val="center"/>
          </w:tcPr>
          <w:p>
            <w:pPr>
              <w:spacing/>
              <w:jc w:val="center"/>
              <w:rPr>
                <w:rFonts w:ascii="Arial Narrow" w:hAnsi="Arial Narrow"/>
                <w:color w:val="000000"/>
                <w:sz w:val="20"/>
                <w:lang w:eastAsia="de-DE"/>
              </w:rPr>
            </w:pPr>
          </w:p>
        </w:tc>
      </w:tr>
      <w:tr>
        <w:trPr>
          <w:trHeight w:val="371"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2.3</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Organinės sudėtinės dalys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350 m ir kiekvieniems 4500 m</w:t>
            </w:r>
            <w:r>
              <w:rPr>
                <w:rFonts w:ascii="Arial Narrow" w:hAnsi="Arial Narrow"/>
                <w:sz w:val="20"/>
                <w:vertAlign w:val="superscript"/>
                <w:lang w:eastAsia="de-DE"/>
              </w:rPr>
              <w:t xml:space="preserve">2</w:t>
            </w:r>
            <w:r>
              <w:rPr>
                <w:rFonts w:ascii="Arial Narrow" w:hAnsi="Arial Narrow"/>
                <w:sz w:val="20"/>
                <w:lang w:eastAsia="de-DE"/>
              </w:rPr>
              <w:t xml:space="preserve">, kai apžiūrimuoju vertinimu nustatomas jų egzistavimas</w:t>
            </w:r>
          </w:p>
        </w:tc>
        <w:tc>
          <w:tcPr>
            <w:tcW w:type="dxa" w:w="3052"/>
            <w:vMerge w:val="continue"/>
            <w:tcBorders>
              <w:top w:val="single" w:color="auto" w:sz="4" w:space="0"/>
              <w:left w:val="single" w:color="auto" w:sz="4" w:space="0"/>
              <w:bottom w:val="single" w:color="auto" w:sz="4" w:space="0"/>
              <w:right w:val="single" w:color="auto" w:sz="4" w:space="0"/>
            </w:tcBorders>
            <w:hideMark/>
            <w:vAlign w:val="center"/>
          </w:tcPr>
          <w:p>
            <w:pPr>
              <w:spacing/>
              <w:jc w:val="center"/>
              <w:rPr>
                <w:rFonts w:ascii="Arial Narrow" w:hAnsi="Arial Narrow"/>
                <w:color w:val="000000"/>
                <w:sz w:val="20"/>
                <w:lang w:eastAsia="de-DE"/>
              </w:rPr>
            </w:pP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2.4</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Vandens kiekis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200 m ir kiekvieniems 2500 m</w:t>
            </w:r>
            <w:r>
              <w:rPr>
                <w:rFonts w:ascii="Arial Narrow" w:hAnsi="Arial Narrow"/>
                <w:sz w:val="20"/>
                <w:vertAlign w:val="superscript"/>
                <w:lang w:eastAsia="de-DE"/>
              </w:rPr>
              <w:t xml:space="preserve">2</w:t>
            </w:r>
          </w:p>
        </w:tc>
        <w:tc>
          <w:tcPr>
            <w:tcW w:type="dxa" w:w="3052"/>
            <w:vMerge w:val="continue"/>
            <w:tcBorders>
              <w:top w:val="single" w:color="auto" w:sz="4" w:space="0"/>
              <w:left w:val="single" w:color="auto" w:sz="4" w:space="0"/>
              <w:bottom w:val="single" w:color="auto" w:sz="4" w:space="0"/>
              <w:right w:val="single" w:color="auto" w:sz="4" w:space="0"/>
            </w:tcBorders>
            <w:hideMark/>
            <w:vAlign w:val="center"/>
          </w:tcPr>
          <w:p>
            <w:pPr>
              <w:spacing/>
              <w:jc w:val="center"/>
              <w:rPr>
                <w:rFonts w:ascii="Arial Narrow" w:hAnsi="Arial Narrow"/>
                <w:color w:val="000000"/>
                <w:sz w:val="20"/>
                <w:lang w:eastAsia="de-DE"/>
              </w:rPr>
            </w:pP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2.5</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Proktoro</w:t>
            </w:r>
            <w:r>
              <w:rPr>
                <w:rFonts w:ascii="Arial Narrow" w:hAnsi="Arial Narrow"/>
                <w:color w:val="000000"/>
                <w:sz w:val="20"/>
                <w:lang w:eastAsia="de-DE"/>
              </w:rPr>
              <w:t xml:space="preserve"> tankis ir susijęs vandens kiekis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w:t>
            </w:r>
          </w:p>
        </w:tc>
        <w:tc>
          <w:tcPr>
            <w:tcW w:type="dxa" w:w="3052"/>
            <w:vMerge w:val="continue"/>
            <w:tcBorders>
              <w:top w:val="single" w:color="auto" w:sz="4" w:space="0"/>
              <w:left w:val="single" w:color="auto" w:sz="4" w:space="0"/>
              <w:bottom w:val="single" w:color="auto" w:sz="4" w:space="0"/>
              <w:right w:val="single" w:color="auto" w:sz="4" w:space="0"/>
            </w:tcBorders>
            <w:hideMark/>
            <w:vAlign w:val="center"/>
          </w:tcPr>
          <w:p>
            <w:pPr>
              <w:spacing/>
              <w:jc w:val="center"/>
              <w:rPr>
                <w:rFonts w:ascii="Arial Narrow" w:hAnsi="Arial Narrow"/>
                <w:color w:val="000000"/>
                <w:sz w:val="20"/>
                <w:lang w:eastAsia="de-DE"/>
              </w:rPr>
            </w:pP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3.</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rPr>
                <w:rFonts w:ascii="Arial Narrow" w:hAnsi="Arial Narrow"/>
                <w:b/>
                <w:bCs/>
                <w:color w:val="000000"/>
                <w:sz w:val="20"/>
                <w:lang w:eastAsia="de-DE"/>
              </w:rPr>
            </w:pPr>
            <w:r>
              <w:rPr>
                <w:rFonts w:ascii="Arial Narrow" w:hAnsi="Arial Narrow"/>
                <w:b/>
                <w:bCs/>
                <w:color w:val="000000"/>
                <w:sz w:val="20"/>
                <w:lang w:eastAsia="de-DE"/>
              </w:rPr>
              <w:t xml:space="preserve">Apdoroti numatyti gruntai</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3.1</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Sutankinimo laipsnis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vertAlign w:val="superscript"/>
                <w:lang w:eastAsia="de-DE"/>
              </w:rPr>
            </w:pPr>
            <w:r>
              <w:rPr>
                <w:rFonts w:ascii="Arial Narrow" w:hAnsi="Arial Narrow"/>
                <w:color w:val="000000"/>
                <w:sz w:val="20"/>
                <w:lang w:eastAsia="de-DE"/>
              </w:rPr>
              <w:t xml:space="preserve">kiekvieniems 3000 m</w:t>
            </w:r>
            <w:r>
              <w:rPr>
                <w:rFonts w:ascii="Arial Narrow" w:hAnsi="Arial Narrow"/>
                <w:color w:val="000000"/>
                <w:sz w:val="20"/>
                <w:vertAlign w:val="superscript"/>
                <w:lang w:eastAsia="de-DE"/>
              </w:rPr>
              <w:t xml:space="preserve">2</w:t>
            </w:r>
          </w:p>
        </w:tc>
        <w:tc>
          <w:tcPr>
            <w:tcW w:type="dxa" w:w="3052"/>
            <w:vMerge w:val="restart"/>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Kylant abejonei dėl kokybės ar rezultatų</w:t>
            </w: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3.2</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Profilio padėtis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kas 20 m tris kartus</w:t>
            </w:r>
          </w:p>
        </w:tc>
        <w:tc>
          <w:tcPr>
            <w:tcW w:type="dxa" w:w="3052"/>
            <w:vMerge w:val="continue"/>
            <w:tcBorders>
              <w:top w:val="single" w:color="auto" w:sz="4" w:space="0"/>
              <w:left w:val="single" w:color="auto" w:sz="4" w:space="0"/>
              <w:bottom w:val="single" w:color="auto" w:sz="4" w:space="0"/>
              <w:right w:val="single" w:color="auto" w:sz="4" w:space="0"/>
            </w:tcBorders>
            <w:hideMark/>
            <w:vAlign w:val="center"/>
          </w:tcPr>
          <w:p>
            <w:pPr>
              <w:spacing/>
              <w:jc w:val="center"/>
              <w:rPr>
                <w:rFonts w:ascii="Arial Narrow" w:hAnsi="Arial Narrow"/>
                <w:color w:val="000000"/>
                <w:sz w:val="20"/>
                <w:lang w:eastAsia="de-DE"/>
              </w:rPr>
            </w:pP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rPr>
                <w:rFonts w:ascii="Arial Narrow" w:hAnsi="Arial Narrow"/>
                <w:b/>
                <w:bCs/>
                <w:color w:val="000000"/>
                <w:sz w:val="20"/>
                <w:lang w:eastAsia="de-DE"/>
              </w:rPr>
            </w:pPr>
            <w:r>
              <w:rPr>
                <w:rFonts w:ascii="Arial Narrow" w:hAnsi="Arial Narrow"/>
                <w:b/>
                <w:bCs/>
                <w:color w:val="000000"/>
                <w:sz w:val="20"/>
                <w:lang w:eastAsia="de-DE"/>
              </w:rPr>
              <w:t xml:space="preserve">Apdorotas sluoksnis</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p>
        </w:tc>
      </w:tr>
      <w:tr>
        <w:trPr>
          <w:trHeight w:val="53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4.1</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vertAlign w:val="superscript"/>
                <w:lang w:eastAsia="de-DE"/>
              </w:rPr>
            </w:pPr>
            <w:r>
              <w:rPr>
                <w:rFonts w:ascii="Arial Narrow" w:hAnsi="Arial Narrow"/>
                <w:color w:val="000000"/>
                <w:sz w:val="20"/>
                <w:lang w:eastAsia="de-DE"/>
              </w:rPr>
              <w:t xml:space="preserve">Sutankinimo laipsnis</w:t>
            </w:r>
            <w:r>
              <w:rPr>
                <w:rFonts w:ascii="Arial Narrow" w:hAnsi="Arial Narrow"/>
                <w:color w:val="000000"/>
                <w:sz w:val="20"/>
                <w:vertAlign w:val="superscript"/>
                <w:lang w:eastAsia="de-DE"/>
              </w:rPr>
              <w:t xml:space="preserve">1)</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250 m ir kiekvieniems 3000 m</w:t>
            </w:r>
            <w:r>
              <w:rPr>
                <w:rFonts w:ascii="Arial Narrow" w:hAnsi="Arial Narrow"/>
                <w:sz w:val="20"/>
                <w:vertAlign w:val="superscript"/>
                <w:lang w:eastAsia="de-DE"/>
              </w:rPr>
              <w:t xml:space="preserve">2</w:t>
            </w:r>
          </w:p>
        </w:tc>
        <w:tc>
          <w:tcPr>
            <w:tcW w:type="dxa" w:w="3052"/>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250 m ir kiekvieniems 3000 </w:t>
            </w:r>
            <w:r>
              <w:rPr>
                <w:rFonts w:ascii="Arial Narrow" w:hAnsi="Arial Narrow"/>
                <w:sz w:val="20"/>
                <w:lang w:eastAsia="de-DE"/>
              </w:rPr>
              <w:t xml:space="preserve">m</w:t>
            </w:r>
            <w:r>
              <w:rPr>
                <w:rFonts w:ascii="Arial Narrow" w:hAnsi="Arial Narrow"/>
                <w:sz w:val="20"/>
                <w:vertAlign w:val="superscript"/>
                <w:lang w:eastAsia="de-DE"/>
              </w:rPr>
              <w:t xml:space="preserve">2</w:t>
            </w:r>
            <w:r>
              <w:rPr>
                <w:rFonts w:ascii="Arial Narrow" w:hAnsi="Arial Narrow"/>
                <w:color w:val="000000"/>
                <w:sz w:val="20"/>
                <w:lang w:eastAsia="de-DE"/>
              </w:rPr>
              <w:t xml:space="preserve">, mažiausiai 1 kartą per dieną</w:t>
            </w:r>
          </w:p>
        </w:tc>
      </w:tr>
      <w:tr>
        <w:trPr>
          <w:trHeight w:val="539" w:hRule="atLeast"/>
          <w:jc w:val="center"/>
        </w:trPr>
        <w:tc>
          <w:tcPr>
            <w:tcW w:type="dxa" w:w="704"/>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4.2</w:t>
            </w:r>
          </w:p>
        </w:tc>
        <w:tc>
          <w:tcPr>
            <w:tcW w:type="dxa" w:w="3119"/>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vertAlign w:val="superscript"/>
                <w:lang w:eastAsia="de-DE"/>
              </w:rPr>
            </w:pPr>
            <w:r>
              <w:rPr>
                <w:rFonts w:ascii="Arial Narrow" w:hAnsi="Arial Narrow"/>
                <w:color w:val="000000"/>
                <w:sz w:val="20"/>
                <w:lang w:eastAsia="de-DE"/>
              </w:rPr>
              <w:t xml:space="preserve">Gniuždomasis stipris</w:t>
            </w:r>
            <w:r>
              <w:rPr>
                <w:rFonts w:ascii="Arial Narrow" w:hAnsi="Arial Narrow"/>
                <w:color w:val="000000"/>
                <w:sz w:val="20"/>
                <w:vertAlign w:val="superscript"/>
                <w:lang w:eastAsia="de-DE"/>
              </w:rPr>
              <w:t xml:space="preserve">2) 3)</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4500 m</w:t>
            </w:r>
            <w:r>
              <w:rPr>
                <w:rFonts w:ascii="Arial Narrow" w:hAnsi="Arial Narrow"/>
                <w:sz w:val="20"/>
                <w:vertAlign w:val="superscript"/>
                <w:lang w:eastAsia="de-DE"/>
              </w:rPr>
              <w:t xml:space="preserve">2</w:t>
            </w: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4500 m</w:t>
            </w:r>
            <w:r>
              <w:rPr>
                <w:rFonts w:ascii="Arial Narrow" w:hAnsi="Arial Narrow"/>
                <w:sz w:val="20"/>
                <w:vertAlign w:val="superscript"/>
                <w:lang w:eastAsia="de-DE"/>
              </w:rPr>
              <w:t xml:space="preserve">2</w:t>
            </w:r>
          </w:p>
        </w:tc>
      </w:tr>
      <w:tr>
        <w:trPr>
          <w:trHeight w:val="539" w:hRule="atLeast"/>
          <w:jc w:val="center"/>
        </w:trPr>
        <w:tc>
          <w:tcPr>
            <w:tcW w:type="dxa" w:w="704"/>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4.3</w:t>
            </w:r>
          </w:p>
        </w:tc>
        <w:tc>
          <w:tcPr>
            <w:tcW w:type="dxa" w:w="3119"/>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vertAlign w:val="superscript"/>
                <w:lang w:eastAsia="de-DE"/>
              </w:rPr>
            </w:pPr>
            <w:r>
              <w:rPr>
                <w:rFonts w:ascii="Arial Narrow" w:hAnsi="Arial Narrow"/>
                <w:color w:val="000000"/>
                <w:sz w:val="20"/>
                <w:lang w:eastAsia="de-DE"/>
              </w:rPr>
              <w:t xml:space="preserve">Atsparumas šalčiui</w:t>
            </w:r>
            <w:r>
              <w:rPr>
                <w:rFonts w:ascii="Arial Narrow" w:hAnsi="Arial Narrow"/>
                <w:color w:val="000000"/>
                <w:sz w:val="20"/>
                <w:vertAlign w:val="superscript"/>
                <w:lang w:eastAsia="de-DE"/>
              </w:rPr>
              <w:t xml:space="preserve">4)</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4500 m</w:t>
            </w:r>
            <w:r>
              <w:rPr>
                <w:rFonts w:ascii="Arial Narrow" w:hAnsi="Arial Narrow"/>
                <w:sz w:val="20"/>
                <w:vertAlign w:val="superscript"/>
                <w:lang w:eastAsia="de-DE"/>
              </w:rPr>
              <w:t xml:space="preserve">2</w:t>
            </w: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4500 m</w:t>
            </w:r>
            <w:r>
              <w:rPr>
                <w:rFonts w:ascii="Arial Narrow" w:hAnsi="Arial Narrow"/>
                <w:sz w:val="20"/>
                <w:vertAlign w:val="superscript"/>
                <w:lang w:eastAsia="de-DE"/>
              </w:rPr>
              <w:t xml:space="preserve">2</w:t>
            </w:r>
          </w:p>
        </w:tc>
      </w:tr>
      <w:tr>
        <w:trPr>
          <w:trHeight w:val="539" w:hRule="atLeast"/>
          <w:jc w:val="center"/>
        </w:trPr>
        <w:tc>
          <w:tcPr>
            <w:tcW w:type="dxa" w:w="704"/>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4.4</w:t>
            </w:r>
          </w:p>
        </w:tc>
        <w:tc>
          <w:tcPr>
            <w:tcW w:type="dxa" w:w="3119"/>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Statinis deformacijos modulis E</w:t>
            </w:r>
            <w:r>
              <w:rPr>
                <w:rFonts w:ascii="Arial Narrow" w:hAnsi="Arial Narrow"/>
                <w:color w:val="000000"/>
                <w:sz w:val="20"/>
                <w:vertAlign w:val="subscript"/>
                <w:lang w:eastAsia="de-DE"/>
              </w:rPr>
              <w:t xml:space="preserve">v2 </w:t>
            </w:r>
            <w:r>
              <w:rPr>
                <w:rFonts w:ascii="Arial Narrow" w:hAnsi="Arial Narrow"/>
                <w:color w:val="000000"/>
                <w:sz w:val="20"/>
                <w:vertAlign w:val="subscript"/>
                <w:lang w:eastAsia="de-DE"/>
              </w:rPr>
              <w:br/>
            </w:r>
            <w:r>
              <w:rPr>
                <w:rFonts w:ascii="Arial Narrow" w:hAnsi="Arial Narrow"/>
                <w:color w:val="000000"/>
                <w:sz w:val="20"/>
                <w:lang w:eastAsia="de-DE"/>
              </w:rPr>
              <w:br/>
            </w:r>
            <w:r>
              <w:rPr>
                <w:rFonts w:ascii="Arial Narrow" w:hAnsi="Arial Narrow"/>
                <w:color w:val="000000"/>
                <w:sz w:val="20"/>
                <w:lang w:eastAsia="de-DE"/>
              </w:rPr>
              <w:t xml:space="preserve">arba</w:t>
            </w:r>
            <w:r>
              <w:rPr>
                <w:rFonts w:ascii="Arial Narrow" w:hAnsi="Arial Narrow"/>
                <w:color w:val="000000"/>
                <w:sz w:val="20"/>
                <w:lang w:eastAsia="de-DE"/>
              </w:rPr>
              <w:br/>
            </w:r>
            <w:r>
              <w:rPr>
                <w:rFonts w:ascii="Arial Narrow" w:hAnsi="Arial Narrow"/>
                <w:sz w:val="20"/>
              </w:rPr>
              <w:t xml:space="preserve">Ekvivalentinis standumo modulis E</w:t>
            </w:r>
            <w:r>
              <w:rPr>
                <w:rFonts w:ascii="Arial Narrow" w:hAnsi="Arial Narrow"/>
                <w:sz w:val="20"/>
                <w:vertAlign w:val="subscript"/>
              </w:rPr>
              <w:t xml:space="preserve">0</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sz w:val="20"/>
                <w:vertAlign w:val="superscript"/>
                <w:lang w:eastAsia="de-DE"/>
              </w:rPr>
            </w:pPr>
            <w:r>
              <w:rPr>
                <w:rFonts w:ascii="Arial Narrow" w:hAnsi="Arial Narrow"/>
                <w:color w:val="000000"/>
                <w:sz w:val="20"/>
                <w:lang w:eastAsia="de-DE"/>
              </w:rPr>
              <w:t xml:space="preserve">kiekvieniems 250 m ir kiekvieniems 3000 m</w:t>
            </w:r>
            <w:r>
              <w:rPr>
                <w:rFonts w:ascii="Arial Narrow" w:hAnsi="Arial Narrow"/>
                <w:sz w:val="20"/>
                <w:vertAlign w:val="superscript"/>
                <w:lang w:eastAsia="de-DE"/>
              </w:rPr>
              <w:t xml:space="preserve">2</w:t>
            </w:r>
          </w:p>
          <w:p>
            <w:pPr>
              <w:pBdr>
                <w:right w:val="single" w:color="auto" w:sz="18" w:space="4"/>
              </w:pBdr>
              <w:tabs>
                <w:tab w:val="left" w:pos="362"/>
              </w:tabs>
              <w:spacing/>
              <w:ind w:left="78"/>
              <w:jc w:val="center"/>
              <w:rPr>
                <w:rFonts w:ascii="Arial Narrow" w:hAnsi="Arial Narrow"/>
                <w:sz w:val="20"/>
                <w:lang w:eastAsia="de-DE"/>
              </w:rPr>
            </w:pPr>
            <w:r>
              <w:rPr>
                <w:rFonts w:ascii="Arial Narrow" w:hAnsi="Arial Narrow"/>
                <w:sz w:val="20"/>
                <w:lang w:eastAsia="de-DE"/>
              </w:rPr>
              <w:t xml:space="preserve">arba</w:t>
            </w:r>
          </w:p>
          <w:p>
            <w:pPr>
              <w:pBdr>
                <w:right w:val="single" w:color="auto" w:sz="18" w:space="4"/>
              </w:pBdr>
              <w:tabs>
                <w:tab w:val="left" w:pos="362"/>
              </w:tabs>
              <w:spacing/>
              <w:ind w:left="78"/>
              <w:jc w:val="center"/>
              <w:rPr>
                <w:rFonts w:ascii="Arial Narrow" w:hAnsi="Arial Narrow"/>
                <w:color w:val="000000"/>
                <w:sz w:val="20"/>
                <w:vertAlign w:val="superscript"/>
                <w:lang w:eastAsia="de-DE"/>
              </w:rPr>
            </w:pPr>
            <w:r>
              <w:rPr>
                <w:rFonts w:ascii="Arial Narrow" w:hAnsi="Arial Narrow"/>
                <w:color w:val="000000"/>
                <w:sz w:val="20"/>
                <w:lang w:eastAsia="de-DE"/>
              </w:rPr>
              <w:t xml:space="preserve">kiekvieniems 50-100 m</w:t>
            </w:r>
            <w:r>
              <w:rPr>
                <w:rFonts w:ascii="Arial Narrow" w:hAnsi="Arial Narrow"/>
                <w:color w:val="000000"/>
                <w:sz w:val="20"/>
                <w:vertAlign w:val="superscript"/>
                <w:lang w:eastAsia="de-DE"/>
              </w:rPr>
              <w:t xml:space="preserve">2</w:t>
            </w: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sz w:val="20"/>
                <w:vertAlign w:val="superscript"/>
                <w:lang w:eastAsia="de-DE"/>
              </w:rPr>
            </w:pPr>
            <w:r>
              <w:rPr>
                <w:rFonts w:ascii="Arial Narrow" w:hAnsi="Arial Narrow"/>
                <w:color w:val="000000"/>
                <w:sz w:val="20"/>
                <w:lang w:eastAsia="de-DE"/>
              </w:rPr>
              <w:t xml:space="preserve">kiekvieniems 250 m ir kiekvieniems 3000 m</w:t>
            </w:r>
            <w:r>
              <w:rPr>
                <w:rFonts w:ascii="Arial Narrow" w:hAnsi="Arial Narrow"/>
                <w:sz w:val="20"/>
                <w:vertAlign w:val="superscript"/>
                <w:lang w:eastAsia="de-DE"/>
              </w:rPr>
              <w:t xml:space="preserve">2</w:t>
            </w:r>
          </w:p>
          <w:p>
            <w:pPr>
              <w:pBdr>
                <w:right w:val="single" w:color="auto" w:sz="18" w:space="4"/>
              </w:pBdr>
              <w:tabs>
                <w:tab w:val="left" w:pos="362"/>
              </w:tabs>
              <w:spacing/>
              <w:ind w:left="78"/>
              <w:jc w:val="center"/>
              <w:rPr>
                <w:rFonts w:ascii="Arial Narrow" w:hAnsi="Arial Narrow"/>
                <w:sz w:val="20"/>
                <w:lang w:eastAsia="de-DE"/>
              </w:rPr>
            </w:pPr>
            <w:r>
              <w:rPr>
                <w:rFonts w:ascii="Arial Narrow" w:hAnsi="Arial Narrow"/>
                <w:sz w:val="20"/>
                <w:lang w:eastAsia="de-DE"/>
              </w:rPr>
              <w:t xml:space="preserve">arba</w:t>
            </w:r>
          </w:p>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50-100 m</w:t>
            </w:r>
            <w:r>
              <w:rPr>
                <w:rFonts w:ascii="Arial Narrow" w:hAnsi="Arial Narrow"/>
                <w:color w:val="000000"/>
                <w:sz w:val="20"/>
                <w:vertAlign w:val="superscript"/>
                <w:lang w:eastAsia="de-DE"/>
              </w:rPr>
              <w:t xml:space="preserve">2</w:t>
            </w: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4.5</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Rišiklio kiekis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kiekvieniems 2500 m</w:t>
            </w:r>
            <w:r>
              <w:rPr>
                <w:rFonts w:ascii="Arial Narrow" w:hAnsi="Arial Narrow"/>
                <w:sz w:val="20"/>
                <w:vertAlign w:val="superscript"/>
                <w:lang w:eastAsia="de-DE"/>
              </w:rPr>
              <w:t xml:space="preserve">2</w:t>
            </w:r>
          </w:p>
        </w:tc>
        <w:tc>
          <w:tcPr>
            <w:tcW w:type="dxa" w:w="3052"/>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pagal poreikį </w:t>
            </w: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4.6</w:t>
            </w:r>
          </w:p>
        </w:tc>
        <w:tc>
          <w:tcPr>
            <w:tcW w:type="dxa" w:w="3119"/>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sz w:val="20"/>
              </w:rPr>
              <w:t xml:space="preserve">Panaudotų priedų kiekis</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mažiausiai 1 kartą per dieną</w:t>
            </w: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pagal poreikį</w:t>
            </w: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4.7</w:t>
            </w:r>
          </w:p>
        </w:tc>
        <w:tc>
          <w:tcPr>
            <w:tcW w:type="dxa" w:w="3119"/>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sz w:val="20"/>
              </w:rPr>
            </w:pPr>
            <w:r>
              <w:rPr>
                <w:rFonts w:ascii="Arial Narrow" w:hAnsi="Arial Narrow"/>
                <w:sz w:val="20"/>
              </w:rPr>
              <w:t xml:space="preserve">Panaudotų priedų sudėtis</w:t>
            </w:r>
          </w:p>
        </w:tc>
        <w:tc>
          <w:tcPr>
            <w:tcW w:type="dxa" w:w="2693"/>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pagal poreikį</w:t>
            </w:r>
          </w:p>
        </w:tc>
        <w:tc>
          <w:tcPr>
            <w:tcW w:type="dxa" w:w="3052"/>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pagal poreikį</w:t>
            </w: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4.8</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Profilio padėtis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kas 20 m tris kartus</w:t>
            </w:r>
          </w:p>
        </w:tc>
        <w:tc>
          <w:tcPr>
            <w:tcW w:type="dxa" w:w="3052"/>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kas 50 m</w:t>
            </w:r>
          </w:p>
        </w:tc>
      </w:tr>
      <w:tr>
        <w:trPr>
          <w:trHeight w:val="179"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4.9</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Lygumas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vertAlign w:val="superscript"/>
                <w:lang w:eastAsia="de-DE"/>
              </w:rPr>
            </w:pPr>
            <w:r>
              <w:rPr>
                <w:rFonts w:ascii="Arial Narrow" w:hAnsi="Arial Narrow"/>
                <w:color w:val="000000"/>
                <w:sz w:val="20"/>
                <w:lang w:eastAsia="de-DE"/>
              </w:rPr>
              <w:t xml:space="preserve">kas 50 m ir kiekvieniems 250 m</w:t>
            </w:r>
            <w:r>
              <w:rPr>
                <w:rFonts w:ascii="Arial Narrow" w:hAnsi="Arial Narrow"/>
                <w:color w:val="000000"/>
                <w:sz w:val="20"/>
                <w:vertAlign w:val="superscript"/>
                <w:lang w:eastAsia="de-DE"/>
              </w:rPr>
              <w:t xml:space="preserve">2</w:t>
            </w:r>
          </w:p>
        </w:tc>
        <w:tc>
          <w:tcPr>
            <w:tcW w:type="dxa" w:w="3052"/>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kas 100 m ir kiekvieniems 500 m</w:t>
            </w:r>
            <w:r>
              <w:rPr>
                <w:rFonts w:ascii="Arial Narrow" w:hAnsi="Arial Narrow"/>
                <w:sz w:val="20"/>
                <w:vertAlign w:val="superscript"/>
                <w:lang w:eastAsia="de-DE"/>
              </w:rPr>
              <w:t xml:space="preserve">2</w:t>
            </w:r>
          </w:p>
        </w:tc>
      </w:tr>
      <w:tr>
        <w:trPr>
          <w:trHeight w:val="70" w:hRule="atLeast"/>
          <w:jc w:val="center"/>
        </w:trPr>
        <w:tc>
          <w:tcPr>
            <w:tcW w:type="dxa" w:w="704"/>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4.10</w:t>
            </w:r>
          </w:p>
        </w:tc>
        <w:tc>
          <w:tcPr>
            <w:tcW w:type="dxa" w:w="3119"/>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Sluoksnio storis</w:t>
            </w:r>
          </w:p>
        </w:tc>
        <w:tc>
          <w:tcPr>
            <w:tcW w:type="dxa" w:w="2693"/>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kas 50 m ir kiekvieniems 250 m</w:t>
            </w:r>
            <w:r>
              <w:rPr>
                <w:rFonts w:ascii="Arial Narrow" w:hAnsi="Arial Narrow"/>
                <w:color w:val="000000"/>
                <w:sz w:val="20"/>
                <w:vertAlign w:val="superscript"/>
                <w:lang w:eastAsia="de-DE"/>
              </w:rPr>
              <w:t xml:space="preserve">2</w:t>
            </w:r>
          </w:p>
        </w:tc>
        <w:tc>
          <w:tcPr>
            <w:tcW w:type="dxa" w:w="3052"/>
            <w:tcBorders>
              <w:top w:val="single" w:color="auto" w:sz="4" w:space="0"/>
              <w:left w:val="single" w:color="auto" w:sz="4" w:space="0"/>
              <w:bottom w:val="single" w:color="auto" w:sz="4" w:space="0"/>
              <w:right w:val="single" w:color="auto" w:sz="4" w:space="0"/>
            </w:tcBorders>
            <w:hideMark/>
            <w:vAlign w:val="center"/>
          </w:tcPr>
          <w:p>
            <w:pPr>
              <w:pBdr>
                <w:right w:val="single" w:color="auto" w:sz="18" w:space="4"/>
              </w:pBdr>
              <w:tabs>
                <w:tab w:val="left" w:pos="362"/>
              </w:tabs>
              <w:spacing/>
              <w:ind w:left="78"/>
              <w:jc w:val="center"/>
              <w:rPr>
                <w:rFonts w:ascii="Arial Narrow" w:hAnsi="Arial Narrow"/>
                <w:color w:val="000000"/>
                <w:sz w:val="20"/>
                <w:lang w:eastAsia="de-DE"/>
              </w:rPr>
            </w:pPr>
            <w:r>
              <w:rPr>
                <w:rFonts w:ascii="Arial Narrow" w:hAnsi="Arial Narrow"/>
                <w:color w:val="000000"/>
                <w:sz w:val="20"/>
                <w:lang w:eastAsia="de-DE"/>
              </w:rPr>
              <w:t xml:space="preserve">kas 100 m ir kiekvieniems 500 m</w:t>
            </w:r>
            <w:r>
              <w:rPr>
                <w:rFonts w:ascii="Arial Narrow" w:hAnsi="Arial Narrow"/>
                <w:sz w:val="20"/>
                <w:vertAlign w:val="superscript"/>
                <w:lang w:eastAsia="de-DE"/>
              </w:rPr>
              <w:t xml:space="preserve">2</w:t>
            </w:r>
          </w:p>
        </w:tc>
      </w:tr>
      <w:tr>
        <w:trPr>
          <w:trHeight w:val="70" w:hRule="atLeast"/>
          <w:jc w:val="center"/>
        </w:trPr>
        <w:tc>
          <w:tcPr>
            <w:tcW w:type="dxa" w:w="9568"/>
            <w:gridSpan w:val="4"/>
            <w:tcBorders>
              <w:top w:val="single" w:color="auto" w:sz="4" w:space="0"/>
              <w:left w:val="single" w:color="auto" w:sz="4" w:space="0"/>
              <w:bottom w:val="single" w:color="auto" w:sz="4" w:space="0"/>
              <w:right w:val="single" w:color="auto" w:sz="4" w:space="0"/>
            </w:tcBorders>
            <w:vAlign w:val="center"/>
          </w:tcPr>
          <w:p>
            <w:pPr>
              <w:pBdr>
                <w:right w:val="single" w:color="auto" w:sz="18" w:space="4"/>
              </w:pBdr>
              <w:tabs>
                <w:tab w:val="left" w:pos="362"/>
              </w:tabs>
              <w:spacing/>
              <w:rPr>
                <w:rFonts w:ascii="Arial Narrow" w:hAnsi="Arial Narrow"/>
                <w:sz w:val="20"/>
                <w:vertAlign w:val="superscript"/>
              </w:rPr>
            </w:pPr>
            <w:r>
              <w:rPr>
                <w:rFonts w:ascii="Arial Narrow" w:hAnsi="Arial Narrow"/>
                <w:sz w:val="20"/>
                <w:vertAlign w:val="superscript"/>
              </w:rPr>
              <w:t xml:space="preserve">1)</w:t>
            </w:r>
            <w:r>
              <w:rPr>
                <w:rFonts w:ascii="Arial Narrow" w:hAnsi="Arial Narrow"/>
                <w:sz w:val="20"/>
              </w:rPr>
              <w:t xml:space="preserve"> Bandymai atliekami </w:t>
            </w:r>
            <w:r>
              <w:rPr>
                <w:rFonts w:ascii="Arial Narrow" w:hAnsi="Arial Narrow" w:eastAsia="Calibri"/>
                <w:sz w:val="20"/>
                <w:lang w:eastAsia="lt-LT"/>
              </w:rPr>
              <w:t xml:space="preserve">iki medžiagų rišimosi pradžios, iškarto užbaigus tankinimą</w:t>
            </w:r>
            <w:r>
              <w:rPr>
                <w:rFonts w:ascii="Arial Narrow" w:hAnsi="Arial Narrow"/>
                <w:sz w:val="20"/>
              </w:rPr>
              <w:t xml:space="preserve">.</w:t>
            </w:r>
          </w:p>
          <w:p>
            <w:pPr>
              <w:pBdr>
                <w:right w:val="single" w:color="auto" w:sz="18" w:space="4"/>
              </w:pBdr>
              <w:tabs>
                <w:tab w:val="left" w:pos="362"/>
              </w:tabs>
              <w:spacing/>
              <w:rPr>
                <w:rFonts w:ascii="Arial Narrow" w:hAnsi="Arial Narrow"/>
                <w:sz w:val="20"/>
              </w:rPr>
            </w:pPr>
            <w:r>
              <w:rPr>
                <w:rFonts w:ascii="Arial Narrow" w:hAnsi="Arial Narrow"/>
                <w:sz w:val="20"/>
                <w:vertAlign w:val="superscript"/>
              </w:rPr>
              <w:t xml:space="preserve">2)</w:t>
            </w:r>
            <w:r>
              <w:rPr>
                <w:rFonts w:ascii="Arial Narrow" w:hAnsi="Arial Narrow"/>
                <w:sz w:val="20"/>
              </w:rPr>
              <w:t xml:space="preserve"> Gniuždomajam stipriui, nustatytam iš darbų atlikimo metu suformuotų bandinių, taikomas -10 % </w:t>
            </w:r>
            <w:r>
              <w:rPr>
                <w:rFonts w:ascii="Arial Narrow" w:hAnsi="Arial Narrow"/>
                <w:sz w:val="20"/>
              </w:rPr>
              <w:t xml:space="preserve">leistinasis</w:t>
            </w:r>
            <w:r>
              <w:rPr>
                <w:rFonts w:ascii="Arial Narrow" w:hAnsi="Arial Narrow"/>
                <w:sz w:val="20"/>
              </w:rPr>
              <w:t xml:space="preserve"> nuokrypis.</w:t>
            </w:r>
          </w:p>
          <w:p>
            <w:pPr>
              <w:spacing/>
              <w:rPr>
                <w:rFonts w:ascii="Arial Narrow" w:hAnsi="Arial Narrow" w:eastAsia="Calibri"/>
                <w:sz w:val="20"/>
              </w:rPr>
            </w:pPr>
            <w:r>
              <w:rPr>
                <w:rFonts w:ascii="Arial Narrow" w:hAnsi="Arial Narrow"/>
                <w:sz w:val="20"/>
                <w:vertAlign w:val="superscript"/>
              </w:rPr>
              <w:t xml:space="preserve">3</w:t>
            </w:r>
            <w:r>
              <w:rPr>
                <w:rFonts w:ascii="Arial Narrow" w:hAnsi="Arial Narrow" w:eastAsia="Calibri"/>
                <w:sz w:val="20"/>
                <w:vertAlign w:val="superscript"/>
              </w:rPr>
              <w:t xml:space="preserve">)</w:t>
            </w:r>
            <w:r>
              <w:rPr>
                <w:rFonts w:ascii="Arial Narrow" w:hAnsi="Arial Narrow" w:eastAsia="Calibri"/>
                <w:sz w:val="20"/>
              </w:rPr>
              <w:t xml:space="preserve"> Gniuždomasis stipris, nustatytas po 28 parų pagal standartą LST EN 13286-41 – bandiniai 14 parų laikomi drėgnoje aplinkoje ir 14 parų vandenyje. Po mirkymo atliekamas gniuždomojo stiprio bandymas.</w:t>
            </w:r>
          </w:p>
          <w:p>
            <w:pPr>
              <w:spacing/>
              <w:rPr>
                <w:rFonts w:ascii="Arial Narrow" w:hAnsi="Arial Narrow" w:eastAsia="Calibri"/>
                <w:sz w:val="20"/>
              </w:rPr>
            </w:pPr>
            <w:r>
              <w:rPr>
                <w:rFonts w:ascii="Arial Narrow" w:hAnsi="Arial Narrow" w:eastAsia="Calibri"/>
                <w:sz w:val="20"/>
              </w:rPr>
              <w:t xml:space="preserve">Gniuždomasis stipris, nustatytas po 7 parų pagal standartą LST EN 13286-41 – bandiniai 6 paras laikomi drėgnoje aplinkoje ir 1 parą vandenyje. Po mirkymo atliekamas gniuždomojo stiprio bandymas.</w:t>
            </w:r>
          </w:p>
          <w:p>
            <w:pPr>
              <w:spacing/>
              <w:rPr>
                <w:rFonts w:ascii="Arial Narrow" w:hAnsi="Arial Narrow" w:eastAsia="Calibri"/>
                <w:sz w:val="20"/>
              </w:rPr>
            </w:pPr>
            <w:r>
              <w:rPr>
                <w:rFonts w:ascii="Arial Narrow" w:hAnsi="Arial Narrow"/>
                <w:sz w:val="20"/>
                <w:vertAlign w:val="superscript"/>
              </w:rPr>
              <w:t xml:space="preserve">4</w:t>
            </w:r>
            <w:r>
              <w:rPr>
                <w:rFonts w:ascii="Arial Narrow" w:hAnsi="Arial Narrow" w:eastAsia="Calibri"/>
                <w:sz w:val="20"/>
                <w:vertAlign w:val="superscript"/>
              </w:rPr>
              <w:t xml:space="preserve">)</w:t>
            </w:r>
            <w:r>
              <w:rPr>
                <w:rFonts w:ascii="Arial Narrow" w:hAnsi="Arial Narrow" w:eastAsia="Calibri"/>
                <w:sz w:val="20"/>
              </w:rPr>
              <w:t xml:space="preserve"> 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 Esant poreikiui, atliekant atsparumo šalčiu</w:t>
            </w:r>
            <w:r>
              <w:rPr>
                <w:rFonts w:ascii="Arial Narrow" w:hAnsi="Arial Narrow" w:eastAsia="Calibri"/>
                <w:sz w:val="20"/>
              </w:rPr>
              <w:t xml:space="preserve">i bandymus, šaldymo ciklus galima pradėti anksčiau nei po 14 parų, pavyzdžiui po 7 parų.</w:t>
            </w:r>
          </w:p>
        </w:tc>
      </w:tr>
    </w:tbl>
    <w:p w14:paraId="75645366">
      <w:pPr>
        <w:pStyle w:val="Bodytext1"/>
        <w:shd w:val="clear" w:color="auto" w:fill="auto"/>
        <w:tabs>
          <w:tab w:val="left" w:pos="567"/>
        </w:tabs>
        <w:spacing w:before="0" w:after="0" w:line="240" w:lineRule="auto"/>
        <w:ind w:right="55" w:firstLine="0"/>
        <w:jc w:val="both"/>
        <w:rPr>
          <w:rFonts w:ascii="Arial Narrow" w:hAnsi="Arial Narrow"/>
          <w:sz w:val="20"/>
          <w:szCs w:val="20"/>
        </w:rPr>
      </w:pPr>
    </w:p>
    <w:p w14:paraId="75645367">
      <w:pPr>
        <w:pStyle w:val="Bodytext1"/>
        <w:numPr>
          <w:ilvl w:val="2"/>
          <w:numId w:val="12"/>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Priimant atliktus CTB sluoksnio įrengimo darbus reikia laikytis MN AGPS 25 reikalavimų.</w:t>
      </w:r>
    </w:p>
    <w:p w14:paraId="75645368">
      <w:pPr>
        <w:pStyle w:val="Bodytext1"/>
        <w:numPr>
          <w:ilvl w:val="1"/>
          <w:numId w:val="12"/>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Asfalto sluoksniai:</w:t>
      </w:r>
    </w:p>
    <w:p w14:paraId="75645369">
      <w:pPr>
        <w:pStyle w:val="Bodytext1"/>
        <w:numPr>
          <w:ilvl w:val="2"/>
          <w:numId w:val="12"/>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Asfalto dangos sluoksniams naudojami užpildai ir rišamosios medžiagos turi atitikti TRA UŽPILDAI 19 ir TRA BITUMAS 23 reikalavimus. Asfalto mišiniai turi atitikti TRA ASFALTAS 25 reikalavimus.</w:t>
      </w:r>
    </w:p>
    <w:p w14:paraId="7564536A">
      <w:pPr>
        <w:pStyle w:val="Bodytext1"/>
        <w:numPr>
          <w:ilvl w:val="2"/>
          <w:numId w:val="12"/>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Atliekant asfalto sluoksnių įrengimo darbus, darbų kontrolę ir priėmimą, turi būti laikomasi Automobilių kelių dangos konstrukcijos sluoksnių be rišiklių įrengimo taisyklių ĮT ASFALTAS 25 reikalavimų.</w:t>
      </w:r>
    </w:p>
    <w:p w14:paraId="7564536B">
      <w:pPr>
        <w:pStyle w:val="Bodytext1"/>
        <w:numPr>
          <w:ilvl w:val="2"/>
          <w:numId w:val="12"/>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Tarp visų asfalto sluoksnių turi būti užtikrintas pakankamas sukibimas pagal ĮT ASFALTAS 25 reikalavimus. Bituminės emulsijos turi atitikti TRA BE 08/15 reikalavimus.</w:t>
      </w:r>
    </w:p>
    <w:p w14:paraId="7564536C">
      <w:pPr>
        <w:pStyle w:val="Bodytext1"/>
        <w:numPr>
          <w:ilvl w:val="2"/>
          <w:numId w:val="12"/>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Siūlės, </w:t>
      </w:r>
      <w:r>
        <w:rPr>
          <w:rFonts w:ascii="Arial Narrow" w:hAnsi="Arial Narrow"/>
          <w:sz w:val="20"/>
          <w:szCs w:val="20"/>
        </w:rPr>
        <w:t xml:space="preserve">prijungtys</w:t>
      </w:r>
      <w:r>
        <w:rPr>
          <w:rFonts w:ascii="Arial Narrow" w:hAnsi="Arial Narrow"/>
          <w:sz w:val="20"/>
          <w:szCs w:val="20"/>
        </w:rPr>
        <w:t xml:space="preserve"> ir briaunų formavimas turi atitikti ĮT ASFALTAS 25, ĮT SS 17 ir TRA SS 15 reikalavimus.</w:t>
      </w:r>
    </w:p>
    <w:p w14:paraId="7564536D">
      <w:pPr>
        <w:pStyle w:val="Bodytext1"/>
        <w:numPr>
          <w:ilvl w:val="2"/>
          <w:numId w:val="12"/>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Darbų priėmimo metu bus matuojami ir vertinami visi privalomi kokybiniai rodikliai vadovaujantis ĮT ASFALTAS 25 ir ĮT SBR 19 reikalavimais.</w:t>
      </w:r>
    </w:p>
    <w:p w14:paraId="7564536E">
      <w:pPr>
        <w:pStyle w:val="Bodytext1"/>
        <w:numPr>
          <w:ilvl w:val="2"/>
          <w:numId w:val="12"/>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Darbų priėmimo metu dangos nelygumai matuojami pagal IRI reikalavimus, neturi viršyti ĮT ASFALTAS 25 nustatytų verčių. Garantinio termino metu pagal IRI reikalavimus nustatytų dangos nelygumų vertės neturi viršyti ribinių verčių daugiau kaip 0,5 m/km. Tose vietose, kur viršijama, 3 m ilgio liniuote matuojamos prošvaisos išilgine kryptimi ir vertinama, ar tenkinamas ĮT ASFALTAS 25 11 lentelėje nustatyti reikalavimai.</w:t>
      </w:r>
    </w:p>
    <w:p w14:paraId="7564536F">
      <w:pPr>
        <w:pStyle w:val="Bodytext1"/>
        <w:numPr>
          <w:ilvl w:val="2"/>
          <w:numId w:val="12"/>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Darbų priėmimo metu ir garantinio laikotarpio metu dangos sluoksnių lygumas, matuojant prošvaisas skersine kryptimi po 3 m ilgio liniuote, neturi viršyti  ĮT ASFALTAS 25 11 lentelėje nurodytų ribinių verčių.</w:t>
      </w:r>
    </w:p>
    <w:p w14:paraId="75645370">
      <w:pPr>
        <w:pStyle w:val="Bodytext1"/>
        <w:numPr>
          <w:ilvl w:val="2"/>
          <w:numId w:val="12"/>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Darbų priėmimo metu kelio dangos paviršiaus atsparumo slydimui rodiklio vertės turi atitikti ĮT ASFALTAS 25 reikalavimus.</w:t>
      </w:r>
    </w:p>
    <w:p w14:paraId="75645371">
      <w:pPr>
        <w:pStyle w:val="Bodytext1"/>
        <w:numPr>
          <w:ilvl w:val="1"/>
          <w:numId w:val="12"/>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Naudojami produktai turi būti tinkamai paženklinti.</w:t>
      </w:r>
    </w:p>
    <w:p w14:paraId="75645372">
      <w:pPr>
        <w:pStyle w:val="Bodytext1"/>
        <w:numPr>
          <w:ilvl w:val="1"/>
          <w:numId w:val="12"/>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Visi gaminiai, įranga, medžiagos ir priedai turi atitikti reikalavimus, nurodytus Aprašo techninėje dokumentacijoje. Medžiagos turi būti pateiktos su gamintojo rekvizitais, specifikacija, naudojimo instrukcija, pagaminimo data. Statytojas (Užsakovas) turi teisę atmesti</w:t>
      </w:r>
      <w:r>
        <w:rPr/>
        <w:t xml:space="preserve"> </w:t>
      </w:r>
      <w:r>
        <w:rPr>
          <w:rFonts w:ascii="Arial Narrow" w:hAnsi="Arial Narrow"/>
          <w:sz w:val="20"/>
          <w:szCs w:val="20"/>
        </w:rPr>
        <w:t xml:space="preserve">medžiagą ar gaminį, jei ji neatitinka pirkimo dokumentų ir Aprašo techninės specifikacijos reikalavimų.</w:t>
      </w:r>
    </w:p>
    <w:p w14:paraId="75645373">
      <w:pPr>
        <w:spacing/>
        <w:jc w:val="left"/>
        <w:rPr>
          <w:rFonts w:ascii="Arial Narrow" w:hAnsi="Arial Narrow"/>
          <w:b/>
          <w:caps/>
        </w:rPr>
      </w:pP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8. STATYBINĖS IR NEGRĄŽINAMOS MEDŽIAGOS, STATYBINĖS ATLIEKOS</w:t>
            </w:r>
          </w:p>
        </w:tc>
      </w:tr>
    </w:tbl>
    <w:p w14:paraId="75645376">
      <w:pPr>
        <w:spacing/>
        <w:jc w:val="left"/>
        <w:rPr>
          <w:rFonts w:ascii="Arial Narrow" w:hAnsi="Arial Narrow"/>
          <w:b/>
          <w:caps/>
        </w:rPr>
      </w:pPr>
    </w:p>
    <w:p w14:paraId="75645377">
      <w:pPr>
        <w:pStyle w:val="Bodytext1"/>
        <w:numPr>
          <w:ilvl w:val="1"/>
          <w:numId w:val="19"/>
        </w:numPr>
        <w:shd w:val="clear" w:color="auto" w:fill="auto"/>
        <w:tabs>
          <w:tab w:val="left" w:pos="284"/>
        </w:tabs>
        <w:spacing w:before="0" w:after="0" w:line="240" w:lineRule="auto"/>
        <w:ind w:left="0" w:right="55" w:firstLine="0"/>
        <w:jc w:val="both"/>
        <w:rPr>
          <w:rFonts w:ascii="Arial Narrow" w:hAnsi="Arial Narrow"/>
          <w:b/>
          <w:bCs/>
          <w:sz w:val="20"/>
          <w:szCs w:val="20"/>
        </w:rPr>
      </w:pPr>
      <w:r>
        <w:rPr>
          <w:rFonts w:ascii="Arial Narrow" w:hAnsi="Arial Narrow"/>
          <w:b/>
          <w:bCs/>
          <w:sz w:val="20"/>
          <w:szCs w:val="20"/>
        </w:rPr>
        <w:t xml:space="preserve">Statybinės medžiagos</w:t>
      </w:r>
    </w:p>
    <w:p w14:paraId="75645378">
      <w:pPr>
        <w:pStyle w:val="Bodytext1"/>
        <w:numPr>
          <w:ilvl w:val="2"/>
          <w:numId w:val="19"/>
        </w:numPr>
        <w:shd w:val="clear" w:color="auto" w:fill="auto"/>
        <w:tabs>
          <w:tab w:val="left" w:pos="426"/>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V</w:t>
      </w:r>
      <w:r>
        <w:rPr>
          <w:rFonts w:ascii="Arial Narrow" w:hAnsi="Arial Narrow"/>
          <w:sz w:val="20"/>
          <w:szCs w:val="20"/>
        </w:rPr>
        <w:t xml:space="preserve">ykdant valstybinės reikšmės kelio paprastojo remonto darbus darbų metu nuardyti kelio elementai (toliau – medžiagos), įvertinus jų būklę, turi būti maksimaliai panaudojami pakartotinai tame pačiame projekte.</w:t>
      </w:r>
    </w:p>
    <w:p w14:paraId="75645379">
      <w:pPr>
        <w:pStyle w:val="Bodytext1"/>
        <w:numPr>
          <w:ilvl w:val="2"/>
          <w:numId w:val="19"/>
        </w:numPr>
        <w:shd w:val="clear" w:color="auto" w:fill="auto"/>
        <w:tabs>
          <w:tab w:val="left" w:pos="567"/>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Susidarančios medžiagos, kurios nenaudojamos projekte  ir nėra priskiriamos negražinamoms medžiagoms transportuojamos į AB „Via Lietuva“ nurodytas sandėliavimo vietą (-</w:t>
      </w:r>
      <w:r>
        <w:rPr>
          <w:rFonts w:ascii="Arial Narrow" w:hAnsi="Arial Narrow"/>
          <w:sz w:val="20"/>
          <w:szCs w:val="20"/>
        </w:rPr>
        <w:t xml:space="preserve">as</w:t>
      </w:r>
      <w:r>
        <w:rPr>
          <w:rFonts w:ascii="Arial Narrow" w:hAnsi="Arial Narrow"/>
          <w:sz w:val="20"/>
          <w:szCs w:val="20"/>
        </w:rPr>
        <w:t xml:space="preserve">), parenkant optimaliausią atstumą:</w:t>
      </w:r>
    </w:p>
    <w:p w14:paraId="7564537A">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1)AB „Kelių priežiūra“ Ukmergės kelių tarnybos Širvintų </w:t>
      </w:r>
      <w:r>
        <w:rPr>
          <w:rFonts w:ascii="Arial Narrow" w:hAnsi="Arial Narrow"/>
          <w:sz w:val="20"/>
          <w:szCs w:val="20"/>
        </w:rPr>
        <w:t xml:space="preserve">meistrija</w:t>
      </w:r>
      <w:r>
        <w:rPr>
          <w:rFonts w:ascii="Arial Narrow" w:hAnsi="Arial Narrow"/>
          <w:sz w:val="20"/>
          <w:szCs w:val="20"/>
        </w:rPr>
        <w:t xml:space="preserve">, </w:t>
      </w:r>
      <w:r>
        <w:rPr>
          <w:rFonts w:ascii="Arial Narrow" w:hAnsi="Arial Narrow"/>
          <w:sz w:val="20"/>
          <w:szCs w:val="20"/>
        </w:rPr>
        <w:t xml:space="preserve">Zibalų</w:t>
      </w:r>
      <w:r>
        <w:rPr>
          <w:rFonts w:ascii="Arial Narrow" w:hAnsi="Arial Narrow"/>
          <w:sz w:val="20"/>
          <w:szCs w:val="20"/>
        </w:rPr>
        <w:t xml:space="preserve"> g. 55, Širvintos.</w:t>
      </w:r>
    </w:p>
    <w:p w14:paraId="7564537B">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2) AB „Kelių priežiūra“ Panevėžio kelių tarnybos Panevėžio </w:t>
      </w:r>
      <w:r>
        <w:rPr>
          <w:rFonts w:ascii="Arial Narrow" w:hAnsi="Arial Narrow"/>
          <w:sz w:val="20"/>
          <w:szCs w:val="20"/>
        </w:rPr>
        <w:t xml:space="preserve">meistrijos</w:t>
      </w:r>
      <w:r>
        <w:rPr>
          <w:rFonts w:ascii="Arial Narrow" w:hAnsi="Arial Narrow"/>
          <w:sz w:val="20"/>
          <w:szCs w:val="20"/>
        </w:rPr>
        <w:t xml:space="preserve"> Karsakiškio gamybinė bazė, </w:t>
      </w:r>
      <w:r>
        <w:rPr>
          <w:rFonts w:ascii="Arial Narrow" w:hAnsi="Arial Narrow"/>
          <w:sz w:val="20"/>
          <w:szCs w:val="20"/>
        </w:rPr>
        <w:t xml:space="preserve">Kakūnų</w:t>
      </w:r>
      <w:r>
        <w:rPr>
          <w:rFonts w:ascii="Arial Narrow" w:hAnsi="Arial Narrow"/>
          <w:sz w:val="20"/>
          <w:szCs w:val="20"/>
        </w:rPr>
        <w:t xml:space="preserve"> k., Karsakiškio sen., Panevėžio r.</w:t>
      </w:r>
    </w:p>
    <w:p w14:paraId="7564537C">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3) AB „Kelių priežiūra“ Kretingos kelių tarnybos Plungės </w:t>
      </w:r>
      <w:r>
        <w:rPr>
          <w:rFonts w:ascii="Arial Narrow" w:hAnsi="Arial Narrow"/>
          <w:sz w:val="20"/>
          <w:szCs w:val="20"/>
        </w:rPr>
        <w:t xml:space="preserve">meistrija</w:t>
      </w:r>
      <w:r>
        <w:rPr>
          <w:rFonts w:ascii="Arial Narrow" w:hAnsi="Arial Narrow"/>
          <w:sz w:val="20"/>
          <w:szCs w:val="20"/>
        </w:rPr>
        <w:t xml:space="preserve">, Stoties g. 11a, Plungė.</w:t>
      </w:r>
    </w:p>
    <w:p w14:paraId="7564537D">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4) AB „Kelių priežiūra“ Kėdainių kelių tarnybos Kėdainių </w:t>
      </w:r>
      <w:r>
        <w:rPr>
          <w:rFonts w:ascii="Arial Narrow" w:hAnsi="Arial Narrow"/>
          <w:sz w:val="20"/>
          <w:szCs w:val="20"/>
        </w:rPr>
        <w:t xml:space="preserve">meistrija</w:t>
      </w:r>
      <w:r>
        <w:rPr>
          <w:rFonts w:ascii="Arial Narrow" w:hAnsi="Arial Narrow"/>
          <w:sz w:val="20"/>
          <w:szCs w:val="20"/>
        </w:rPr>
        <w:t xml:space="preserve">, Birutės g. 4, Kėdainiai.</w:t>
      </w:r>
    </w:p>
    <w:p w14:paraId="7564537E">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5) AB „Kelių priežiūra“ Marijampolės kelių tarnybos Marijampolės </w:t>
      </w:r>
      <w:r>
        <w:rPr>
          <w:rFonts w:ascii="Arial Narrow" w:hAnsi="Arial Narrow"/>
          <w:sz w:val="20"/>
          <w:szCs w:val="20"/>
        </w:rPr>
        <w:t xml:space="preserve">meistrija</w:t>
      </w:r>
      <w:r>
        <w:rPr>
          <w:rFonts w:ascii="Arial Narrow" w:hAnsi="Arial Narrow"/>
          <w:sz w:val="20"/>
          <w:szCs w:val="20"/>
        </w:rPr>
        <w:t xml:space="preserve">, Gamyklų g. 12, Marijampolė.</w:t>
      </w:r>
    </w:p>
    <w:p w14:paraId="7564537F">
      <w:pPr>
        <w:pStyle w:val="Bodytext1"/>
        <w:tabs>
          <w:tab w:val="left" w:pos="709"/>
        </w:tabs>
        <w:spacing w:before="0" w:after="0" w:line="240" w:lineRule="auto"/>
        <w:ind w:left="426" w:right="57" w:firstLine="0"/>
        <w:rPr>
          <w:rFonts w:ascii="Arial Narrow" w:hAnsi="Arial Narrow"/>
          <w:sz w:val="20"/>
          <w:szCs w:val="20"/>
        </w:rPr>
      </w:pPr>
      <w:r>
        <w:rPr>
          <w:rFonts w:ascii="Arial Narrow" w:hAnsi="Arial Narrow"/>
          <w:sz w:val="20"/>
          <w:szCs w:val="20"/>
        </w:rPr>
        <w:t xml:space="preserve">6) AB „Kelių priežiūra“ Trakų kelių tarnybos Vievio </w:t>
      </w:r>
      <w:r>
        <w:rPr>
          <w:rFonts w:ascii="Arial Narrow" w:hAnsi="Arial Narrow"/>
          <w:sz w:val="20"/>
          <w:szCs w:val="20"/>
        </w:rPr>
        <w:t xml:space="preserve">meistrija</w:t>
      </w:r>
      <w:r>
        <w:rPr>
          <w:rFonts w:ascii="Arial Narrow" w:hAnsi="Arial Narrow"/>
          <w:sz w:val="20"/>
          <w:szCs w:val="20"/>
        </w:rPr>
        <w:t xml:space="preserve">, Statybininkų g. 16, Vievis.</w:t>
      </w:r>
    </w:p>
    <w:p w14:paraId="75645380">
      <w:pPr>
        <w:pStyle w:val="Bodytext1"/>
        <w:spacing w:before="0" w:after="0" w:line="240" w:lineRule="auto"/>
        <w:ind w:right="57" w:firstLine="0"/>
        <w:rPr>
          <w:rFonts w:ascii="Arial Narrow" w:hAnsi="Arial Narrow"/>
          <w:sz w:val="20"/>
          <w:szCs w:val="20"/>
          <w:u w:val="single"/>
        </w:rPr>
      </w:pPr>
      <w:r>
        <w:rPr>
          <w:rFonts w:ascii="Arial Narrow" w:hAnsi="Arial Narrow"/>
          <w:sz w:val="20"/>
          <w:szCs w:val="20"/>
          <w:u w:val="single"/>
        </w:rPr>
        <w:t xml:space="preserve">Medžiagos, kurios turi būti gabenamos į sandėliavimo vietas:</w:t>
      </w:r>
    </w:p>
    <w:p w14:paraId="75645381">
      <w:pPr>
        <w:pStyle w:val="Bodytext1"/>
        <w:shd w:val="clear" w:color="auto" w:fill="auto"/>
        <w:spacing w:before="0" w:after="0" w:line="240" w:lineRule="auto"/>
        <w:ind w:right="57" w:firstLine="0"/>
        <w:jc w:val="both"/>
        <w:rPr>
          <w:rFonts w:ascii="Arial Narrow" w:hAnsi="Arial Narrow"/>
          <w:sz w:val="20"/>
          <w:szCs w:val="20"/>
        </w:rPr>
      </w:pPr>
      <w:r>
        <w:rPr>
          <w:rFonts w:ascii="Arial Narrow" w:hAnsi="Arial Narrow"/>
          <w:sz w:val="20"/>
          <w:szCs w:val="20"/>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r>
        <w:rPr>
          <w:rFonts w:ascii="Arial Narrow" w:hAnsi="Arial Narrow"/>
          <w:sz w:val="20"/>
          <w:szCs w:val="20"/>
        </w:rPr>
        <w:t xml:space="preserve">spraustasienės</w:t>
      </w:r>
      <w:r>
        <w:rPr>
          <w:rFonts w:ascii="Arial Narrow" w:hAnsi="Arial Narrow"/>
          <w:sz w:val="20"/>
          <w:szCs w:val="20"/>
        </w:rPr>
        <w:t xml:space="preserve">, pralaidos ir kt.</w:t>
      </w:r>
    </w:p>
    <w:p w14:paraId="75645382">
      <w:pPr>
        <w:pStyle w:val="Bodytext1"/>
        <w:numPr>
          <w:ilvl w:val="2"/>
          <w:numId w:val="19"/>
        </w:numPr>
        <w:shd w:val="clear" w:color="auto" w:fill="auto"/>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 xml:space="preserve">Kitos medžiagos, kurios gali būti panaudotos pakartotinai, gali būti gabenamos į sandėliavimo vietas tik suderinus su AB „Via Lietuva.</w:t>
      </w:r>
    </w:p>
    <w:p w14:paraId="75645383">
      <w:pPr>
        <w:pStyle w:val="Bodytext1"/>
        <w:numPr>
          <w:ilvl w:val="2"/>
          <w:numId w:val="19"/>
        </w:numPr>
        <w:shd w:val="clear" w:color="auto" w:fill="auto"/>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w:t>
      </w:r>
      <w:r>
        <w:rPr>
          <w:rFonts w:ascii="Arial Narrow" w:hAnsi="Arial Narrow"/>
          <w:sz w:val="20"/>
          <w:szCs w:val="20"/>
        </w:rPr>
        <w:t xml:space="preserve">būti nurodytas tik perduodamas kiekis.</w:t>
      </w:r>
    </w:p>
    <w:p w14:paraId="75645384">
      <w:pPr>
        <w:pStyle w:val="Bodytext1"/>
        <w:numPr>
          <w:ilvl w:val="2"/>
          <w:numId w:val="19"/>
        </w:numPr>
        <w:shd w:val="clear" w:color="auto" w:fill="auto"/>
        <w:tabs>
          <w:tab w:val="left" w:pos="426"/>
        </w:tabs>
        <w:spacing w:before="0" w:after="0" w:line="240" w:lineRule="auto"/>
        <w:ind w:left="0" w:right="57" w:firstLine="0"/>
        <w:jc w:val="both"/>
        <w:rPr>
          <w:rFonts w:ascii="Arial Narrow" w:hAnsi="Arial Narrow"/>
          <w:sz w:val="20"/>
          <w:szCs w:val="20"/>
        </w:rPr>
      </w:pPr>
      <w:r>
        <w:rPr>
          <w:rFonts w:ascii="Arial Narrow" w:hAnsi="Arial Narrow"/>
          <w:sz w:val="20"/>
          <w:szCs w:val="20"/>
        </w:rPr>
        <w:t xml:space="preserve">Rangovas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5645385">
      <w:pPr>
        <w:pStyle w:val="Bodytext1"/>
        <w:shd w:val="clear" w:color="auto" w:fill="auto"/>
        <w:spacing w:before="0" w:after="0" w:line="240" w:lineRule="auto"/>
        <w:ind w:left="567" w:right="57" w:hanging="283"/>
        <w:jc w:val="both"/>
        <w:rPr>
          <w:rFonts w:ascii="Arial Narrow" w:hAnsi="Arial Narrow"/>
          <w:sz w:val="20"/>
          <w:szCs w:val="20"/>
        </w:rPr>
      </w:pPr>
    </w:p>
    <w:p w14:paraId="75645386">
      <w:pPr>
        <w:pStyle w:val="Bodytext1"/>
        <w:numPr>
          <w:ilvl w:val="1"/>
          <w:numId w:val="19"/>
        </w:numPr>
        <w:shd w:val="clear" w:color="auto" w:fill="auto"/>
        <w:tabs>
          <w:tab w:val="left" w:pos="284"/>
        </w:tabs>
        <w:spacing w:before="0" w:after="0" w:line="240" w:lineRule="auto"/>
        <w:ind w:left="0" w:right="55" w:firstLine="0"/>
        <w:jc w:val="both"/>
        <w:rPr>
          <w:rFonts w:ascii="Arial Narrow" w:hAnsi="Arial Narrow"/>
          <w:b/>
          <w:bCs/>
          <w:sz w:val="20"/>
          <w:szCs w:val="20"/>
        </w:rPr>
      </w:pPr>
      <w:r>
        <w:rPr>
          <w:rFonts w:ascii="Arial Narrow" w:hAnsi="Arial Narrow"/>
          <w:b/>
          <w:bCs/>
          <w:sz w:val="20"/>
          <w:szCs w:val="20"/>
        </w:rPr>
        <w:t xml:space="preserve">Negražinamos medžiagos</w:t>
      </w:r>
    </w:p>
    <w:p w14:paraId="75645387">
      <w:pPr>
        <w:spacing/>
        <w:rPr>
          <w:rFonts w:ascii="Arial Narrow" w:hAnsi="Arial Narrow" w:eastAsia="Arial Narrow" w:cs="Arial Narrow"/>
          <w:sz w:val="20"/>
        </w:rPr>
      </w:pPr>
      <w:r>
        <w:rPr>
          <w:rFonts w:ascii="Arial Narrow" w:hAnsi="Arial Narrow" w:eastAsia="Arial Narrow" w:cs="Arial Narrow"/>
          <w:sz w:val="20"/>
        </w:rPr>
        <w:t xml:space="preserve">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r>
        <w:rPr>
          <w:rFonts w:ascii="Arial Narrow" w:hAnsi="Arial Narrow" w:eastAsia="Arial Narrow" w:cs="Arial Narrow"/>
          <w:sz w:val="20"/>
        </w:rPr>
        <w:t xml:space="preserve">omis</w:t>
      </w:r>
      <w:r>
        <w:rPr>
          <w:rFonts w:ascii="Arial Narrow" w:hAnsi="Arial Narrow" w:eastAsia="Arial Narrow" w:cs="Arial Narrow"/>
          <w:sz w:val="20"/>
        </w:rPr>
        <w:t xml:space="preserve">) eilute (- </w:t>
      </w:r>
      <w:r>
        <w:rPr>
          <w:rFonts w:ascii="Arial Narrow" w:hAnsi="Arial Narrow" w:eastAsia="Arial Narrow" w:cs="Arial Narrow"/>
          <w:sz w:val="20"/>
        </w:rPr>
        <w:t xml:space="preserve">ėmis</w:t>
      </w:r>
      <w:r>
        <w:rPr>
          <w:rFonts w:ascii="Arial Narrow" w:hAnsi="Arial Narrow" w:eastAsia="Arial Narrow" w:cs="Arial Narrow"/>
          <w:sz w:val="20"/>
        </w:rPr>
        <w:t xml:space="preserve">) su minuso ženklu. Šios medžiagos lieka rangovui. Pateikiami jų įkainiai:</w:t>
      </w:r>
    </w:p>
    <w:p w14:paraId="75645388">
      <w:pPr>
        <w:pStyle w:val="Sraopastraipa"/>
        <w:numPr>
          <w:ilvl w:val="0"/>
          <w:numId w:val="10"/>
        </w:numPr>
        <w:spacing/>
        <w:jc w:val="both"/>
        <w:rPr>
          <w:rFonts w:eastAsia="Arial Narrow" w:cs="Arial Narrow"/>
        </w:rPr>
      </w:pPr>
      <w:r>
        <w:rPr>
          <w:rFonts w:eastAsia="Arial Narrow" w:cs="Arial Narrow"/>
        </w:rPr>
        <w:t xml:space="preserve">žvyro ir skaldos mišinys, nesurištasis mineralinių medžiagų mišinys – ≤ -4,00 Eur/t arba -6,00 Eur/m3 (santykis 1,5);</w:t>
      </w:r>
    </w:p>
    <w:p w14:paraId="75645389">
      <w:pPr>
        <w:pStyle w:val="Sraopastraipa"/>
        <w:numPr>
          <w:ilvl w:val="0"/>
          <w:numId w:val="10"/>
        </w:numPr>
        <w:spacing/>
        <w:jc w:val="both"/>
        <w:rPr>
          <w:rFonts w:eastAsia="Arial Narrow" w:cs="Arial Narrow"/>
        </w:rPr>
      </w:pPr>
      <w:r>
        <w:rPr>
          <w:rFonts w:eastAsia="Arial Narrow" w:cs="Arial Narrow"/>
        </w:rPr>
        <w:t xml:space="preserve">skalda – ≤ -5,00 Eur/t arba -7,50 Eur/m3 (santykis 1,5);</w:t>
      </w:r>
    </w:p>
    <w:p w14:paraId="7564538A">
      <w:pPr>
        <w:pStyle w:val="Sraopastraipa"/>
        <w:numPr>
          <w:ilvl w:val="0"/>
          <w:numId w:val="10"/>
        </w:numPr>
        <w:spacing/>
        <w:jc w:val="both"/>
        <w:rPr>
          <w:rFonts w:eastAsia="Arial Narrow" w:cs="Arial Narrow"/>
        </w:rPr>
      </w:pPr>
      <w:r>
        <w:rPr>
          <w:rFonts w:eastAsia="Arial Narrow" w:cs="Arial Narrow"/>
        </w:rPr>
        <w:t xml:space="preserve">grindinio akmenys – ≤ -15,00 Eur/t arba -40,50 Eur/m3 (santykis 2,7);</w:t>
      </w:r>
    </w:p>
    <w:p w14:paraId="7564538B">
      <w:pPr>
        <w:pStyle w:val="Sraopastraipa"/>
        <w:numPr>
          <w:ilvl w:val="0"/>
          <w:numId w:val="10"/>
        </w:numPr>
        <w:spacing/>
        <w:jc w:val="both"/>
        <w:rPr>
          <w:rFonts w:eastAsia="Arial Narrow" w:cs="Arial Narrow"/>
        </w:rPr>
      </w:pPr>
      <w:r>
        <w:rPr>
          <w:rFonts w:eastAsia="Arial Narrow" w:cs="Arial Narrow"/>
        </w:rPr>
        <w:t xml:space="preserve">frezuoto asfalto granulės – ≤ -7,00 Eur/t arba -11,20 Eur/m3 (santykis 1,6);</w:t>
      </w:r>
    </w:p>
    <w:p w14:paraId="7564538C">
      <w:pPr>
        <w:pStyle w:val="Sraopastraipa"/>
        <w:numPr>
          <w:ilvl w:val="0"/>
          <w:numId w:val="10"/>
        </w:numPr>
        <w:spacing/>
        <w:jc w:val="both"/>
        <w:rPr>
          <w:rFonts w:eastAsia="Arial Narrow" w:cs="Arial Narrow"/>
        </w:rPr>
      </w:pPr>
      <w:r>
        <w:rPr>
          <w:rFonts w:eastAsia="Arial Narrow" w:cs="Arial Narrow"/>
        </w:rPr>
        <w:t xml:space="preserve">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7564538D">
      <w:pPr>
        <w:pStyle w:val="Bodytext1"/>
        <w:shd w:val="clear" w:color="auto" w:fill="auto"/>
        <w:tabs>
          <w:tab w:val="left" w:pos="284"/>
        </w:tabs>
        <w:spacing w:before="0" w:after="0" w:line="240" w:lineRule="auto"/>
        <w:ind w:right="55" w:firstLine="0"/>
        <w:jc w:val="both"/>
        <w:rPr>
          <w:rFonts w:ascii="Arial Narrow" w:hAnsi="Arial Narrow"/>
          <w:sz w:val="20"/>
          <w:szCs w:val="20"/>
        </w:rPr>
      </w:pPr>
      <w:r>
        <w:rPr>
          <w:rFonts w:ascii="Arial Narrow" w:hAnsi="Arial Narrow"/>
          <w:sz w:val="20"/>
          <w:szCs w:val="20"/>
        </w:rPr>
        <w:t xml:space="preserve">. </w:t>
      </w:r>
    </w:p>
    <w:p w14:paraId="7564538E">
      <w:pPr>
        <w:pStyle w:val="Bodytext1"/>
        <w:numPr>
          <w:ilvl w:val="1"/>
          <w:numId w:val="19"/>
        </w:numPr>
        <w:shd w:val="clear" w:color="auto" w:fill="auto"/>
        <w:tabs>
          <w:tab w:val="left" w:pos="284"/>
        </w:tabs>
        <w:spacing w:before="0" w:after="0" w:line="240" w:lineRule="auto"/>
        <w:ind w:left="0" w:right="55" w:firstLine="0"/>
        <w:jc w:val="both"/>
        <w:rPr>
          <w:rFonts w:ascii="Arial Narrow" w:hAnsi="Arial Narrow"/>
          <w:b/>
          <w:bCs/>
          <w:sz w:val="20"/>
          <w:szCs w:val="20"/>
        </w:rPr>
      </w:pPr>
      <w:r>
        <w:rPr>
          <w:rFonts w:ascii="Arial Narrow" w:hAnsi="Arial Narrow"/>
          <w:b/>
          <w:bCs/>
          <w:sz w:val="20"/>
          <w:szCs w:val="20"/>
        </w:rPr>
        <w:t xml:space="preserve">Statybinės atliekos</w:t>
      </w:r>
    </w:p>
    <w:p w14:paraId="7564538F">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sz w:val="20"/>
          <w:szCs w:val="20"/>
        </w:rPr>
        <w:t xml:space="preserve">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75645390">
      <w:pPr>
        <w:spacing/>
        <w:jc w:val="left"/>
        <w:rPr>
          <w:rFonts w:ascii="Arial Narrow" w:hAnsi="Arial Narrow"/>
          <w:b/>
          <w:caps/>
        </w:rPr>
      </w:pP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9. DARBŲ PERDAVIMAS</w:t>
            </w:r>
          </w:p>
        </w:tc>
      </w:tr>
    </w:tbl>
    <w:p w14:paraId="75645393">
      <w:pPr>
        <w:spacing/>
        <w:jc w:val="left"/>
        <w:rPr>
          <w:rFonts w:ascii="Arial Narrow" w:hAnsi="Arial Narrow"/>
          <w:b/>
          <w:caps/>
        </w:rPr>
      </w:pPr>
    </w:p>
    <w:p w14:paraId="75645394">
      <w:pPr>
        <w:pStyle w:val="Bodytext1"/>
        <w:tabs>
          <w:tab w:val="left" w:pos="567"/>
        </w:tabs>
        <w:spacing w:before="0" w:after="0" w:line="240" w:lineRule="auto"/>
        <w:ind w:right="57" w:firstLine="0"/>
        <w:jc w:val="both"/>
        <w:rPr>
          <w:rFonts w:ascii="Arial Narrow" w:hAnsi="Arial Narrow"/>
          <w:sz w:val="20"/>
          <w:szCs w:val="20"/>
        </w:rPr>
      </w:pPr>
      <w:r>
        <w:rPr>
          <w:rFonts w:ascii="Arial Narrow" w:hAnsi="Arial Narrow"/>
          <w:sz w:val="20"/>
          <w:szCs w:val="20"/>
        </w:rPr>
        <w:t xml:space="preserve">Baigti darbai Užsakovui perduodami sutarties sąlygose nustatyta tvarka, pasirašant Tiekėjo atliktų statybos darbų perdavimo Statytojui (Užsakovui) aktą. Šis aktas išduodamas tik tada, kai yra įvykdyti sekantys reikalavimai:</w:t>
      </w:r>
    </w:p>
    <w:p w14:paraId="75645395">
      <w:pPr>
        <w:pStyle w:val="Bodytext1"/>
        <w:numPr>
          <w:ilvl w:val="1"/>
          <w:numId w:val="28"/>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Visiškai pašalinti Užsakovo ir techninio prižiūrėtojo nustatyti statybos darbų trūkumai, defektai ir (ar) netikslumai;</w:t>
      </w:r>
    </w:p>
    <w:p w14:paraId="75645396">
      <w:pPr>
        <w:pStyle w:val="Bodytext1"/>
        <w:numPr>
          <w:ilvl w:val="1"/>
          <w:numId w:val="28"/>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Statinys atitinka Techninėje specifikacijoje ir Apraše numatytus reikalavimus;</w:t>
      </w:r>
    </w:p>
    <w:p w14:paraId="75645397">
      <w:pPr>
        <w:pStyle w:val="Bodytext1"/>
        <w:numPr>
          <w:ilvl w:val="1"/>
          <w:numId w:val="28"/>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Išpildomoji dokumentacija (išpildomoji geodezinė nuotrauka) yra perduota Užsakovui;</w:t>
      </w:r>
    </w:p>
    <w:p w14:paraId="75645398">
      <w:pPr>
        <w:pStyle w:val="Bodytext1"/>
        <w:numPr>
          <w:ilvl w:val="1"/>
          <w:numId w:val="28"/>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Galutinė Aprašo laida, atitinkanti išpildomąją dokumentaciją, yra perduota Užsakovui.</w:t>
      </w:r>
    </w:p>
    <w:p w14:paraId="75645399">
      <w:pPr>
        <w:pStyle w:val="Bodytext1"/>
        <w:numPr>
          <w:ilvl w:val="1"/>
          <w:numId w:val="28"/>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Atlikti kontroliniai bandymai;</w:t>
      </w:r>
    </w:p>
    <w:p w14:paraId="7564539A">
      <w:pPr>
        <w:pStyle w:val="Bodytext1"/>
        <w:numPr>
          <w:ilvl w:val="1"/>
          <w:numId w:val="28"/>
        </w:numPr>
        <w:tabs>
          <w:tab w:val="left" w:pos="567"/>
        </w:tabs>
        <w:spacing w:before="0" w:after="0" w:line="240" w:lineRule="auto"/>
        <w:ind w:left="426" w:right="57" w:hanging="426"/>
        <w:rPr>
          <w:rFonts w:ascii="Arial Narrow" w:hAnsi="Arial Narrow"/>
          <w:sz w:val="20"/>
          <w:szCs w:val="20"/>
        </w:rPr>
      </w:pPr>
      <w:r>
        <w:rPr>
          <w:rFonts w:ascii="Arial Narrow" w:hAnsi="Arial Narrow"/>
          <w:sz w:val="20"/>
          <w:szCs w:val="20"/>
        </w:rPr>
        <w:t xml:space="preserve">Parengta ar atnaujinta kadastrinių matavimų byla;</w:t>
      </w:r>
    </w:p>
    <w:p w14:paraId="7564539B">
      <w:pPr>
        <w:pStyle w:val="Bodytext1"/>
        <w:numPr>
          <w:ilvl w:val="1"/>
          <w:numId w:val="28"/>
        </w:numPr>
        <w:tabs>
          <w:tab w:val="left" w:pos="567"/>
        </w:tabs>
        <w:spacing w:before="0" w:after="0" w:line="240" w:lineRule="auto"/>
        <w:ind w:left="426" w:right="57" w:hanging="426"/>
        <w:jc w:val="both"/>
        <w:rPr>
          <w:rFonts w:ascii="Arial Narrow" w:hAnsi="Arial Narrow"/>
          <w:sz w:val="20"/>
          <w:szCs w:val="20"/>
        </w:rPr>
      </w:pPr>
      <w:r>
        <w:rPr>
          <w:rFonts w:ascii="Arial Narrow" w:hAnsi="Arial Narrow"/>
          <w:sz w:val="20"/>
          <w:szCs w:val="20"/>
        </w:rPr>
        <w:t xml:space="preserve">Parengta deklaracija apie statybos užbaigimą ir pateikta ją tvirtinti bei įregistruota Lietuvos Respublikos statybos įstatymo nustatyta tvarka;</w:t>
      </w:r>
    </w:p>
    <w:p w14:paraId="7564539C">
      <w:pPr>
        <w:pStyle w:val="Bodytext1"/>
        <w:numPr>
          <w:ilvl w:val="1"/>
          <w:numId w:val="28"/>
        </w:numPr>
        <w:tabs>
          <w:tab w:val="left" w:pos="567"/>
        </w:tabs>
        <w:spacing w:before="0" w:after="0" w:line="240" w:lineRule="auto"/>
        <w:ind w:left="426" w:right="57" w:hanging="426"/>
        <w:jc w:val="both"/>
        <w:rPr>
          <w:rFonts w:ascii="Arial Narrow" w:hAnsi="Arial Narrow"/>
          <w:sz w:val="20"/>
          <w:szCs w:val="20"/>
        </w:rPr>
      </w:pPr>
      <w:r>
        <w:rPr>
          <w:rFonts w:ascii="Arial Narrow" w:hAnsi="Arial Narrow"/>
          <w:sz w:val="20"/>
          <w:szCs w:val="20"/>
        </w:rPr>
        <w:t xml:space="preserve">Vadovaujantis Duomenų apie Lietuvos valstybinės reikšmės kelius teikimo taisyklėmis, pateikti ir suderinti su Užsakovu kelių matavimų duomenis.</w:t>
      </w:r>
    </w:p>
    <w:p w14:paraId="7564539D">
      <w:pPr>
        <w:pStyle w:val="Bodytext1"/>
        <w:tabs>
          <w:tab w:val="left" w:pos="567"/>
        </w:tabs>
        <w:spacing w:before="0" w:after="0" w:line="240" w:lineRule="auto"/>
        <w:ind w:left="426" w:right="57" w:firstLine="0"/>
        <w:rPr>
          <w:rFonts w:ascii="Arial Narrow" w:hAnsi="Arial Narrow"/>
          <w:sz w:val="20"/>
          <w:szCs w:val="20"/>
        </w:rPr>
      </w:pPr>
    </w:p>
    <w:tbl>
      <w:tblPr>
        <w:tblStyle w:val="Lentelstinklelis"/>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trPr>
          <w:trHeight w:val="416" w:hRule="atLeast"/>
        </w:trPr>
        <w:tc>
          <w:tcPr>
            <w:tcW w:type="dxa" w:w="9628"/>
            <w:tcBorders/>
            <w:shd w:fill="005063" w:color="auto" w:val="clear"/>
            <w:vAlign w:val="center"/>
          </w:tcPr>
          <w:p>
            <w:pPr>
              <w:spacing/>
              <w:jc w:val="left"/>
              <w:rPr>
                <w:rFonts w:ascii="Arial Narrow" w:hAnsi="Arial Narrow"/>
                <w:b/>
                <w:caps/>
                <w:color w:val="FFFFFF"/>
                <w:sz w:val="20"/>
                <w:szCs w:val="16"/>
              </w:rPr>
            </w:pPr>
            <w:r>
              <w:rPr>
                <w:rFonts w:ascii="Arial Narrow" w:hAnsi="Arial Narrow"/>
                <w:b/>
                <w:caps/>
                <w:color w:val="FFFFFF"/>
                <w:sz w:val="20"/>
                <w:szCs w:val="16"/>
              </w:rPr>
              <w:t xml:space="preserve">10. PREDAI</w:t>
            </w:r>
          </w:p>
        </w:tc>
      </w:tr>
    </w:tbl>
    <w:p w14:paraId="756453A0">
      <w:pPr>
        <w:spacing/>
        <w:jc w:val="left"/>
        <w:rPr>
          <w:rFonts w:ascii="Arial Narrow" w:hAnsi="Arial Narrow"/>
          <w:b/>
          <w:bCs/>
          <w:caps/>
        </w:rPr>
      </w:pPr>
    </w:p>
    <w:p w14:paraId="756453A1">
      <w:pPr>
        <w:pStyle w:val="Bodytext1"/>
        <w:numPr>
          <w:ilvl w:val="0"/>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Standartizuoto darbų kiekių žiniaraščio SDKŽ šablonas (.</w:t>
      </w:r>
      <w:r>
        <w:rPr>
          <w:rFonts w:ascii="Arial Narrow" w:hAnsi="Arial Narrow"/>
          <w:sz w:val="20"/>
          <w:szCs w:val="20"/>
        </w:rPr>
        <w:t xml:space="preserve">zip</w:t>
      </w:r>
      <w:r>
        <w:rPr>
          <w:rFonts w:ascii="Arial Narrow" w:hAnsi="Arial Narrow"/>
          <w:sz w:val="20"/>
          <w:szCs w:val="20"/>
        </w:rPr>
        <w:t xml:space="preserve"> formatas)</w:t>
      </w:r>
    </w:p>
    <w:p w14:paraId="756453A2">
      <w:pPr>
        <w:pStyle w:val="Bodytext1"/>
        <w:numPr>
          <w:ilvl w:val="0"/>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Kadastriniai matavimai (.</w:t>
      </w:r>
      <w:r>
        <w:rPr>
          <w:rFonts w:ascii="Arial Narrow" w:hAnsi="Arial Narrow"/>
          <w:sz w:val="20"/>
          <w:szCs w:val="20"/>
        </w:rPr>
        <w:t xml:space="preserve">zip</w:t>
      </w:r>
      <w:r>
        <w:rPr>
          <w:rFonts w:ascii="Arial Narrow" w:hAnsi="Arial Narrow"/>
          <w:sz w:val="20"/>
          <w:szCs w:val="20"/>
        </w:rPr>
        <w:t xml:space="preserve"> formatas) (pateikiama pasirašius paslaugų sutartį)</w:t>
      </w:r>
    </w:p>
    <w:p w14:paraId="756453A3">
      <w:pPr>
        <w:pStyle w:val="Bodytext1"/>
        <w:numPr>
          <w:ilvl w:val="0"/>
          <w:numId w:val="25"/>
        </w:numPr>
        <w:shd w:val="clear" w:color="auto" w:fill="auto"/>
        <w:tabs>
          <w:tab w:val="left" w:pos="284"/>
        </w:tabs>
        <w:spacing w:before="0" w:after="0" w:line="240" w:lineRule="auto"/>
        <w:ind w:left="0" w:right="55" w:firstLine="0"/>
        <w:jc w:val="both"/>
        <w:rPr>
          <w:rFonts w:ascii="Arial Narrow" w:hAnsi="Arial Narrow"/>
          <w:sz w:val="20"/>
          <w:szCs w:val="20"/>
        </w:rPr>
      </w:pPr>
      <w:bookmarkStart w:id="4" w:name="_Hlk156456009"/>
      <w:bookmarkStart w:id="5" w:name="_Hlk146884741"/>
      <w:r>
        <w:rPr>
          <w:rFonts w:ascii="Arial Narrow" w:hAnsi="Arial Narrow"/>
          <w:sz w:val="20"/>
          <w:szCs w:val="20"/>
        </w:rPr>
        <w:t xml:space="preserve">Dangos konstrukcijos sluoksnių storių matavimo aktas </w:t>
      </w:r>
      <w:r>
        <w:rPr>
          <w:rFonts w:ascii="Arial Narrow" w:hAnsi="Arial Narrow"/>
          <w:sz w:val="20"/>
          <w:szCs w:val="20"/>
        </w:rPr>
        <w:t xml:space="preserve">k.p</w:t>
      </w:r>
      <w:r>
        <w:rPr>
          <w:rFonts w:ascii="Arial Narrow" w:hAnsi="Arial Narrow"/>
          <w:sz w:val="20"/>
          <w:szCs w:val="20"/>
        </w:rPr>
        <w:t xml:space="preserve">. (*.</w:t>
      </w:r>
      <w:r>
        <w:rPr>
          <w:rFonts w:ascii="Arial Narrow" w:hAnsi="Arial Narrow"/>
          <w:sz w:val="20"/>
          <w:szCs w:val="20"/>
        </w:rPr>
        <w:t xml:space="preserve">xlsx</w:t>
      </w:r>
      <w:r>
        <w:rPr>
          <w:rFonts w:ascii="Arial Narrow" w:hAnsi="Arial Narrow"/>
          <w:sz w:val="20"/>
          <w:szCs w:val="20"/>
        </w:rPr>
        <w:t xml:space="preserve"> formatu)</w:t>
      </w:r>
    </w:p>
    <w:p w14:paraId="756453A4">
      <w:pPr>
        <w:pStyle w:val="Bodytext1"/>
        <w:numPr>
          <w:ilvl w:val="0"/>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Dangos konstrukcijos sluoksnių storių matavimo aktas </w:t>
      </w:r>
      <w:r>
        <w:rPr>
          <w:rFonts w:ascii="Arial Narrow" w:hAnsi="Arial Narrow"/>
          <w:sz w:val="20"/>
          <w:szCs w:val="20"/>
        </w:rPr>
        <w:t xml:space="preserve">d.p</w:t>
      </w:r>
      <w:r>
        <w:rPr>
          <w:rFonts w:ascii="Arial Narrow" w:hAnsi="Arial Narrow"/>
          <w:sz w:val="20"/>
          <w:szCs w:val="20"/>
        </w:rPr>
        <w:t xml:space="preserve">. (*.</w:t>
      </w:r>
      <w:r>
        <w:rPr>
          <w:rFonts w:ascii="Arial Narrow" w:hAnsi="Arial Narrow"/>
          <w:sz w:val="20"/>
          <w:szCs w:val="20"/>
        </w:rPr>
        <w:t xml:space="preserve">xlsx</w:t>
      </w:r>
      <w:r>
        <w:rPr>
          <w:rFonts w:ascii="Arial Narrow" w:hAnsi="Arial Narrow"/>
          <w:sz w:val="20"/>
          <w:szCs w:val="20"/>
        </w:rPr>
        <w:t xml:space="preserve"> formatu)</w:t>
      </w:r>
    </w:p>
    <w:p w14:paraId="79268D93">
      <w:pPr>
        <w:pStyle w:val="Bodytext1"/>
        <w:numPr>
          <w:ilvl w:val="0"/>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Dangos konstrukcijos sluoksnių storių matavimo aktas (*.</w:t>
      </w:r>
      <w:r>
        <w:rPr>
          <w:rFonts w:ascii="Arial Narrow" w:hAnsi="Arial Narrow"/>
          <w:sz w:val="20"/>
          <w:szCs w:val="20"/>
        </w:rPr>
        <w:t xml:space="preserve">xlsx</w:t>
      </w:r>
      <w:r>
        <w:rPr>
          <w:rFonts w:ascii="Arial Narrow" w:hAnsi="Arial Narrow"/>
          <w:sz w:val="20"/>
          <w:szCs w:val="20"/>
        </w:rPr>
        <w:t xml:space="preserve"> formatu</w:t>
      </w:r>
    </w:p>
    <w:bookmarkEnd w:id="4"/>
    <w:p w14:paraId="756453A5">
      <w:pPr>
        <w:pStyle w:val="Bodytext1"/>
        <w:numPr>
          <w:ilvl w:val="0"/>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Dangos konstrukcijos sluoksnių storių diagrama </w:t>
      </w:r>
      <w:r>
        <w:rPr>
          <w:rFonts w:ascii="Arial Narrow" w:hAnsi="Arial Narrow"/>
          <w:sz w:val="20"/>
          <w:szCs w:val="20"/>
        </w:rPr>
        <w:t xml:space="preserve">k.p</w:t>
      </w:r>
      <w:r>
        <w:rPr>
          <w:rFonts w:ascii="Arial Narrow" w:hAnsi="Arial Narrow"/>
          <w:sz w:val="20"/>
          <w:szCs w:val="20"/>
        </w:rPr>
        <w:t xml:space="preserve">. (*.</w:t>
      </w:r>
      <w:r>
        <w:rPr>
          <w:rFonts w:ascii="Arial Narrow" w:hAnsi="Arial Narrow"/>
          <w:sz w:val="20"/>
          <w:szCs w:val="20"/>
        </w:rPr>
        <w:t xml:space="preserve">xlsx</w:t>
      </w:r>
      <w:r>
        <w:rPr>
          <w:rFonts w:ascii="Arial Narrow" w:hAnsi="Arial Narrow"/>
          <w:sz w:val="20"/>
          <w:szCs w:val="20"/>
        </w:rPr>
        <w:t xml:space="preserve"> formatu)</w:t>
      </w:r>
    </w:p>
    <w:p w14:paraId="756453A6">
      <w:pPr>
        <w:pStyle w:val="Bodytext1"/>
        <w:numPr>
          <w:ilvl w:val="0"/>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Dangos konstrukcijos sluoksnių storių diagrama </w:t>
      </w:r>
      <w:r>
        <w:rPr>
          <w:rFonts w:ascii="Arial Narrow" w:hAnsi="Arial Narrow"/>
          <w:sz w:val="20"/>
          <w:szCs w:val="20"/>
        </w:rPr>
        <w:t xml:space="preserve">d.p</w:t>
      </w:r>
      <w:r>
        <w:rPr>
          <w:rFonts w:ascii="Arial Narrow" w:hAnsi="Arial Narrow"/>
          <w:sz w:val="20"/>
          <w:szCs w:val="20"/>
        </w:rPr>
        <w:t xml:space="preserve">. (*.</w:t>
      </w:r>
      <w:r>
        <w:rPr>
          <w:rFonts w:ascii="Arial Narrow" w:hAnsi="Arial Narrow"/>
          <w:sz w:val="20"/>
          <w:szCs w:val="20"/>
        </w:rPr>
        <w:t xml:space="preserve">xlsx</w:t>
      </w:r>
      <w:r>
        <w:rPr>
          <w:rFonts w:ascii="Arial Narrow" w:hAnsi="Arial Narrow"/>
          <w:sz w:val="20"/>
          <w:szCs w:val="20"/>
        </w:rPr>
        <w:t xml:space="preserve"> formatu)</w:t>
      </w:r>
    </w:p>
    <w:bookmarkEnd w:id="5"/>
    <w:p w14:paraId="756453A7">
      <w:pPr>
        <w:pStyle w:val="Bodytext1"/>
        <w:numPr>
          <w:ilvl w:val="0"/>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Statiniu apžiūros aktai, pasai, schemos(.zip formatas)</w:t>
      </w:r>
    </w:p>
    <w:p w14:paraId="756453A8">
      <w:pPr>
        <w:pStyle w:val="Bodytext1"/>
        <w:numPr>
          <w:ilvl w:val="0"/>
          <w:numId w:val="25"/>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 </w:t>
      </w:r>
      <w:r>
        <w:rPr>
          <w:rFonts w:ascii="Arial Narrow" w:hAnsi="Arial Narrow"/>
          <w:sz w:val="20"/>
          <w:szCs w:val="20"/>
        </w:rPr>
        <w:t xml:space="preserve">Indukcinių_kilpu_atstatymo_Technine_specifikacija</w:t>
      </w:r>
    </w:p>
    <w:p w14:paraId="756453A9">
      <w:pPr>
        <w:pStyle w:val="Bodytext1"/>
        <w:shd w:val="clear" w:color="auto" w:fill="auto"/>
        <w:tabs>
          <w:tab w:val="left" w:pos="0"/>
        </w:tabs>
        <w:spacing w:before="0" w:after="0" w:line="240" w:lineRule="auto"/>
        <w:ind w:right="55" w:firstLine="0"/>
        <w:jc w:val="both"/>
        <w:rPr>
          <w:rFonts w:ascii="Arial Narrow" w:hAnsi="Arial Narrow"/>
          <w:b/>
          <w:bCs/>
          <w:sz w:val="20"/>
          <w:szCs w:val="20"/>
        </w:rPr>
      </w:pPr>
    </w:p>
    <w:p w14:paraId="756453AA">
      <w:pPr>
        <w:pStyle w:val="Bodytext1"/>
        <w:shd w:val="clear" w:color="auto" w:fill="auto"/>
        <w:tabs>
          <w:tab w:val="left" w:pos="0"/>
        </w:tabs>
        <w:spacing w:before="0" w:after="0" w:line="240" w:lineRule="auto"/>
        <w:ind w:right="55" w:firstLine="0"/>
        <w:jc w:val="both"/>
        <w:rPr>
          <w:rFonts w:ascii="Arial Narrow" w:hAnsi="Arial Narrow"/>
          <w:sz w:val="20"/>
          <w:szCs w:val="20"/>
        </w:rPr>
      </w:pPr>
      <w:r>
        <w:rPr>
          <w:rFonts w:ascii="Arial Narrow" w:hAnsi="Arial Narrow"/>
          <w:b/>
          <w:bCs/>
          <w:sz w:val="20"/>
          <w:szCs w:val="20"/>
        </w:rPr>
        <w:t xml:space="preserve">Pastabos</w:t>
      </w:r>
      <w:r>
        <w:rPr>
          <w:rFonts w:ascii="Arial Narrow" w:hAnsi="Arial Narrow"/>
          <w:sz w:val="20"/>
          <w:szCs w:val="20"/>
        </w:rPr>
        <w:t xml:space="preserve">: </w:t>
      </w:r>
    </w:p>
    <w:p w14:paraId="756453AB">
      <w:pPr>
        <w:pStyle w:val="Bodytext1"/>
        <w:numPr>
          <w:ilvl w:val="3"/>
          <w:numId w:val="21"/>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Atkreipiame dėmesį, kad ne visuomet AB „Via Lietuva“</w:t>
      </w:r>
      <w:r>
        <w:rPr>
          <w:rFonts w:ascii="Arial Narrow" w:hAnsi="Arial Narrow"/>
          <w:sz w:val="20"/>
          <w:szCs w:val="20"/>
        </w:rPr>
        <w:t xml:space="preserve"> turimi kelių kadastrinės bylos duomenys turi aktualią versija, todėl, esant poreikiui, rekomenduojame aktualius kadastro duomenis pasitikslinti Registro centro duomenų bazėje.</w:t>
      </w:r>
    </w:p>
    <w:p w14:paraId="756453AC">
      <w:pPr>
        <w:pStyle w:val="Bodytext1"/>
        <w:numPr>
          <w:ilvl w:val="3"/>
          <w:numId w:val="21"/>
        </w:numPr>
        <w:shd w:val="clear" w:color="auto" w:fill="auto"/>
        <w:tabs>
          <w:tab w:val="left" w:pos="284"/>
        </w:tabs>
        <w:spacing w:before="0" w:after="0" w:line="240" w:lineRule="auto"/>
        <w:ind w:left="0" w:right="55" w:firstLine="0"/>
        <w:jc w:val="both"/>
        <w:rPr>
          <w:rFonts w:ascii="Arial Narrow" w:hAnsi="Arial Narrow"/>
          <w:sz w:val="20"/>
          <w:szCs w:val="20"/>
        </w:rPr>
      </w:pPr>
      <w:r>
        <w:rPr>
          <w:rFonts w:ascii="Arial Narrow" w:hAnsi="Arial Narrow"/>
          <w:sz w:val="20"/>
          <w:szCs w:val="20"/>
        </w:rPr>
        <w:t xml:space="preserve">Pateikti dangos tyrimų duomenys yra tik informacinio pobūdžio.</w:t>
      </w:r>
    </w:p>
    <w:p w14:paraId="756453AD">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756453AE">
      <w:pPr>
        <w:spacing/>
        <w:rPr>
          <w:rFonts w:ascii="Arial Narrow" w:hAnsi="Arial Narrow"/>
        </w:rPr>
      </w:pPr>
    </w:p>
    <w:sectPr>
      <w:headerReference w:type="first" r:id="rId6"/>
      <w:type w:val="nextPage"/>
      <w:pgSz w:w="11906" w:h="16838"/>
      <w:pgMar w:top="1701" w:right="567" w:bottom="1135" w:left="1701"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Arial">
    <w:charset w:val="186"/>
    <w:family w:val="swiss"/>
    <w:pitch w:val="variable"/>
    <w:sig w:usb0="E0002EFF" w:usb1="C000785B" w:usb2="00000009" w:usb3="00000000" w:csb0="000001FF" w:csb1="00000000"/>
  </w:font>
  <w:font w:name="Calibri Light">
    <w:charset w:val="186"/>
    <w:family w:val="swiss"/>
    <w:pitch w:val="variable"/>
    <w:sig w:usb0="E4002EFF" w:usb1="C200247B" w:usb2="00000009" w:usb3="00000000" w:csb0="000001FF" w:csb1="00000000"/>
  </w:font>
  <w:font w:name="SimSun">
    <w:altName w:val="宋体"/>
    <w:charset w:val="86"/>
    <w:family w:val="auto"/>
    <w:pitch w:val="variable"/>
    <w:sig w:usb0="000002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Arial Nova">
    <w:charset w:val="0"/>
    <w:family w:val="swiss"/>
    <w:pitch w:val="variable"/>
    <w:sig w:usb0="0000028F" w:usb1="00000002" w:usb2="00000000" w:usb3="00000000" w:csb0="0000019F" w:csb1="00000000"/>
  </w:font>
  <w:font w:name="TimesNewRomanPSMT">
    <w:altName w:val="Times New Roman"/>
    <w:charset w:val="0"/>
    <w:family w:val="roman"/>
    <w:pitch w:val="default"/>
    <w:sig w:usb0="00000000" w:usb1="00000000" w:usb2="00000000" w:usb3="00000000" w:csb0="00000000" w:csb1="00000000"/>
  </w:font>
</w:fonts>
</file>

<file path=word/header6.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Lentelstinklelis"/>
      <w:tblW w:w="96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57"/>
      <w:gridCol w:w="5460"/>
      <w:gridCol w:w="1411"/>
    </w:tblGrid>
    <w:tr>
      <w:trPr/>
      <w:tc>
        <w:tcPr>
          <w:tcW w:type="dxa" w:w="2757"/>
          <w:vMerge w:val="restart"/>
          <w:tcBorders/>
          <w:vAlign w:val="center"/>
        </w:tcPr>
        <w:p>
          <w:pPr>
            <w:pStyle w:val="Antrats"/>
            <w:spacing/>
            <w:rPr/>
          </w:pPr>
          <w:r>
            <w:rPr>
              <w:noProof/>
            </w:rPr>
            <w:drawing>
              <wp:inline>
                <wp:extent cx="1613640" cy="206023"/>
                <wp:effectExtent xmlns:wp="http://schemas.openxmlformats.org/drawingml/2006/wordprocessingDrawing" l="0" t="0" r="0" b="0"/>
                <wp:docPr id="6"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7"/>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5460"/>
          <w:vMerge w:val="restart"/>
          <w:tcBorders/>
          <w:vAlign w:val="center"/>
        </w:tcPr>
        <w:p>
          <w:pPr>
            <w:pStyle w:val="Antrats"/>
            <w:spacing/>
            <w:jc w:val="center"/>
            <w:rPr>
              <w:b/>
              <w:bCs/>
              <w:sz w:val="24"/>
              <w:szCs w:val="28"/>
            </w:rPr>
          </w:pPr>
          <w:r>
            <w:rPr>
              <w:b/>
              <w:caps/>
              <w:sz w:val="24"/>
              <w:szCs w:val="28"/>
            </w:rPr>
            <w:t xml:space="preserve">TECHNINĖ SPECIFIKACIJA (Techninė užduotis)</w:t>
          </w:r>
        </w:p>
      </w:tc>
      <w:tc>
        <w:tcPr>
          <w:tcW w:type="dxa" w:w="1411"/>
          <w:tcBorders/>
          <w:vAlign w:val="center"/>
        </w:tcPr>
        <w:p>
          <w:pPr>
            <w:pStyle w:val="Antrats"/>
            <w:spacing/>
            <w:rPr>
              <w:rFonts w:cs="Calibri"/>
              <w:color w:val="000000"/>
              <w:szCs w:val="20"/>
            </w:rPr>
          </w:pPr>
        </w:p>
      </w:tc>
    </w:tr>
    <w:tr>
      <w:trPr/>
      <w:tc>
        <w:tcPr>
          <w:tcW w:type="dxa" w:w="2757"/>
          <w:vMerge w:val="continue"/>
          <w:tcBorders/>
        </w:tcPr>
        <w:p>
          <w:pPr>
            <w:pStyle w:val="Antrats"/>
            <w:spacing/>
            <w:rPr/>
          </w:pPr>
        </w:p>
      </w:tc>
      <w:tc>
        <w:tcPr>
          <w:tcW w:type="dxa" w:w="5460"/>
          <w:vMerge w:val="continue"/>
          <w:tcBorders/>
        </w:tcPr>
        <w:p>
          <w:pPr>
            <w:pStyle w:val="Antrats"/>
            <w:spacing/>
            <w:rPr/>
          </w:pPr>
        </w:p>
      </w:tc>
      <w:tc>
        <w:tcPr>
          <w:tcW w:type="dxa" w:w="1411"/>
          <w:tcBorders/>
        </w:tcPr>
        <w:p>
          <w:pPr>
            <w:pStyle w:val="Antrats"/>
            <w:spacing/>
            <w:rPr/>
          </w:pPr>
          <w:r>
            <w:rPr/>
            <w:t xml:space="preserve">Puslapis </w:t>
          </w:r>
          <w:r>
            <w:rPr>
              <w:b/>
              <w:bCs/>
            </w:rPr>
            <w:fldChar w:fldCharType="begin"/>
          </w:r>
          <w:r>
            <w:rPr>
              <w:b/>
              <w:bCs/>
            </w:rPr>
            <w:instrText xml:space="preserve">PAGE  \* Arabic  \* MERGEFORMAT</w:instrText>
          </w:r>
          <w:r>
            <w:rPr>
              <w:b/>
              <w:bCs/>
            </w:rPr>
            <w:fldChar w:fldCharType="separate"/>
          </w:r>
          <w:r>
            <w:rPr>
              <w:b/>
              <w:bCs/>
            </w:rPr>
            <w:t xml:space="preserve">1</w:t>
          </w:r>
          <w:r>
            <w:rPr>
              <w:b/>
              <w:bCs/>
            </w:rPr>
            <w:fldChar w:fldCharType="end"/>
          </w:r>
          <w:r>
            <w:rPr/>
            <w:t xml:space="preserve"> iš </w:t>
          </w:r>
          <w:r>
            <w:rPr>
              <w:b/>
              <w:bCs/>
            </w:rPr>
            <w:fldChar w:fldCharType="begin"/>
          </w:r>
          <w:r>
            <w:rPr>
              <w:b/>
              <w:bCs/>
            </w:rPr>
            <w:instrText xml:space="preserve">NUMPAGES  \* Arabic  \* MERGEFORMAT</w:instrText>
          </w:r>
          <w:r>
            <w:rPr>
              <w:b/>
              <w:bCs/>
            </w:rPr>
            <w:fldChar w:fldCharType="separate"/>
          </w:r>
          <w:r>
            <w:rPr>
              <w:b/>
              <w:bCs/>
            </w:rPr>
            <w:t xml:space="preserve">16</w:t>
          </w:r>
          <w:r>
            <w:rPr>
              <w:b/>
              <w:bCs/>
            </w:rPr>
            <w:fldChar w:fldCharType="end"/>
          </w:r>
        </w:p>
      </w:tc>
    </w:tr>
    <w:tr>
      <w:trPr/>
      <w:tc>
        <w:tcPr>
          <w:tcW w:type="dxa" w:w="2757"/>
          <w:vMerge w:val="continue"/>
          <w:tcBorders/>
        </w:tcPr>
        <w:p>
          <w:pPr>
            <w:pStyle w:val="Antrats"/>
            <w:spacing/>
            <w:rPr/>
          </w:pPr>
        </w:p>
      </w:tc>
      <w:tc>
        <w:tcPr>
          <w:tcW w:type="dxa" w:w="5460"/>
          <w:vMerge w:val="continue"/>
          <w:tcBorders/>
        </w:tcPr>
        <w:p>
          <w:pPr>
            <w:pStyle w:val="Antrats"/>
            <w:spacing/>
            <w:rPr/>
          </w:pPr>
        </w:p>
      </w:tc>
      <w:tc>
        <w:tcPr>
          <w:tcW w:type="dxa" w:w="1411"/>
          <w:tcBorders/>
          <w:vAlign w:val="center"/>
        </w:tcPr>
        <w:p>
          <w:pPr>
            <w:pStyle w:val="Antrats"/>
            <w:spacing/>
            <w:rPr/>
          </w:pPr>
        </w:p>
      </w:tc>
    </w:tr>
  </w:tbl>
  <w:p w14:paraId="756453C5">
    <w:pPr>
      <w:pStyle w:val="Antrats"/>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44DF0"/>
    <w:lvl w:ilvl="0">
      <w:start w:val="2"/>
      <w:numFmt w:val="decimal"/>
      <w:suff w:val="tab"/>
      <w:lvlText w:val="%1."/>
      <w:pPr>
        <w:spacing/>
        <w:ind w:left="360" w:hanging="360"/>
      </w:pPr>
      <w:rPr>
        <w:rFonts w:hint="default"/>
        <w:b/>
      </w:rPr>
    </w:lvl>
    <w:lvl w:ilvl="1">
      <w:start w:val="1"/>
      <w:numFmt w:val="decimal"/>
      <w:suff w:val="tab"/>
      <w:lvlText w:val="%1.%2."/>
      <w:pPr>
        <w:spacing/>
        <w:ind w:left="927" w:hanging="360"/>
      </w:pPr>
      <w:rPr>
        <w:rFonts w:hint="default"/>
        <w:b w:val="0"/>
        <w:bCs/>
        <w:color w:val="auto"/>
      </w:rPr>
    </w:lvl>
    <w:lvl w:ilvl="2">
      <w:start w:val="1"/>
      <w:numFmt w:val="decimal"/>
      <w:suff w:val="tab"/>
      <w:lvlText w:val="%1.%2.%3."/>
      <w:pPr>
        <w:spacing/>
        <w:ind w:left="1854" w:hanging="720"/>
      </w:pPr>
      <w:rPr>
        <w:rFonts w:hint="default"/>
        <w:b w:val="0"/>
        <w:bCs/>
        <w:color w:val="auto"/>
      </w:rPr>
    </w:lvl>
    <w:lvl w:ilvl="3">
      <w:start w:val="1"/>
      <w:numFmt w:val="decimal"/>
      <w:suff w:val="tab"/>
      <w:lvlText w:val="%1.%2.%3.%4."/>
      <w:pPr>
        <w:spacing/>
        <w:ind w:left="2421" w:hanging="720"/>
      </w:pPr>
      <w:rPr>
        <w:rFonts w:hint="default"/>
        <w:b w:val="0"/>
        <w:bCs/>
      </w:rPr>
    </w:lvl>
    <w:lvl w:ilvl="4">
      <w:start w:val="1"/>
      <w:numFmt w:val="decimal"/>
      <w:suff w:val="tab"/>
      <w:lvlText w:val="%1.%2.%3.%4.%5."/>
      <w:pPr>
        <w:spacing/>
        <w:ind w:left="3348" w:hanging="1080"/>
      </w:pPr>
      <w:rPr>
        <w:rFonts w:hint="default"/>
        <w:b/>
      </w:rPr>
    </w:lvl>
    <w:lvl w:ilvl="5">
      <w:start w:val="1"/>
      <w:numFmt w:val="decimal"/>
      <w:suff w:val="tab"/>
      <w:lvlText w:val="%1.%2.%3.%4.%5.%6."/>
      <w:pPr>
        <w:spacing/>
        <w:ind w:left="3915" w:hanging="1080"/>
      </w:pPr>
      <w:rPr>
        <w:rFonts w:hint="default"/>
        <w:b/>
      </w:rPr>
    </w:lvl>
    <w:lvl w:ilvl="6">
      <w:start w:val="1"/>
      <w:numFmt w:val="decimal"/>
      <w:suff w:val="tab"/>
      <w:lvlText w:val="%1.%2.%3.%4.%5.%6.%7."/>
      <w:pPr>
        <w:spacing/>
        <w:ind w:left="4842" w:hanging="1440"/>
      </w:pPr>
      <w:rPr>
        <w:rFonts w:hint="default"/>
        <w:b/>
      </w:rPr>
    </w:lvl>
    <w:lvl w:ilvl="7">
      <w:start w:val="1"/>
      <w:numFmt w:val="decimal"/>
      <w:suff w:val="tab"/>
      <w:lvlText w:val="%1.%2.%3.%4.%5.%6.%7.%8."/>
      <w:pPr>
        <w:spacing/>
        <w:ind w:left="5409" w:hanging="1440"/>
      </w:pPr>
      <w:rPr>
        <w:rFonts w:hint="default"/>
        <w:b/>
      </w:rPr>
    </w:lvl>
    <w:lvl w:ilvl="8">
      <w:start w:val="1"/>
      <w:numFmt w:val="decimal"/>
      <w:suff w:val="tab"/>
      <w:lvlText w:val="%1.%2.%3.%4.%5.%6.%7.%8.%9."/>
      <w:pPr>
        <w:spacing/>
        <w:ind w:left="6336" w:hanging="1800"/>
      </w:pPr>
      <w:rPr>
        <w:rFonts w:hint="default"/>
        <w:b/>
      </w:rPr>
    </w:lvl>
  </w:abstractNum>
  <w:abstractNum w:abstractNumId="1">
    <w:nsid w:val="0681421F"/>
    <w:lvl w:ilvl="0">
      <w:start w:val="2"/>
      <w:numFmt w:val="decimal"/>
      <w:suff w:val="tab"/>
      <w:lvlText w:val="%1."/>
      <w:pPr>
        <w:spacing/>
        <w:ind w:left="360" w:hanging="360"/>
      </w:pPr>
      <w:rPr>
        <w:rFonts w:hint="default"/>
      </w:rPr>
    </w:lvl>
    <w:lvl w:ilvl="1">
      <w:start w:val="1"/>
      <w:numFmt w:val="decimal"/>
      <w:suff w:val="tab"/>
      <w:lvlText w:val="%1.%2."/>
      <w:pPr>
        <w:spacing/>
        <w:ind w:left="360" w:hanging="36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720" w:hanging="72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080" w:hanging="108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440" w:hanging="1440"/>
      </w:pPr>
      <w:rPr>
        <w:rFonts w:hint="default"/>
      </w:rPr>
    </w:lvl>
  </w:abstractNum>
  <w:abstractNum w:abstractNumId="2">
    <w:nsid w:val="096D490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
    <w:nsid w:val="10622CB0"/>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1660069F"/>
    <w:lvl w:ilvl="0">
      <w:start w:val="3"/>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5">
    <w:nsid w:val="181804DD"/>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6">
    <w:nsid w:val="1E880E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7">
    <w:nsid w:val="26694AB3"/>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277D18AE"/>
    <w:lvl w:ilvl="0">
      <w:start w:val="3"/>
      <w:numFmt w:val="decimal"/>
      <w:suff w:val="tab"/>
      <w:lvlText w:val="%1."/>
      <w:pPr>
        <w:spacing/>
        <w:ind w:left="360" w:hanging="360"/>
      </w:pPr>
      <w:rPr>
        <w:rFonts w:hint="default"/>
        <w:b/>
      </w:rPr>
    </w:lvl>
    <w:lvl w:ilvl="1">
      <w:start w:val="1"/>
      <w:numFmt w:val="decimal"/>
      <w:suff w:val="tab"/>
      <w:lvlText w:val="%1.%2."/>
      <w:pPr>
        <w:spacing/>
        <w:ind w:left="1287" w:hanging="360"/>
      </w:pPr>
      <w:rPr>
        <w:rFonts w:hint="default"/>
        <w:b/>
        <w:bCs w:val="0"/>
      </w:rPr>
    </w:lvl>
    <w:lvl w:ilvl="2">
      <w:start w:val="1"/>
      <w:numFmt w:val="decimal"/>
      <w:suff w:val="tab"/>
      <w:lvlText w:val="%1.%2.%3."/>
      <w:pPr>
        <w:spacing/>
        <w:ind w:left="2574" w:hanging="720"/>
      </w:pPr>
      <w:rPr>
        <w:rFonts w:hint="default"/>
        <w:b w:val="0"/>
        <w:bCs w:val="0"/>
      </w:rPr>
    </w:lvl>
    <w:lvl w:ilvl="3">
      <w:start w:val="1"/>
      <w:numFmt w:val="decimal"/>
      <w:suff w:val="tab"/>
      <w:lvlText w:val="%1.%2.%3.%4."/>
      <w:pPr>
        <w:spacing/>
        <w:ind w:left="3501" w:hanging="720"/>
      </w:pPr>
      <w:rPr>
        <w:rFonts w:hint="default"/>
        <w:b/>
      </w:rPr>
    </w:lvl>
    <w:lvl w:ilvl="4">
      <w:start w:val="1"/>
      <w:numFmt w:val="decimal"/>
      <w:suff w:val="tab"/>
      <w:lvlText w:val="%1.%2.%3.%4.%5."/>
      <w:pPr>
        <w:spacing/>
        <w:ind w:left="4428" w:hanging="720"/>
      </w:pPr>
      <w:rPr>
        <w:rFonts w:hint="default"/>
        <w:b/>
      </w:rPr>
    </w:lvl>
    <w:lvl w:ilvl="5">
      <w:start w:val="1"/>
      <w:numFmt w:val="decimal"/>
      <w:suff w:val="tab"/>
      <w:lvlText w:val="%1.%2.%3.%4.%5.%6."/>
      <w:pPr>
        <w:spacing/>
        <w:ind w:left="5715" w:hanging="1080"/>
      </w:pPr>
      <w:rPr>
        <w:rFonts w:hint="default"/>
        <w:b/>
      </w:rPr>
    </w:lvl>
    <w:lvl w:ilvl="6">
      <w:start w:val="1"/>
      <w:numFmt w:val="decimal"/>
      <w:suff w:val="tab"/>
      <w:lvlText w:val="%1.%2.%3.%4.%5.%6.%7."/>
      <w:pPr>
        <w:spacing/>
        <w:ind w:left="6642" w:hanging="1080"/>
      </w:pPr>
      <w:rPr>
        <w:rFonts w:hint="default"/>
        <w:b/>
      </w:rPr>
    </w:lvl>
    <w:lvl w:ilvl="7">
      <w:start w:val="1"/>
      <w:numFmt w:val="decimal"/>
      <w:suff w:val="tab"/>
      <w:lvlText w:val="%1.%2.%3.%4.%5.%6.%7.%8."/>
      <w:pPr>
        <w:spacing/>
        <w:ind w:left="7929" w:hanging="1440"/>
      </w:pPr>
      <w:rPr>
        <w:rFonts w:hint="default"/>
        <w:b/>
      </w:rPr>
    </w:lvl>
    <w:lvl w:ilvl="8">
      <w:start w:val="1"/>
      <w:numFmt w:val="decimal"/>
      <w:suff w:val="tab"/>
      <w:lvlText w:val="%1.%2.%3.%4.%5.%6.%7.%8.%9."/>
      <w:pPr>
        <w:spacing/>
        <w:ind w:left="8856" w:hanging="1440"/>
      </w:pPr>
      <w:rPr>
        <w:rFonts w:hint="default"/>
        <w:b/>
      </w:rPr>
    </w:lvl>
  </w:abstractNum>
  <w:abstractNum w:abstractNumId="9">
    <w:nsid w:val="3065430C"/>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0">
    <w:nsid w:val="344B5828"/>
    <w:lvl w:ilvl="0">
      <w:start w:val="2"/>
      <w:numFmt w:val="decimal"/>
      <w:suff w:val="tab"/>
      <w:lvlText w:val="%1"/>
      <w:pPr>
        <w:spacing/>
        <w:ind w:left="780" w:hanging="780"/>
      </w:pPr>
      <w:rPr>
        <w:rFonts w:hint="default"/>
      </w:rPr>
    </w:lvl>
    <w:lvl w:ilvl="1">
      <w:start w:val="1"/>
      <w:numFmt w:val="decimal"/>
      <w:suff w:val="tab"/>
      <w:lvlText w:val="%1.%2"/>
      <w:pPr>
        <w:spacing/>
        <w:ind w:left="592" w:hanging="780"/>
      </w:pPr>
      <w:rPr>
        <w:rFonts w:hint="default"/>
      </w:rPr>
    </w:lvl>
    <w:lvl w:ilvl="2">
      <w:start w:val="2"/>
      <w:numFmt w:val="decimal"/>
      <w:suff w:val="tab"/>
      <w:lvlText w:val="%1.%2.%3"/>
      <w:pPr>
        <w:spacing/>
        <w:ind w:left="404" w:hanging="780"/>
      </w:pPr>
      <w:rPr>
        <w:rFonts w:hint="default"/>
      </w:rPr>
    </w:lvl>
    <w:lvl w:ilvl="3">
      <w:start w:val="30"/>
      <w:numFmt w:val="decimal"/>
      <w:suff w:val="tab"/>
      <w:lvlText w:val="%1.%2.%3.%4"/>
      <w:pPr>
        <w:spacing/>
        <w:ind w:left="216" w:hanging="780"/>
      </w:pPr>
      <w:rPr>
        <w:rFonts w:hint="default"/>
      </w:rPr>
    </w:lvl>
    <w:lvl w:ilvl="4">
      <w:start w:val="1"/>
      <w:numFmt w:val="decimal"/>
      <w:suff w:val="tab"/>
      <w:lvlText w:val="%1.%2.%3.%4.%5"/>
      <w:pPr>
        <w:spacing/>
        <w:ind w:left="328" w:hanging="1080"/>
      </w:pPr>
      <w:rPr>
        <w:rFonts w:hint="default"/>
      </w:rPr>
    </w:lvl>
    <w:lvl w:ilvl="5">
      <w:start w:val="1"/>
      <w:numFmt w:val="decimal"/>
      <w:suff w:val="tab"/>
      <w:lvlText w:val="%1.%2.%3.%4.%5.%6"/>
      <w:pPr>
        <w:spacing/>
        <w:ind w:left="140" w:hanging="1080"/>
      </w:pPr>
      <w:rPr>
        <w:rFonts w:hint="default"/>
      </w:rPr>
    </w:lvl>
    <w:lvl w:ilvl="6">
      <w:start w:val="1"/>
      <w:numFmt w:val="decimal"/>
      <w:suff w:val="tab"/>
      <w:lvlText w:val="%1.%2.%3.%4.%5.%6.%7"/>
      <w:pPr>
        <w:spacing/>
        <w:ind w:left="312" w:hanging="1440"/>
      </w:pPr>
      <w:rPr>
        <w:rFonts w:hint="default"/>
      </w:rPr>
    </w:lvl>
    <w:lvl w:ilvl="7">
      <w:start w:val="1"/>
      <w:numFmt w:val="decimal"/>
      <w:suff w:val="tab"/>
      <w:lvlText w:val="%1.%2.%3.%4.%5.%6.%7.%8"/>
      <w:pPr>
        <w:spacing/>
        <w:ind w:left="124" w:hanging="1440"/>
      </w:pPr>
      <w:rPr>
        <w:rFonts w:hint="default"/>
      </w:rPr>
    </w:lvl>
    <w:lvl w:ilvl="8">
      <w:start w:val="1"/>
      <w:numFmt w:val="decimal"/>
      <w:suff w:val="tab"/>
      <w:lvlText w:val="%1.%2.%3.%4.%5.%6.%7.%8.%9"/>
      <w:pPr>
        <w:spacing/>
        <w:ind w:left="296" w:hanging="1800"/>
      </w:pPr>
      <w:rPr>
        <w:rFonts w:hint="default"/>
      </w:rPr>
    </w:lvl>
  </w:abstractNum>
  <w:abstractNum w:abstractNumId="11">
    <w:nsid w:val="35344FCD"/>
    <w:lvl w:ilvl="0">
      <w:start w:val="7"/>
      <w:numFmt w:val="decimal"/>
      <w:suff w:val="tab"/>
      <w:lvlText w:val="%1."/>
      <w:pPr>
        <w:spacing/>
        <w:ind w:left="360" w:hanging="360"/>
      </w:pPr>
      <w:rPr>
        <w:rFonts w:hint="default"/>
      </w:rPr>
    </w:lvl>
    <w:lvl w:ilvl="1">
      <w:start w:val="1"/>
      <w:numFmt w:val="decimal"/>
      <w:suff w:val="tab"/>
      <w:lvlText w:val="%1.%2."/>
      <w:pPr>
        <w:spacing/>
        <w:ind w:left="5889" w:hanging="360"/>
      </w:pPr>
      <w:rPr>
        <w:rFonts w:hint="default"/>
      </w:rPr>
    </w:lvl>
    <w:lvl w:ilvl="2">
      <w:start w:val="1"/>
      <w:numFmt w:val="decimal"/>
      <w:suff w:val="tab"/>
      <w:lvlText w:val="%1.%2.%3."/>
      <w:pPr>
        <w:spacing/>
        <w:ind w:left="1440" w:hanging="720"/>
      </w:pPr>
      <w:rPr>
        <w:rFonts w:hint="default"/>
      </w:rPr>
    </w:lvl>
    <w:lvl w:ilvl="3">
      <w:start w:val="1"/>
      <w:numFmt w:val="decimal"/>
      <w:suff w:val="tab"/>
      <w:lvlText w:val="%1.%2.%3.%4."/>
      <w:pPr>
        <w:spacing/>
        <w:ind w:left="1800" w:hanging="720"/>
      </w:pPr>
      <w:rPr>
        <w:rFonts w:hint="default"/>
      </w:rPr>
    </w:lvl>
    <w:lvl w:ilvl="4">
      <w:start w:val="1"/>
      <w:numFmt w:val="decimal"/>
      <w:suff w:val="tab"/>
      <w:lvlText w:val="%1.%2.%3.%4.%5."/>
      <w:pPr>
        <w:spacing/>
        <w:ind w:left="2160" w:hanging="720"/>
      </w:pPr>
      <w:rPr>
        <w:rFonts w:hint="default"/>
      </w:rPr>
    </w:lvl>
    <w:lvl w:ilvl="5">
      <w:start w:val="1"/>
      <w:numFmt w:val="decimal"/>
      <w:suff w:val="tab"/>
      <w:lvlText w:val="%1.%2.%3.%4.%5.%6."/>
      <w:pPr>
        <w:spacing/>
        <w:ind w:left="2880" w:hanging="1080"/>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960" w:hanging="1440"/>
      </w:pPr>
      <w:rPr>
        <w:rFonts w:hint="default"/>
      </w:rPr>
    </w:lvl>
    <w:lvl w:ilvl="8">
      <w:start w:val="1"/>
      <w:numFmt w:val="decimal"/>
      <w:suff w:val="tab"/>
      <w:lvlText w:val="%1.%2.%3.%4.%5.%6.%7.%8.%9."/>
      <w:pPr>
        <w:spacing/>
        <w:ind w:left="4320" w:hanging="1440"/>
      </w:pPr>
      <w:rPr>
        <w:rFonts w:hint="default"/>
      </w:rPr>
    </w:lvl>
  </w:abstractNum>
  <w:abstractNum w:abstractNumId="12">
    <w:nsid w:val="36505BCF"/>
    <w:lvl w:ilvl="0">
      <w:start w:val="4"/>
      <w:numFmt w:val="bullet"/>
      <w:suff w:val="tab"/>
      <w:lvlText w:val="-"/>
      <w:pPr>
        <w:spacing/>
        <w:ind w:left="644" w:hanging="360"/>
      </w:pPr>
      <w:rPr>
        <w:rFonts w:ascii="Arial Narrow" w:hAnsi="Arial Narrow" w:eastAsiaTheme="minorHAnsi" w:cs="Times New Roman" w:hint="default"/>
        <w:color w:val="auto"/>
      </w:rPr>
    </w:lvl>
    <w:lvl w:ilvl="1">
      <w:start w:val="1"/>
      <w:numFmt w:val="bullet"/>
      <w:suff w:val="tab"/>
      <w:lvlText w:val="o"/>
      <w:pPr>
        <w:spacing/>
        <w:ind w:left="1364" w:hanging="360"/>
      </w:pPr>
      <w:rPr>
        <w:rFonts w:ascii="Courier New" w:hAnsi="Courier New" w:cs="Courier New" w:hint="default"/>
      </w:rPr>
    </w:lvl>
    <w:lvl w:ilvl="2">
      <w:start w:val="1"/>
      <w:numFmt w:val="bullet"/>
      <w:suff w:val="tab"/>
      <w:lvlText w:val=""/>
      <w:pPr>
        <w:spacing/>
        <w:ind w:left="2084" w:hanging="360"/>
      </w:pPr>
      <w:rPr>
        <w:rFonts w:ascii="Wingdings" w:hAnsi="Wingdings" w:hint="default"/>
      </w:rPr>
    </w:lvl>
    <w:lvl w:ilvl="3">
      <w:start w:val="1"/>
      <w:numFmt w:val="bullet"/>
      <w:suff w:val="tab"/>
      <w:lvlText w:val=""/>
      <w:pPr>
        <w:spacing/>
        <w:ind w:left="2804" w:hanging="360"/>
      </w:pPr>
      <w:rPr>
        <w:rFonts w:ascii="Symbol" w:hAnsi="Symbol" w:hint="default"/>
      </w:rPr>
    </w:lvl>
    <w:lvl w:ilvl="4">
      <w:start w:val="1"/>
      <w:numFmt w:val="bullet"/>
      <w:suff w:val="tab"/>
      <w:lvlText w:val="o"/>
      <w:pPr>
        <w:spacing/>
        <w:ind w:left="3524" w:hanging="360"/>
      </w:pPr>
      <w:rPr>
        <w:rFonts w:ascii="Courier New" w:hAnsi="Courier New" w:cs="Courier New" w:hint="default"/>
      </w:rPr>
    </w:lvl>
    <w:lvl w:ilvl="5">
      <w:start w:val="1"/>
      <w:numFmt w:val="bullet"/>
      <w:suff w:val="tab"/>
      <w:lvlText w:val=""/>
      <w:pPr>
        <w:spacing/>
        <w:ind w:left="4244" w:hanging="360"/>
      </w:pPr>
      <w:rPr>
        <w:rFonts w:ascii="Wingdings" w:hAnsi="Wingdings" w:hint="default"/>
      </w:rPr>
    </w:lvl>
    <w:lvl w:ilvl="6">
      <w:start w:val="1"/>
      <w:numFmt w:val="bullet"/>
      <w:suff w:val="tab"/>
      <w:lvlText w:val=""/>
      <w:pPr>
        <w:spacing/>
        <w:ind w:left="4964" w:hanging="360"/>
      </w:pPr>
      <w:rPr>
        <w:rFonts w:ascii="Symbol" w:hAnsi="Symbol" w:hint="default"/>
      </w:rPr>
    </w:lvl>
    <w:lvl w:ilvl="7">
      <w:start w:val="1"/>
      <w:numFmt w:val="bullet"/>
      <w:suff w:val="tab"/>
      <w:lvlText w:val="o"/>
      <w:pPr>
        <w:spacing/>
        <w:ind w:left="5684" w:hanging="360"/>
      </w:pPr>
      <w:rPr>
        <w:rFonts w:ascii="Courier New" w:hAnsi="Courier New" w:cs="Courier New" w:hint="default"/>
      </w:rPr>
    </w:lvl>
    <w:lvl w:ilvl="8">
      <w:start w:val="1"/>
      <w:numFmt w:val="bullet"/>
      <w:suff w:val="tab"/>
      <w:lvlText w:val=""/>
      <w:pPr>
        <w:spacing/>
        <w:ind w:left="6404" w:hanging="360"/>
      </w:pPr>
      <w:rPr>
        <w:rFonts w:ascii="Wingdings" w:hAnsi="Wingdings" w:hint="default"/>
      </w:rPr>
    </w:lvl>
  </w:abstractNum>
  <w:abstractNum w:abstractNumId="13">
    <w:nsid w:val="376857DA"/>
    <w:lvl w:ilvl="0">
      <w:start w:val="6"/>
      <w:numFmt w:val="decimal"/>
      <w:suff w:val="tab"/>
      <w:lvlText w:val="%1."/>
      <w:pPr>
        <w:spacing/>
        <w:ind w:left="360" w:hanging="360"/>
      </w:pPr>
      <w:rPr>
        <w:rFonts w:hint="default"/>
        <w:i w:val="0"/>
      </w:rPr>
    </w:lvl>
    <w:lvl w:ilvl="1">
      <w:start w:val="1"/>
      <w:numFmt w:val="decimal"/>
      <w:suff w:val="tab"/>
      <w:lvlText w:val="%1.%2."/>
      <w:pPr>
        <w:spacing/>
        <w:ind w:left="1080" w:hanging="360"/>
      </w:pPr>
      <w:rPr>
        <w:rFonts w:hint="default"/>
        <w:i w:val="0"/>
        <w:color w:val="auto"/>
      </w:rPr>
    </w:lvl>
    <w:lvl w:ilvl="2">
      <w:start w:val="1"/>
      <w:numFmt w:val="decimal"/>
      <w:suff w:val="tab"/>
      <w:lvlText w:val="%1.%2.%3."/>
      <w:pPr>
        <w:spacing/>
        <w:ind w:left="2160" w:hanging="720"/>
      </w:pPr>
      <w:rPr>
        <w:rFonts w:hint="default"/>
        <w:i w:val="0"/>
      </w:rPr>
    </w:lvl>
    <w:lvl w:ilvl="3">
      <w:start w:val="1"/>
      <w:numFmt w:val="decimal"/>
      <w:suff w:val="tab"/>
      <w:lvlText w:val="%1.%2.%3.%4."/>
      <w:pPr>
        <w:spacing/>
        <w:ind w:left="2880" w:hanging="720"/>
      </w:pPr>
      <w:rPr>
        <w:rFonts w:hint="default"/>
        <w:i w:val="0"/>
      </w:rPr>
    </w:lvl>
    <w:lvl w:ilvl="4">
      <w:start w:val="1"/>
      <w:numFmt w:val="decimal"/>
      <w:suff w:val="tab"/>
      <w:lvlText w:val="%1.%2.%3.%4.%5."/>
      <w:pPr>
        <w:spacing/>
        <w:ind w:left="3600" w:hanging="720"/>
      </w:pPr>
      <w:rPr>
        <w:rFonts w:hint="default"/>
        <w:i w:val="0"/>
      </w:rPr>
    </w:lvl>
    <w:lvl w:ilvl="5">
      <w:start w:val="1"/>
      <w:numFmt w:val="decimal"/>
      <w:suff w:val="tab"/>
      <w:lvlText w:val="%1.%2.%3.%4.%5.%6."/>
      <w:pPr>
        <w:spacing/>
        <w:ind w:left="4680" w:hanging="1080"/>
      </w:pPr>
      <w:rPr>
        <w:rFonts w:hint="default"/>
        <w:i w:val="0"/>
      </w:rPr>
    </w:lvl>
    <w:lvl w:ilvl="6">
      <w:start w:val="1"/>
      <w:numFmt w:val="decimal"/>
      <w:suff w:val="tab"/>
      <w:lvlText w:val="%1.%2.%3.%4.%5.%6.%7."/>
      <w:pPr>
        <w:spacing/>
        <w:ind w:left="5400" w:hanging="1080"/>
      </w:pPr>
      <w:rPr>
        <w:rFonts w:hint="default"/>
        <w:i w:val="0"/>
      </w:rPr>
    </w:lvl>
    <w:lvl w:ilvl="7">
      <w:start w:val="1"/>
      <w:numFmt w:val="decimal"/>
      <w:suff w:val="tab"/>
      <w:lvlText w:val="%1.%2.%3.%4.%5.%6.%7.%8."/>
      <w:pPr>
        <w:spacing/>
        <w:ind w:left="6480" w:hanging="1440"/>
      </w:pPr>
      <w:rPr>
        <w:rFonts w:hint="default"/>
        <w:i w:val="0"/>
      </w:rPr>
    </w:lvl>
    <w:lvl w:ilvl="8">
      <w:start w:val="1"/>
      <w:numFmt w:val="decimal"/>
      <w:suff w:val="tab"/>
      <w:lvlText w:val="%1.%2.%3.%4.%5.%6.%7.%8.%9."/>
      <w:pPr>
        <w:spacing/>
        <w:ind w:left="7200" w:hanging="1440"/>
      </w:pPr>
      <w:rPr>
        <w:rFonts w:hint="default"/>
        <w:i w:val="0"/>
      </w:rPr>
    </w:lvl>
  </w:abstractNum>
  <w:abstractNum w:abstractNumId="14">
    <w:nsid w:val="39565FC4"/>
    <w:lvl w:ilvl="0">
      <w:start w:val="4"/>
      <w:numFmt w:val="decimal"/>
      <w:suff w:val="tab"/>
      <w:lvlText w:val="%1."/>
      <w:pPr>
        <w:spacing/>
        <w:ind w:left="360" w:hanging="360"/>
      </w:pPr>
      <w:rPr>
        <w:rFonts w:hint="default"/>
      </w:rPr>
    </w:lvl>
    <w:lvl w:ilvl="1">
      <w:start w:val="1"/>
      <w:numFmt w:val="decimal"/>
      <w:suff w:val="tab"/>
      <w:lvlText w:val="%1.%2."/>
      <w:pPr>
        <w:spacing/>
        <w:ind w:left="1069" w:hanging="360"/>
      </w:pPr>
      <w:rPr>
        <w:rFonts w:hint="default"/>
        <w:color w:val="auto"/>
      </w:rPr>
    </w:lvl>
    <w:lvl w:ilvl="2">
      <w:start w:val="1"/>
      <w:numFmt w:val="decimal"/>
      <w:suff w:val="tab"/>
      <w:lvlText w:val="%1.%2.%3."/>
      <w:pPr>
        <w:spacing/>
        <w:ind w:left="1288" w:hanging="720"/>
      </w:pPr>
      <w:rPr>
        <w:rFonts w:hint="default"/>
        <w:color w:val="auto"/>
      </w:rPr>
    </w:lvl>
    <w:lvl w:ilvl="3">
      <w:start w:val="1"/>
      <w:numFmt w:val="decimal"/>
      <w:suff w:val="tab"/>
      <w:lvlText w:val="%1.%2.%3.%4."/>
      <w:pPr>
        <w:spacing/>
        <w:ind w:left="1800" w:hanging="720"/>
      </w:pPr>
      <w:rPr>
        <w:rFonts w:hint="default"/>
      </w:rPr>
    </w:lvl>
    <w:lvl w:ilvl="4">
      <w:start w:val="1"/>
      <w:numFmt w:val="decimal"/>
      <w:suff w:val="tab"/>
      <w:lvlText w:val="%1.%2.%3.%4.%5."/>
      <w:pPr>
        <w:spacing/>
        <w:ind w:left="2160" w:hanging="720"/>
      </w:pPr>
      <w:rPr>
        <w:rFonts w:hint="default"/>
      </w:rPr>
    </w:lvl>
    <w:lvl w:ilvl="5">
      <w:start w:val="1"/>
      <w:numFmt w:val="decimal"/>
      <w:suff w:val="tab"/>
      <w:lvlText w:val="%1.%2.%3.%4.%5.%6."/>
      <w:pPr>
        <w:spacing/>
        <w:ind w:left="2880" w:hanging="1080"/>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960" w:hanging="1440"/>
      </w:pPr>
      <w:rPr>
        <w:rFonts w:hint="default"/>
      </w:rPr>
    </w:lvl>
    <w:lvl w:ilvl="8">
      <w:start w:val="1"/>
      <w:numFmt w:val="decimal"/>
      <w:suff w:val="tab"/>
      <w:lvlText w:val="%1.%2.%3.%4.%5.%6.%7.%8.%9."/>
      <w:pPr>
        <w:spacing/>
        <w:ind w:left="4320" w:hanging="1440"/>
      </w:pPr>
      <w:rPr>
        <w:rFonts w:hint="default"/>
      </w:rPr>
    </w:lvl>
  </w:abstractNum>
  <w:abstractNum w:abstractNumId="15">
    <w:nsid w:val="3A56436C"/>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6">
    <w:nsid w:val="3C3502E1"/>
    <w:lvl w:ilvl="0">
      <w:start w:val="1"/>
      <w:numFmt w:val="decimal"/>
      <w:suff w:val="tab"/>
      <w:lvlText w:val="%1)"/>
      <w:pPr>
        <w:spacing/>
        <w:ind w:left="927" w:hanging="360"/>
      </w:pPr>
      <w:rPr>
        <w:rFonts w:hint="default"/>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17">
    <w:nsid w:val="3D911E23"/>
    <w:lvl w:ilvl="0">
      <w:start w:val="1"/>
      <w:numFmt w:val="decimal"/>
      <w:suff w:val="tab"/>
      <w:lvlText w:val="%1."/>
      <w:pPr>
        <w:spacing/>
        <w:ind w:left="360" w:hanging="360"/>
      </w:pPr>
      <w:rPr>
        <w:rFonts w:hint="default"/>
      </w:rPr>
    </w:lvl>
    <w:lvl w:ilvl="1">
      <w:start w:val="1"/>
      <w:numFmt w:val="decimal"/>
      <w:suff w:val="tab"/>
      <w:lvlText w:val="%1.%2."/>
      <w:pPr>
        <w:spacing/>
        <w:ind w:left="360" w:hanging="36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720" w:hanging="72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080" w:hanging="108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440" w:hanging="1440"/>
      </w:pPr>
      <w:rPr>
        <w:rFonts w:hint="default"/>
      </w:rPr>
    </w:lvl>
  </w:abstractNum>
  <w:abstractNum w:abstractNumId="18">
    <w:nsid w:val="516148B5"/>
    <w:lvl w:ilvl="0">
      <w:start w:val="8"/>
      <w:numFmt w:val="decimal"/>
      <w:suff w:val="tab"/>
      <w:lvlText w:val="%1."/>
      <w:pPr>
        <w:spacing/>
        <w:ind w:left="360" w:hanging="360"/>
      </w:pPr>
      <w:rPr>
        <w:rFonts w:hint="default"/>
      </w:rPr>
    </w:lvl>
    <w:lvl w:ilvl="1">
      <w:start w:val="1"/>
      <w:numFmt w:val="decimal"/>
      <w:suff w:val="tab"/>
      <w:lvlText w:val="%1.%2."/>
      <w:pPr>
        <w:spacing/>
        <w:ind w:left="5322" w:hanging="360"/>
      </w:pPr>
      <w:rPr>
        <w:rFonts w:hint="default"/>
      </w:rPr>
    </w:lvl>
    <w:lvl w:ilvl="2">
      <w:start w:val="1"/>
      <w:numFmt w:val="decimal"/>
      <w:suff w:val="tab"/>
      <w:lvlText w:val="%1.%2.%3."/>
      <w:pPr>
        <w:spacing/>
        <w:ind w:left="1440" w:hanging="720"/>
      </w:pPr>
      <w:rPr>
        <w:rFonts w:hint="default"/>
      </w:rPr>
    </w:lvl>
    <w:lvl w:ilvl="3">
      <w:start w:val="1"/>
      <w:numFmt w:val="decimal"/>
      <w:suff w:val="tab"/>
      <w:lvlText w:val="%1.%2.%3.%4."/>
      <w:pPr>
        <w:spacing/>
        <w:ind w:left="1800" w:hanging="720"/>
      </w:pPr>
      <w:rPr>
        <w:rFonts w:hint="default"/>
      </w:rPr>
    </w:lvl>
    <w:lvl w:ilvl="4">
      <w:start w:val="1"/>
      <w:numFmt w:val="decimal"/>
      <w:suff w:val="tab"/>
      <w:lvlText w:val="%1.%2.%3.%4.%5."/>
      <w:pPr>
        <w:spacing/>
        <w:ind w:left="2160" w:hanging="720"/>
      </w:pPr>
      <w:rPr>
        <w:rFonts w:hint="default"/>
      </w:rPr>
    </w:lvl>
    <w:lvl w:ilvl="5">
      <w:start w:val="1"/>
      <w:numFmt w:val="decimal"/>
      <w:suff w:val="tab"/>
      <w:lvlText w:val="%1.%2.%3.%4.%5.%6."/>
      <w:pPr>
        <w:spacing/>
        <w:ind w:left="2880" w:hanging="1080"/>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960" w:hanging="1440"/>
      </w:pPr>
      <w:rPr>
        <w:rFonts w:hint="default"/>
      </w:rPr>
    </w:lvl>
    <w:lvl w:ilvl="8">
      <w:start w:val="1"/>
      <w:numFmt w:val="decimal"/>
      <w:suff w:val="tab"/>
      <w:lvlText w:val="%1.%2.%3.%4.%5.%6.%7.%8.%9."/>
      <w:pPr>
        <w:spacing/>
        <w:ind w:left="4320" w:hanging="1440"/>
      </w:pPr>
      <w:rPr>
        <w:rFonts w:hint="default"/>
      </w:rPr>
    </w:lvl>
  </w:abstractNum>
  <w:abstractNum w:abstractNumId="19">
    <w:nsid w:val="5313517D"/>
    <w:lvl w:ilvl="0">
      <w:start w:val="1"/>
      <w:numFmt w:val="decimal"/>
      <w:suff w:val="tab"/>
      <w:lvlText w:val="%1)"/>
      <w:pPr>
        <w:spacing/>
        <w:ind w:left="2160" w:hanging="360"/>
      </w:pPr>
      <w:rPr>
        <w:rFonts w:hint="default"/>
        <w:color w:val="auto"/>
      </w:rPr>
    </w:lvl>
    <w:lvl w:ilvl="1">
      <w:start w:val="1"/>
      <w:numFmt w:val="lowerLetter"/>
      <w:suff w:val="tab"/>
      <w:lvlText w:val="%2."/>
      <w:pPr>
        <w:spacing/>
        <w:ind w:left="2880" w:hanging="360"/>
      </w:pPr>
      <w:rPr/>
    </w:lvl>
    <w:lvl w:ilvl="2">
      <w:start w:val="1"/>
      <w:numFmt w:val="lowerRoman"/>
      <w:suff w:val="tab"/>
      <w:lvlText w:val="%3."/>
      <w:lvlJc w:val="right"/>
      <w:pPr>
        <w:spacing/>
        <w:ind w:left="3600" w:hanging="180"/>
      </w:pPr>
      <w:rPr/>
    </w:lvl>
    <w:lvl w:ilvl="3">
      <w:start w:val="1"/>
      <w:numFmt w:val="decimal"/>
      <w:suff w:val="tab"/>
      <w:lvlText w:val="%4."/>
      <w:pPr>
        <w:spacing/>
        <w:ind w:left="4320" w:hanging="360"/>
      </w:pPr>
      <w:rPr/>
    </w:lvl>
    <w:lvl w:ilvl="4">
      <w:start w:val="1"/>
      <w:numFmt w:val="lowerLetter"/>
      <w:suff w:val="tab"/>
      <w:lvlText w:val="%5."/>
      <w:pPr>
        <w:spacing/>
        <w:ind w:left="5040" w:hanging="360"/>
      </w:pPr>
      <w:rPr/>
    </w:lvl>
    <w:lvl w:ilvl="5">
      <w:start w:val="1"/>
      <w:numFmt w:val="lowerRoman"/>
      <w:suff w:val="tab"/>
      <w:lvlText w:val="%6."/>
      <w:lvlJc w:val="right"/>
      <w:pPr>
        <w:spacing/>
        <w:ind w:left="5760" w:hanging="180"/>
      </w:pPr>
      <w:rPr/>
    </w:lvl>
    <w:lvl w:ilvl="6">
      <w:start w:val="1"/>
      <w:numFmt w:val="decimal"/>
      <w:suff w:val="tab"/>
      <w:lvlText w:val="%7."/>
      <w:pPr>
        <w:spacing/>
        <w:ind w:left="6480" w:hanging="360"/>
      </w:pPr>
      <w:rPr/>
    </w:lvl>
    <w:lvl w:ilvl="7">
      <w:start w:val="1"/>
      <w:numFmt w:val="lowerLetter"/>
      <w:suff w:val="tab"/>
      <w:lvlText w:val="%8."/>
      <w:pPr>
        <w:spacing/>
        <w:ind w:left="7200" w:hanging="360"/>
      </w:pPr>
      <w:rPr/>
    </w:lvl>
    <w:lvl w:ilvl="8">
      <w:start w:val="1"/>
      <w:numFmt w:val="lowerRoman"/>
      <w:suff w:val="tab"/>
      <w:lvlText w:val="%9."/>
      <w:lvlJc w:val="right"/>
      <w:pPr>
        <w:spacing/>
        <w:ind w:left="7920" w:hanging="180"/>
      </w:pPr>
      <w:rPr/>
    </w:lvl>
  </w:abstractNum>
  <w:abstractNum w:abstractNumId="20">
    <w:nsid w:val="53693428"/>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1">
    <w:nsid w:val="5EEF3D5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652514B7"/>
    <w:lvl w:ilvl="0">
      <w:start w:val="2"/>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23">
    <w:nsid w:val="65C21C03"/>
    <w:lvl w:ilvl="0">
      <w:start w:val="1"/>
      <w:numFmt w:val="bullet"/>
      <w:suff w:val="tab"/>
      <w:lvlText w:val="-"/>
      <w:pPr>
        <w:spacing/>
        <w:ind w:left="720" w:hanging="360"/>
      </w:pPr>
      <w:rPr>
        <w:rFonts w:ascii="Times New Roman" w:hAnsi="Times New Roman" w:eastAsiaTheme="minorHAnsi"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4">
    <w:nsid w:val="673B7E0D"/>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5">
    <w:nsid w:val="67BA213F"/>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6A0A418E"/>
    <w:lvl w:ilvl="0">
      <w:start w:val="1"/>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27">
    <w:nsid w:val="6A0C0CA7"/>
    <w:lvl w:ilvl="0">
      <w:start w:val="9"/>
      <w:numFmt w:val="decimal"/>
      <w:suff w:val="tab"/>
      <w:lvlText w:val="%1."/>
      <w:pPr>
        <w:spacing/>
        <w:ind w:left="360" w:hanging="360"/>
      </w:pPr>
      <w:rPr>
        <w:rFonts w:hint="default"/>
      </w:rPr>
    </w:lvl>
    <w:lvl w:ilvl="1">
      <w:start w:val="1"/>
      <w:numFmt w:val="decimal"/>
      <w:suff w:val="tab"/>
      <w:lvlText w:val="%1.%2."/>
      <w:pPr>
        <w:spacing/>
        <w:ind w:left="720" w:hanging="360"/>
      </w:pPr>
      <w:rPr>
        <w:rFonts w:hint="default"/>
      </w:rPr>
    </w:lvl>
    <w:lvl w:ilvl="2">
      <w:start w:val="1"/>
      <w:numFmt w:val="decimal"/>
      <w:suff w:val="tab"/>
      <w:lvlText w:val="%1.%2.%3."/>
      <w:pPr>
        <w:spacing/>
        <w:ind w:left="1440" w:hanging="720"/>
      </w:pPr>
      <w:rPr>
        <w:rFonts w:hint="default"/>
      </w:rPr>
    </w:lvl>
    <w:lvl w:ilvl="3">
      <w:start w:val="1"/>
      <w:numFmt w:val="decimal"/>
      <w:suff w:val="tab"/>
      <w:lvlText w:val="%1.%2.%3.%4."/>
      <w:pPr>
        <w:spacing/>
        <w:ind w:left="1800" w:hanging="720"/>
      </w:pPr>
      <w:rPr>
        <w:rFonts w:hint="default"/>
      </w:rPr>
    </w:lvl>
    <w:lvl w:ilvl="4">
      <w:start w:val="1"/>
      <w:numFmt w:val="decimal"/>
      <w:suff w:val="tab"/>
      <w:lvlText w:val="%1.%2.%3.%4.%5."/>
      <w:pPr>
        <w:spacing/>
        <w:ind w:left="2160" w:hanging="720"/>
      </w:pPr>
      <w:rPr>
        <w:rFonts w:hint="default"/>
      </w:rPr>
    </w:lvl>
    <w:lvl w:ilvl="5">
      <w:start w:val="1"/>
      <w:numFmt w:val="decimal"/>
      <w:suff w:val="tab"/>
      <w:lvlText w:val="%1.%2.%3.%4.%5.%6."/>
      <w:pPr>
        <w:spacing/>
        <w:ind w:left="2880" w:hanging="1080"/>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960" w:hanging="1440"/>
      </w:pPr>
      <w:rPr>
        <w:rFonts w:hint="default"/>
      </w:rPr>
    </w:lvl>
    <w:lvl w:ilvl="8">
      <w:start w:val="1"/>
      <w:numFmt w:val="decimal"/>
      <w:suff w:val="tab"/>
      <w:lvlText w:val="%1.%2.%3.%4.%5.%6.%7.%8.%9."/>
      <w:pPr>
        <w:spacing/>
        <w:ind w:left="4320" w:hanging="1440"/>
      </w:pPr>
      <w:rPr>
        <w:rFonts w:hint="default"/>
      </w:rPr>
    </w:lvl>
  </w:abstractNum>
  <w:abstractNum w:abstractNumId="28">
    <w:nsid w:val="6D8E404F"/>
    <w:lvl w:ilvl="0">
      <w:start w:val="3"/>
      <w:numFmt w:val="decimal"/>
      <w:suff w:val="tab"/>
      <w:lvlText w:val="%1."/>
      <w:pPr>
        <w:spacing/>
        <w:ind w:left="360" w:hanging="360"/>
      </w:pPr>
      <w:rPr>
        <w:rFonts w:hint="default"/>
        <w:b/>
      </w:rPr>
    </w:lvl>
    <w:lvl w:ilvl="1">
      <w:start w:val="1"/>
      <w:numFmt w:val="decimal"/>
      <w:suff w:val="tab"/>
      <w:lvlText w:val="%1.%2."/>
      <w:pPr>
        <w:spacing/>
        <w:ind w:left="1287" w:hanging="360"/>
      </w:pPr>
      <w:rPr>
        <w:rFonts w:hint="default"/>
        <w:b w:val="0"/>
        <w:bCs/>
      </w:rPr>
    </w:lvl>
    <w:lvl w:ilvl="2">
      <w:start w:val="1"/>
      <w:numFmt w:val="decimal"/>
      <w:suff w:val="tab"/>
      <w:lvlText w:val="%1.%2.%3."/>
      <w:pPr>
        <w:spacing/>
        <w:ind w:left="2574" w:hanging="720"/>
      </w:pPr>
      <w:rPr>
        <w:rFonts w:hint="default"/>
        <w:b w:val="0"/>
        <w:bCs w:val="0"/>
      </w:rPr>
    </w:lvl>
    <w:lvl w:ilvl="3">
      <w:start w:val="1"/>
      <w:numFmt w:val="decimal"/>
      <w:suff w:val="tab"/>
      <w:lvlText w:val="%1.%2.%3.%4."/>
      <w:pPr>
        <w:spacing/>
        <w:ind w:left="3501" w:hanging="720"/>
      </w:pPr>
      <w:rPr>
        <w:rFonts w:hint="default"/>
        <w:b/>
      </w:rPr>
    </w:lvl>
    <w:lvl w:ilvl="4">
      <w:start w:val="1"/>
      <w:numFmt w:val="decimal"/>
      <w:suff w:val="tab"/>
      <w:lvlText w:val="%1.%2.%3.%4.%5."/>
      <w:pPr>
        <w:spacing/>
        <w:ind w:left="4428" w:hanging="720"/>
      </w:pPr>
      <w:rPr>
        <w:rFonts w:hint="default"/>
        <w:b/>
      </w:rPr>
    </w:lvl>
    <w:lvl w:ilvl="5">
      <w:start w:val="1"/>
      <w:numFmt w:val="decimal"/>
      <w:suff w:val="tab"/>
      <w:lvlText w:val="%1.%2.%3.%4.%5.%6."/>
      <w:pPr>
        <w:spacing/>
        <w:ind w:left="5715" w:hanging="1080"/>
      </w:pPr>
      <w:rPr>
        <w:rFonts w:hint="default"/>
        <w:b/>
      </w:rPr>
    </w:lvl>
    <w:lvl w:ilvl="6">
      <w:start w:val="1"/>
      <w:numFmt w:val="decimal"/>
      <w:suff w:val="tab"/>
      <w:lvlText w:val="%1.%2.%3.%4.%5.%6.%7."/>
      <w:pPr>
        <w:spacing/>
        <w:ind w:left="6642" w:hanging="1080"/>
      </w:pPr>
      <w:rPr>
        <w:rFonts w:hint="default"/>
        <w:b/>
      </w:rPr>
    </w:lvl>
    <w:lvl w:ilvl="7">
      <w:start w:val="1"/>
      <w:numFmt w:val="decimal"/>
      <w:suff w:val="tab"/>
      <w:lvlText w:val="%1.%2.%3.%4.%5.%6.%7.%8."/>
      <w:pPr>
        <w:spacing/>
        <w:ind w:left="7929" w:hanging="1440"/>
      </w:pPr>
      <w:rPr>
        <w:rFonts w:hint="default"/>
        <w:b/>
      </w:rPr>
    </w:lvl>
    <w:lvl w:ilvl="8">
      <w:start w:val="1"/>
      <w:numFmt w:val="decimal"/>
      <w:suff w:val="tab"/>
      <w:lvlText w:val="%1.%2.%3.%4.%5.%6.%7.%8.%9."/>
      <w:pPr>
        <w:spacing/>
        <w:ind w:left="8856" w:hanging="1440"/>
      </w:pPr>
      <w:rPr>
        <w:rFonts w:hint="default"/>
        <w:b/>
      </w:rPr>
    </w:lvl>
  </w:abstractNum>
  <w:abstractNum w:abstractNumId="29">
    <w:nsid w:val="72D938D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0">
    <w:nsid w:val="730966D1"/>
    <w:lvl w:ilvl="0">
      <w:start w:val="1"/>
      <w:numFmt w:val="decimal"/>
      <w:suff w:val="tab"/>
      <w:lvlText w:val="%1."/>
      <w:pPr>
        <w:spacing/>
        <w:ind w:left="1080" w:hanging="72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080" w:hanging="72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31">
    <w:nsid w:val="7B10639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2">
    <w:nsid w:val="7BBE0B70"/>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21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pacing/>
      <w:jc w:val="both"/>
    </w:pPr>
    <w:rPr>
      <w:rFonts w:ascii="Times New Roman" w:hAnsi="Times New Roman" w:eastAsia="Times New Roman" w:cs="Times New Roman"/>
      <w:sz w:val="24"/>
      <w:szCs w:val="20"/>
    </w:rPr>
  </w:style>
  <w:style w:type="paragraph" w:styleId="Antrat1">
    <w:name w:val="Heading 1"/>
    <w:basedOn w:val="prastasis"/>
    <w:next w:val="prastasis"/>
    <w:uiPriority w:val="9"/>
    <w:qFormat/>
    <w:pPr>
      <w:keepNext/>
      <w:keepLines/>
      <w:spacing w:before="240"/>
      <w:jc w:val="left"/>
      <w:outlineLvl w:val="0"/>
    </w:pPr>
    <w:rPr>
      <w:rFonts w:asciiTheme="majorHAnsi" w:hAnsiTheme="majorHAnsi" w:eastAsiaTheme="majorEastAsia" w:cstheme="majorBidi"/>
      <w:color w:val="2F5496"/>
      <w:sz w:val="32"/>
      <w:szCs w:val="32"/>
    </w:rPr>
  </w:style>
  <w:style w:type="paragraph" w:styleId="Antrat6">
    <w:name w:val="Heading 6"/>
    <w:basedOn w:val="prastasis"/>
    <w:next w:val="prastasis"/>
    <w:uiPriority w:val="9"/>
    <w:semiHidden/>
    <w:unhideWhenUsed/>
    <w:qFormat/>
    <w:pPr>
      <w:keepNext/>
      <w:keepLines/>
      <w:spacing w:before="40"/>
      <w:outlineLvl w:val="5"/>
    </w:pPr>
    <w:rPr>
      <w:rFonts w:asciiTheme="majorHAnsi" w:hAnsiTheme="majorHAnsi" w:eastAsiaTheme="majorEastAsia" w:cstheme="majorBidi"/>
      <w:color w:val="1F3763"/>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paragraph" w:styleId="Antrats">
    <w:name w:val="Header"/>
    <w:basedOn w:val="prastasis"/>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AntratsDiagrama" w:customStyle="1">
    <w:name w:val="Antraštės Diagrama"/>
    <w:basedOn w:val="Numatytasispastraiposriftas"/>
    <w:uiPriority w:val="99"/>
    <w:rPr/>
  </w:style>
  <w:style w:type="paragraph" w:styleId="Porat">
    <w:name w:val="Footer"/>
    <w:basedOn w:val="prastasis"/>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PoratDiagrama" w:customStyle="1">
    <w:name w:val="Poraštė Diagrama"/>
    <w:basedOn w:val="Numatytasispastraiposriftas"/>
    <w:uiPriority w:val="99"/>
    <w:rPr/>
  </w:style>
  <w:style w:type="table" w:styleId="Lentelstinklelis">
    <w:name w:val="Table Grid"/>
    <w:basedOn w:val="prastojilentel"/>
    <w:uiPriority w:val="39"/>
    <w:pPr>
      <w:spacing/>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basedOn w:val="prastasis"/>
    <w:uiPriority w:val="34"/>
    <w:qFormat/>
    <w:pPr>
      <w:spacing/>
      <w:ind w:left="720"/>
      <w:contextualSpacing/>
      <w:jc w:val="left"/>
    </w:pPr>
    <w:rPr>
      <w:rFonts w:ascii="Arial Narrow" w:hAnsi="Arial Narrow" w:eastAsiaTheme="minorHAnsi" w:cstheme="minorBidi"/>
      <w:sz w:val="20"/>
      <w:szCs w:val="22"/>
    </w:rPr>
  </w:style>
  <w:style w:type="character" w:styleId="Antrat1Diagrama" w:customStyle="1">
    <w:name w:val="Antraštė 1 Diagrama"/>
    <w:basedOn w:val="Numatytasispastraiposriftas"/>
    <w:uiPriority w:val="9"/>
    <w:rPr>
      <w:rFonts w:asciiTheme="majorHAnsi" w:hAnsiTheme="majorHAnsi" w:eastAsiaTheme="majorEastAsia" w:cstheme="majorBidi"/>
      <w:color w:val="2F5496"/>
      <w:sz w:val="32"/>
      <w:szCs w:val="32"/>
    </w:rPr>
  </w:style>
  <w:style w:type="character" w:styleId="Hipersaitas">
    <w:name w:val="Hyperlink"/>
    <w:basedOn w:val="Numatytasispastraiposriftas"/>
    <w:unhideWhenUsed/>
    <w:rPr>
      <w:color w:val="0563C1"/>
      <w:u w:val="single"/>
    </w:rPr>
  </w:style>
  <w:style w:type="character" w:styleId="Neapdorotaspaminjimas1" w:customStyle="1">
    <w:name w:val="Neapdorotas paminėjimas1"/>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u w:val="single"/>
    </w:rPr>
  </w:style>
  <w:style w:type="character" w:styleId="Vietosrezervavimoenklotekstas1" w:customStyle="1">
    <w:name w:val="Vietos rezervavimo ženklo tekstas1"/>
    <w:basedOn w:val="Numatytasispastraiposriftas"/>
    <w:uiPriority w:val="99"/>
    <w:semiHidden/>
    <w:rPr>
      <w:color w:val="808080"/>
    </w:rPr>
  </w:style>
  <w:style w:type="character" w:styleId="SraopastraipaDiagrama" w:customStyle="1">
    <w:name w:val="Sąrašo pastraipa Diagrama"/>
    <w:basedOn w:val="Numatytasispastraiposriftas"/>
    <w:uiPriority w:val="34"/>
    <w:qFormat/>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Komentaronuoroda1" w:customStyle="1">
    <w:name w:val="Komentaro nuoroda1"/>
    <w:basedOn w:val="Numatytasispastraiposriftas"/>
    <w:uiPriority w:val="99"/>
    <w:semiHidden/>
    <w:unhideWhenUsed/>
    <w:rPr>
      <w:sz w:val="16"/>
      <w:szCs w:val="16"/>
    </w:rPr>
  </w:style>
  <w:style w:type="paragraph" w:styleId="Komentarotekstas1" w:customStyle="1">
    <w:name w:val="Komentaro tekstas1"/>
    <w:basedOn w:val="prastasis"/>
    <w:link w:val="KomentarotekstasDiagrama"/>
    <w:uiPriority w:val="99"/>
    <w:semiHidden/>
    <w:unhideWhenUsed/>
    <w:pPr>
      <w:spacing/>
    </w:pPr>
    <w:rPr>
      <w:sz w:val="20"/>
    </w:rPr>
  </w:style>
  <w:style w:type="character" w:styleId="KomentarotekstasDiagrama" w:customStyle="1">
    <w:name w:val="Komentaro tekstas Diagrama"/>
    <w:basedOn w:val="Numatytasispastraiposriftas"/>
    <w:link w:val="Komentarotekstas1"/>
    <w:uiPriority w:val="99"/>
    <w:semiHidden/>
    <w:rPr>
      <w:rFonts w:ascii="Times New Roman" w:hAnsi="Times New Roman" w:eastAsia="Times New Roman" w:cs="Times New Roman"/>
      <w:szCs w:val="20"/>
    </w:rPr>
  </w:style>
  <w:style w:type="paragraph" w:styleId="Komentarotema1" w:customStyle="1">
    <w:name w:val="Komentaro tema1"/>
    <w:basedOn w:val="Komentarotekstas1"/>
    <w:next w:val="Komentarotekstas1"/>
    <w:link w:val="KomentarotemaDiagrama"/>
    <w:uiPriority w:val="99"/>
    <w:semiHidden/>
    <w:unhideWhenUsed/>
    <w:pPr>
      <w:spacing/>
    </w:pPr>
    <w:rPr>
      <w:b/>
      <w:bCs/>
    </w:rPr>
  </w:style>
  <w:style w:type="character" w:styleId="KomentarotemaDiagrama" w:customStyle="1">
    <w:name w:val="Komentaro tema Diagrama"/>
    <w:basedOn w:val="KomentarotekstasDiagrama"/>
    <w:link w:val="Komentarotema1"/>
    <w:uiPriority w:val="99"/>
    <w:semiHidden/>
    <w:rPr>
      <w:rFonts w:ascii="Times New Roman" w:hAnsi="Times New Roman" w:eastAsia="Times New Roman" w:cs="Times New Roman"/>
      <w:b/>
      <w:bCs/>
      <w:szCs w:val="20"/>
    </w:rPr>
  </w:style>
  <w:style w:type="character" w:styleId="Bodytext2" w:customStyle="1">
    <w:name w:val="Body text (2)_"/>
    <w:basedOn w:val="Numatytasispastraiposriftas"/>
    <w:rPr>
      <w:rFonts w:ascii="Times New Roman" w:hAnsi="Times New Roman" w:cs="Times New Roman"/>
      <w:i/>
      <w:iCs/>
      <w:sz w:val="23"/>
      <w:szCs w:val="23"/>
      <w:shd w:val="clear" w:color="auto" w:fill="FFFFFF"/>
    </w:rPr>
  </w:style>
  <w:style w:type="paragraph" w:styleId="Bodytext20" w:customStyle="1">
    <w:name w:val="Body text (2)"/>
    <w:basedOn w:val="prastasis"/>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Numatytasispastraiposriftas"/>
    <w:link w:val="Bodytext1"/>
    <w:rPr>
      <w:rFonts w:ascii="Times New Roman" w:hAnsi="Times New Roman" w:cs="Times New Roman"/>
      <w:sz w:val="23"/>
      <w:szCs w:val="23"/>
      <w:shd w:val="clear" w:color="auto" w:fill="FFFFFF"/>
    </w:rPr>
  </w:style>
  <w:style w:type="paragraph" w:styleId="Bodytext1" w:customStyle="1">
    <w:name w:val="Body text1"/>
    <w:basedOn w:val="prastasis"/>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Numatytasispastraiposriftas"/>
    <w:rPr>
      <w:rFonts w:ascii="Times New Roman" w:hAnsi="Times New Roman" w:cs="Times New Roman"/>
      <w:b/>
      <w:bCs/>
      <w:i/>
      <w:iCs/>
      <w:spacing w:val="0"/>
      <w:sz w:val="23"/>
      <w:szCs w:val="23"/>
    </w:rPr>
  </w:style>
  <w:style w:type="character" w:styleId="Bodytext2Bold1" w:customStyle="1">
    <w:name w:val="Body text (2) + Bold1"/>
    <w:basedOn w:val="Numatytasispastraiposriftas"/>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Numatytasispastraiposriftas"/>
    <w:rPr>
      <w:rFonts w:ascii="Times New Roman" w:hAnsi="Times New Roman" w:cs="Times New Roman"/>
      <w:b/>
      <w:bCs/>
      <w:sz w:val="23"/>
      <w:szCs w:val="23"/>
      <w:shd w:val="clear" w:color="auto" w:fill="FFFFFF"/>
    </w:rPr>
  </w:style>
  <w:style w:type="paragraph" w:styleId="Bodytext90" w:customStyle="1">
    <w:name w:val="Body text (9)"/>
    <w:basedOn w:val="prastasis"/>
    <w:pPr>
      <w:shd w:val="clear" w:color="auto" w:fill="FFFFFF"/>
      <w:spacing w:line="274" w:lineRule="exact"/>
      <w:jc w:val="left"/>
    </w:pPr>
    <w:rPr>
      <w:rFonts w:eastAsiaTheme="minorHAnsi"/>
      <w:b/>
      <w:bCs/>
      <w:sz w:val="23"/>
      <w:szCs w:val="23"/>
    </w:rPr>
  </w:style>
  <w:style w:type="table" w:styleId="Lentelstinklelis1" w:customStyle="1">
    <w:name w:val="Lentelės tinklelis1"/>
    <w:basedOn w:val="prastojilentel"/>
    <w:next w:val="Lentelstinklelis"/>
    <w:uiPriority w:val="39"/>
    <w:pPr>
      <w:spacing/>
    </w:pPr>
    <w:rPr>
      <w:rFonts w:asciiTheme="minorHAnsi" w:hAnsiTheme="minorHAnsi" w:eastAsia="Times New Roman"/>
      <w:sz w:val="22"/>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prastojilentel"/>
    <w:next w:val="Lentelstinklelis"/>
    <w:uiPriority w:val="39"/>
    <w:pPr>
      <w:spacing/>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 w:customStyle="1">
    <w:name w:val="Table Grid8"/>
    <w:basedOn w:val="prastojilentel"/>
    <w:next w:val="Lentelstinklelis"/>
    <w:uiPriority w:val="39"/>
    <w:rPr>
      <w:rFonts w:asciiTheme="minorHAnsi" w:hAnsiTheme="minorHAnsi" w:eastAsia="SimSun"/>
      <w:sz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astasiniatinklio">
    <w:name w:val="Normal (Web)"/>
    <w:basedOn w:val="prastasis"/>
    <w:uiPriority w:val="99"/>
    <w:unhideWhenUsed/>
    <w:pPr>
      <w:spacing w:before="100" w:beforeAutospacing="1" w:after="100" w:afterAutospacing="1"/>
      <w:jc w:val="left"/>
    </w:pPr>
    <w:rPr>
      <w:szCs w:val="24"/>
      <w:lang w:eastAsia="lt-LT"/>
    </w:rPr>
  </w:style>
  <w:style w:type="table" w:styleId="Lentelstinklelis2" w:customStyle="1">
    <w:name w:val="Lentelės tinklelis2"/>
    <w:basedOn w:val="prastojilentel"/>
    <w:next w:val="Lentelstinklelis"/>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ntrat6Diagrama" w:customStyle="1">
    <w:name w:val="Antraštė 6 Diagrama"/>
    <w:basedOn w:val="Numatytasispastraiposriftas"/>
    <w:uiPriority w:val="9"/>
    <w:semiHidden/>
    <w:rPr>
      <w:rFonts w:asciiTheme="majorHAnsi" w:hAnsiTheme="majorHAnsi" w:eastAsiaTheme="majorEastAsia" w:cstheme="majorBidi"/>
      <w:color w:val="1F3763"/>
      <w:sz w:val="24"/>
      <w:szCs w:val="20"/>
    </w:rPr>
  </w:style>
  <w:style w:type="table" w:styleId="TableGrid2" w:customStyle="1">
    <w:name w:val="Table Grid2"/>
    <w:basedOn w:val="prastojilentel"/>
    <w:next w:val="Lentelstinklelis"/>
    <w:uiPriority w:val="39"/>
    <w:pPr>
      <w:spacing/>
    </w:pPr>
    <w:rPr>
      <w:rFonts w:ascii="Times New Roman" w:hAnsi="Times New Roman" w:eastAsia="PMingLiU" w:cs="Times New Roman"/>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 standalone="yes"?><Relationships xmlns="http://schemas.openxmlformats.org/package/2006/relationships"><Relationship Id="rId8" Type="http://schemas.openxmlformats.org/officeDocument/2006/relationships/styles" Target="styles.xml" /><Relationship Id="rId9"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6" Type="http://schemas.openxmlformats.org/officeDocument/2006/relationships/header" Target="header6.xml" /><Relationship Id="rId12" Type="http://schemas.openxmlformats.org/officeDocument/2006/relationships/fontTable" Target="fontTable.xml" /><Relationship Id="rId1" Type="http://schemas.openxmlformats.org/officeDocument/2006/relationships/image" Target="media/image1.png" /><Relationship Id="rId2" Type="http://schemas.openxmlformats.org/officeDocument/2006/relationships/image" Target="media/image2.png" /><Relationship Id="rId3" Type="http://schemas.openxmlformats.org/officeDocument/2006/relationships/image" Target="media/image3.png" /><Relationship Id="rId4" Type="http://schemas.openxmlformats.org/officeDocument/2006/relationships/image" Target="media/image4.png" /><Relationship Id="rId5" Type="http://schemas.openxmlformats.org/officeDocument/2006/relationships/image" Target="media/image5.png"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s>
</file>

<file path=word/_rels/header6.xml.rels>&#65279;<?xml version="1.0" encoding="utf-8" standalone="yes"?><Relationships xmlns="http://schemas.openxmlformats.org/package/2006/relationships"><Relationship Id="rId7" Type="http://schemas.openxmlformats.org/officeDocument/2006/relationships/image" Target="media/image6.png"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43096ae1a446867fb84ec4ae28501d43">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9ce6acafdb6b6f5f80f7d7d04f120c2c"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3434FB63-0827-4445-AB39-A2B874FD9E48}">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0E111ACB-CF07-4509-B0B7-5F22835D1AB1}">
  <ds:schemaRefs>
    <ds:schemaRef ds:uri="http://schemas.microsoft.com/sharepoint/v3/contenttype/forms"/>
  </ds:schemaRefs>
</ds:datastoreItem>
</file>

<file path=customXml/itemProps4.xml><?xml version="1.0" encoding="utf-8"?>
<ds:datastoreItem xmlns:ds="http://schemas.openxmlformats.org/officeDocument/2006/customXml" ds:itemID="{6A0A8D5E-4509-4BF2-81A3-1E24B22103C5}"/>
</file>

<file path=docProps/app.xml><?xml version="1.0" encoding="utf-8"?>
<Properties xmlns:vt="http://schemas.openxmlformats.org/officeDocument/2006/docPropsVTypes" xmlns="http://schemas.openxmlformats.org/officeDocument/2006/extended-properties">
  <Template>Normal</Template>
  <TotalTime>13</TotalTime>
  <Pages>15</Pages>
  <Words>35749</Words>
  <Characters>20377</Characters>
  <Application>Microsoft Office Word</Application>
  <DocSecurity>0</DocSecurity>
  <Lines>169</Lines>
  <Paragraphs>112</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Valdemaras Bikulčius</cp:lastModifiedBy>
  <cp:revision>837</cp:revision>
  <dcterms:created xsi:type="dcterms:W3CDTF">2021-01-19T12:51:00Z</dcterms:created>
  <dcterms:modified xsi:type="dcterms:W3CDTF">2026-01-28T13:42:00Z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