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420B41">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420B41">
                  <w:rPr>
                    <w:rFonts w:ascii="Times New Roman" w:hAnsi="Times New Roman" w:cs="Times New Roman"/>
                    <w:sz w:val="24"/>
                    <w:szCs w:val="24"/>
                  </w:rPr>
                  <w:t>6</w:t>
                </w:r>
                <w:r w:rsidRPr="00CF0528">
                  <w:rPr>
                    <w:rFonts w:ascii="Times New Roman" w:hAnsi="Times New Roman" w:cs="Times New Roman"/>
                    <w:sz w:val="24"/>
                    <w:szCs w:val="24"/>
                  </w:rPr>
                  <w:t xml:space="preserve"> m. </w:t>
                </w:r>
                <w:r w:rsidR="00420B41">
                  <w:rPr>
                    <w:rFonts w:ascii="Times New Roman" w:hAnsi="Times New Roman" w:cs="Times New Roman"/>
                    <w:sz w:val="24"/>
                    <w:szCs w:val="24"/>
                  </w:rPr>
                  <w:t>kovo</w:t>
                </w:r>
                <w:r>
                  <w:rPr>
                    <w:rFonts w:ascii="Times New Roman" w:hAnsi="Times New Roman" w:cs="Times New Roman"/>
                    <w:sz w:val="24"/>
                    <w:szCs w:val="24"/>
                  </w:rPr>
                  <w:t xml:space="preserve"> </w:t>
                </w:r>
                <w:r w:rsidR="003B6E9A">
                  <w:rPr>
                    <w:rFonts w:ascii="Times New Roman" w:hAnsi="Times New Roman" w:cs="Times New Roman"/>
                    <w:sz w:val="24"/>
                    <w:szCs w:val="24"/>
                  </w:rPr>
                  <w:t>23</w:t>
                </w:r>
                <w:r w:rsidR="00420B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3B6E9A">
                  <w:rPr>
                    <w:rFonts w:ascii="Times New Roman" w:hAnsi="Times New Roman" w:cs="Times New Roman"/>
                    <w:sz w:val="24"/>
                    <w:szCs w:val="24"/>
                  </w:rPr>
                  <w:t>14</w:t>
                </w:r>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420B41" w:rsidP="00E43CC8">
          <w:pPr>
            <w:spacing w:after="0" w:line="20" w:lineRule="atLeast"/>
            <w:contextualSpacing/>
            <w:jc w:val="center"/>
            <w:rPr>
              <w:rFonts w:ascii="Times New Roman" w:hAnsi="Times New Roman" w:cs="Times New Roman"/>
              <w:b/>
              <w:bCs/>
              <w:sz w:val="28"/>
              <w:szCs w:val="28"/>
            </w:rPr>
          </w:pPr>
          <w:r w:rsidRPr="00420B41">
            <w:rPr>
              <w:rFonts w:ascii="Times New Roman" w:hAnsi="Times New Roman" w:cs="Times New Roman"/>
              <w:b/>
              <w:kern w:val="3"/>
              <w:sz w:val="28"/>
              <w:szCs w:val="28"/>
            </w:rPr>
            <w:t>AUTOMOBILIŲ STOVĖJIMO AIKŠTELIŲ PRIE DAUGIABUČIŲ NAMŲ  ROŽIŲ G. NR. 1 IR SODŲ G. NR. 14, NR. 16, NR. 18, NR. 20, ŽIEŽMARIŲ M. STATYBOS RANGOS DA</w:t>
          </w:r>
          <w:r w:rsidRPr="00420B41">
            <w:rPr>
              <w:rFonts w:ascii="Times New Roman" w:hAnsi="Times New Roman" w:cs="Times New Roman"/>
              <w:b/>
              <w:sz w:val="28"/>
              <w:szCs w:val="28"/>
            </w:rPr>
            <w:t>RBŲ</w:t>
          </w:r>
          <w:r w:rsidR="008B7542" w:rsidRPr="0022290D">
            <w:rPr>
              <w:rFonts w:ascii="Times New Roman" w:hAnsi="Times New Roman" w:cs="Times New Roman"/>
              <w:b/>
              <w:bCs/>
              <w:sz w:val="24"/>
              <w:szCs w:val="24"/>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145A78" w:rsidP="00E43CC8">
              <w:pPr>
                <w:tabs>
                  <w:tab w:val="center" w:pos="4513"/>
                  <w:tab w:val="right" w:pos="9026"/>
                </w:tabs>
                <w:jc w:val="center"/>
                <w:rPr>
                  <w:rFonts w:ascii="Times New Roman" w:hAnsi="Times New Roman" w:cs="Times New Roman"/>
                  <w:sz w:val="24"/>
                  <w:szCs w:val="24"/>
                </w:rPr>
              </w:pPr>
              <w:r w:rsidRPr="00420B41">
                <w:rPr>
                  <w:rFonts w:ascii="Times New Roman" w:hAnsi="Times New Roman" w:cs="Times New Roman"/>
                  <w:b/>
                  <w:kern w:val="3"/>
                  <w:sz w:val="28"/>
                  <w:szCs w:val="28"/>
                </w:rPr>
                <w:t>AUTOMOBILIŲ STOVĖJIMO AIKŠTELIŲ PRIE DAUGIABUČIŲ NAMŲ  ROŽIŲ G. NR. 1 IR SODŲ G. NR. 14, NR. 16, NR. 18, NR. 20, ŽIEŽMARIŲ M. STATYBOS RANGOS DA</w:t>
              </w:r>
              <w:r w:rsidRPr="00420B41">
                <w:rPr>
                  <w:rFonts w:ascii="Times New Roman" w:hAnsi="Times New Roman" w:cs="Times New Roman"/>
                  <w:b/>
                  <w:sz w:val="28"/>
                  <w:szCs w:val="28"/>
                </w:rPr>
                <w:t>RBŲ</w:t>
              </w:r>
              <w:r w:rsidRPr="0022290D">
                <w:rPr>
                  <w:rFonts w:ascii="Times New Roman" w:hAnsi="Times New Roman" w:cs="Times New Roman"/>
                  <w:b/>
                  <w:bCs/>
                  <w:sz w:val="24"/>
                  <w:szCs w:val="24"/>
                </w:rPr>
                <w:t xml:space="preserve"> </w:t>
              </w:r>
              <w:r w:rsidRPr="00E43CC8">
                <w:rPr>
                  <w:rFonts w:ascii="Times New Roman" w:hAnsi="Times New Roman" w:cs="Times New Roman"/>
                  <w:b/>
                  <w:sz w:val="28"/>
                  <w:szCs w:val="28"/>
                  <w:shd w:val="clear" w:color="auto" w:fill="FFFFFF"/>
                </w:rPr>
                <w:t>PIRKIMO</w:t>
              </w:r>
              <w:r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3B6E9A"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3B6E9A"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xml:space="preserve">– subtiekėjas, </w:t>
          </w:r>
          <w:proofErr w:type="spellStart"/>
          <w:r w:rsidRPr="00CF6670">
            <w:rPr>
              <w:rFonts w:ascii="Times New Roman" w:hAnsi="Times New Roman" w:cs="Times New Roman"/>
              <w:sz w:val="24"/>
              <w:szCs w:val="24"/>
            </w:rPr>
            <w:t>subteikėjas</w:t>
          </w:r>
          <w:proofErr w:type="spellEnd"/>
          <w:r w:rsidRPr="00CF6670">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w:t>
          </w:r>
          <w:proofErr w:type="spellStart"/>
          <w:r w:rsidRPr="00CF6670">
            <w:rPr>
              <w:rFonts w:ascii="Times New Roman" w:hAnsi="Times New Roman" w:cs="Times New Roman"/>
              <w:b/>
              <w:sz w:val="24"/>
              <w:szCs w:val="24"/>
            </w:rPr>
            <w:t>pajėgumais</w:t>
          </w:r>
          <w:proofErr w:type="spellEnd"/>
          <w:r w:rsidRPr="00CF6670">
            <w:rPr>
              <w:rFonts w:ascii="Times New Roman" w:hAnsi="Times New Roman" w:cs="Times New Roman"/>
              <w:b/>
              <w:sz w:val="24"/>
              <w:szCs w:val="24"/>
            </w:rPr>
            <w:t xml:space="preserve"> remiamasi </w:t>
          </w:r>
          <w:r w:rsidRPr="00CF6670">
            <w:rPr>
              <w:rFonts w:ascii="Times New Roman" w:hAnsi="Times New Roman" w:cs="Times New Roman"/>
              <w:sz w:val="24"/>
              <w:szCs w:val="24"/>
            </w:rPr>
            <w:t xml:space="preserve">– fizinis ar juridinis asmuo,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CF6670">
            <w:rPr>
              <w:rFonts w:ascii="Times New Roman" w:hAnsi="Times New Roman" w:cs="Times New Roman"/>
              <w:b/>
              <w:sz w:val="24"/>
              <w:szCs w:val="24"/>
            </w:rPr>
            <w:t>Kvazisubtiekėjas</w:t>
          </w:r>
          <w:proofErr w:type="spellEnd"/>
          <w:r w:rsidRPr="00CF6670">
            <w:rPr>
              <w:rFonts w:ascii="Times New Roman" w:hAnsi="Times New Roman" w:cs="Times New Roman"/>
              <w:b/>
              <w:sz w:val="24"/>
              <w:szCs w:val="24"/>
            </w:rPr>
            <w:t xml:space="preserve">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CF6670">
            <w:rPr>
              <w:rFonts w:ascii="Times New Roman" w:hAnsi="Times New Roman" w:cs="Times New Roman"/>
              <w:color w:val="000000" w:themeColor="text1"/>
              <w:sz w:val="24"/>
              <w:szCs w:val="24"/>
            </w:rPr>
            <w:t>pajėgumais</w:t>
          </w:r>
          <w:proofErr w:type="spellEnd"/>
          <w:r w:rsidRPr="00CF6670">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CF6670">
            <w:rPr>
              <w:rFonts w:ascii="Times New Roman" w:hAnsi="Times New Roman" w:cs="Times New Roman"/>
              <w:sz w:val="24"/>
              <w:szCs w:val="24"/>
            </w:rPr>
            <w:t>patikslinimais</w:t>
          </w:r>
          <w:proofErr w:type="spellEnd"/>
          <w:r w:rsidRPr="00CF6670">
            <w:rPr>
              <w:rFonts w:ascii="Times New Roman" w:hAnsi="Times New Roman" w:cs="Times New Roman"/>
              <w:sz w:val="24"/>
              <w:szCs w:val="24"/>
            </w:rPr>
            <w:t xml:space="preserve">.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lastRenderedPageBreak/>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CF6670">
            <w:rPr>
              <w:rFonts w:ascii="Times New Roman" w:hAnsi="Times New Roman" w:cs="Times New Roman"/>
              <w:sz w:val="24"/>
              <w:szCs w:val="24"/>
            </w:rPr>
            <w:t>papildymus</w:t>
          </w:r>
          <w:proofErr w:type="spellEnd"/>
          <w:r w:rsidRPr="00CF6670">
            <w:rPr>
              <w:rFonts w:ascii="Times New Roman" w:hAnsi="Times New Roman" w:cs="Times New Roman"/>
              <w:sz w:val="24"/>
              <w:szCs w:val="24"/>
            </w:rPr>
            <w:t>,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19"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6"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6"/>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2"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2"/>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 xml:space="preserve">Tiekėjas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 xml:space="preserve">kiekvienas ūkio subjektas, jeigu tiekėjas remiasi jo </w:t>
          </w:r>
          <w:proofErr w:type="spellStart"/>
          <w:r w:rsidRPr="00D170F6">
            <w:rPr>
              <w:rFonts w:ascii="Times New Roman" w:hAnsi="Times New Roman" w:cs="Times New Roman"/>
              <w:bCs/>
              <w:iCs/>
              <w:sz w:val="24"/>
              <w:szCs w:val="24"/>
            </w:rPr>
            <w:t>pajėgumais</w:t>
          </w:r>
          <w:proofErr w:type="spellEnd"/>
          <w:r w:rsidRPr="00D170F6">
            <w:rPr>
              <w:rFonts w:ascii="Times New Roman" w:hAnsi="Times New Roman" w:cs="Times New Roman"/>
              <w:bCs/>
              <w:iCs/>
              <w:sz w:val="24"/>
              <w:szCs w:val="24"/>
            </w:rPr>
            <w:t xml:space="preserve">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7"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7"/>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312"/>
          <w:r w:rsidRPr="00D170F6">
            <w:rPr>
              <w:rFonts w:ascii="Times New Roman" w:hAnsi="Times New Roman" w:cs="Times New Roman"/>
              <w:sz w:val="24"/>
              <w:szCs w:val="24"/>
            </w:rPr>
            <w:t xml:space="preserve">fiziniai asmenys, kuriuos tiekėjas ketina įdarbinti Pirkimo laimėjimo atveju ir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pagal VPĮ 49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Prieš nustatydama laimėjusį pasiūlymą, perkančioji organizacija reikalaus, kad ekonomiškai naudingiausią pasiūlymą pateikęs tiekėjas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lastRenderedPageBreak/>
            <w:t xml:space="preserve">Rėmimasis ūkio subjektų </w:t>
          </w:r>
          <w:proofErr w:type="spellStart"/>
          <w:r w:rsidRPr="0050746A">
            <w:rPr>
              <w:rFonts w:ascii="Times New Roman" w:hAnsi="Times New Roman" w:cs="Times New Roman"/>
              <w:color w:val="auto"/>
            </w:rPr>
            <w:t>pajėgumais</w:t>
          </w:r>
          <w:bookmarkEnd w:id="39"/>
          <w:bookmarkEnd w:id="40"/>
          <w:proofErr w:type="spellEnd"/>
        </w:p>
        <w:bookmarkEnd w:id="41"/>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privalo juos nurodyti pasiūlyme ir pateikti dokumentus, įrodančius, kad per visą sutarties vykdymo laikotarpį ūkio subjekto, kurio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ištekliai tiekėjui bus prieinami. Tikrindama, ar tiekėjui bus prieinami kitų ūkio subjektų, kurių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 xml:space="preserve">nenurodęs, jog remiasi kitų ūkio subjektų </w:t>
          </w:r>
          <w:proofErr w:type="spellStart"/>
          <w:r w:rsidRPr="00D170F6">
            <w:rPr>
              <w:rFonts w:cs="Times New Roman"/>
              <w:color w:val="auto"/>
              <w:spacing w:val="2"/>
              <w:sz w:val="24"/>
              <w:szCs w:val="24"/>
              <w:shd w:val="clear" w:color="auto" w:fill="FFFFFF"/>
              <w:lang w:val="lt-LT"/>
            </w:rPr>
            <w:t>pajėgumais</w:t>
          </w:r>
          <w:proofErr w:type="spellEnd"/>
          <w:r w:rsidRPr="00D170F6">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 xml:space="preserve">Skirtingi tiekėjai gali remtis tų pačių ūkio subjektų </w:t>
          </w:r>
          <w:proofErr w:type="spellStart"/>
          <w:r w:rsidRPr="00D170F6">
            <w:rPr>
              <w:rFonts w:ascii="Times New Roman" w:eastAsia="Calibri" w:hAnsi="Times New Roman" w:cs="Times New Roman"/>
              <w:bCs/>
              <w:sz w:val="24"/>
              <w:szCs w:val="24"/>
            </w:rPr>
            <w:t>pajėgumais</w:t>
          </w:r>
          <w:proofErr w:type="spellEnd"/>
          <w:r w:rsidRPr="00D170F6">
            <w:rPr>
              <w:rFonts w:ascii="Times New Roman" w:eastAsia="Calibri" w:hAnsi="Times New Roman" w:cs="Times New Roman"/>
              <w:bCs/>
              <w:sz w:val="24"/>
              <w:szCs w:val="24"/>
            </w:rPr>
            <w:t>,</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Tiekėjų grupė gali remtis grupės dalyvių arba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tik tuomet, kai tie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buvo remtasi, patys ir teiks tas paslaugas ar atliks darbus, kuriems reikia jų </w:t>
          </w:r>
          <w:proofErr w:type="spellStart"/>
          <w:r w:rsidRPr="00D170F6">
            <w:rPr>
              <w:rFonts w:ascii="Times New Roman" w:hAnsi="Times New Roman" w:cs="Times New Roman"/>
              <w:sz w:val="24"/>
              <w:szCs w:val="24"/>
            </w:rPr>
            <w:t>pajėgumų</w:t>
          </w:r>
          <w:proofErr w:type="spellEnd"/>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 tiekėjas remiasi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D170F6">
            <w:rPr>
              <w:rFonts w:ascii="Times New Roman" w:hAnsi="Times New Roman" w:cs="Times New Roman"/>
              <w:sz w:val="24"/>
              <w:szCs w:val="24"/>
            </w:rPr>
            <w:t>pasikeitimus</w:t>
          </w:r>
          <w:proofErr w:type="spellEnd"/>
          <w:r w:rsidRPr="00D170F6">
            <w:rPr>
              <w:rFonts w:ascii="Times New Roman" w:hAnsi="Times New Roman" w:cs="Times New Roman"/>
              <w:sz w:val="24"/>
              <w:szCs w:val="24"/>
            </w:rPr>
            <w:t xml:space="preserve">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8"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D170F6">
            <w:rPr>
              <w:rFonts w:ascii="Times New Roman" w:hAnsi="Times New Roman" w:cs="Times New Roman"/>
              <w:sz w:val="24"/>
              <w:szCs w:val="24"/>
            </w:rPr>
            <w:t>ketinimus</w:t>
          </w:r>
          <w:proofErr w:type="spellEnd"/>
          <w:r w:rsidRPr="00D170F6">
            <w:rPr>
              <w:rFonts w:ascii="Times New Roman" w:hAnsi="Times New Roman" w:cs="Times New Roman"/>
              <w:sz w:val="24"/>
              <w:szCs w:val="24"/>
            </w:rPr>
            <w:t xml:space="preserve">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2" w:name="_Ref39754676"/>
          <w:bookmarkEnd w:id="81"/>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2"/>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3"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3"/>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4"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4"/>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lastRenderedPageBreak/>
            <w:t>Elektroninis aukcionas</w:t>
          </w:r>
          <w:bookmarkEnd w:id="93"/>
          <w:bookmarkEnd w:id="94"/>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t>Pasiūlymų vertinimas</w:t>
          </w:r>
          <w:bookmarkEnd w:id="95"/>
          <w:bookmarkEnd w:id="96"/>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D170F6">
            <w:rPr>
              <w:rFonts w:ascii="Times New Roman" w:hAnsi="Times New Roman" w:cs="Times New Roman"/>
              <w:sz w:val="24"/>
              <w:szCs w:val="24"/>
            </w:rPr>
            <w:t xml:space="preserve">tiekėjams ir (ar) jų įgaliotiesiems atstovams </w:t>
          </w:r>
          <w:bookmarkEnd w:id="97"/>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D170F6">
            <w:rPr>
              <w:rFonts w:ascii="Times New Roman" w:eastAsia="Times New Roman" w:hAnsi="Times New Roman" w:cs="Times New Roman"/>
              <w:color w:val="000000" w:themeColor="text1"/>
              <w:sz w:val="24"/>
              <w:szCs w:val="24"/>
            </w:rPr>
            <w:t>pajėgumais</w:t>
          </w:r>
          <w:proofErr w:type="spellEnd"/>
          <w:r w:rsidRPr="00D170F6">
            <w:rPr>
              <w:rFonts w:ascii="Times New Roman" w:eastAsia="Times New Roman" w:hAnsi="Times New Roman" w:cs="Times New Roman"/>
              <w:color w:val="000000" w:themeColor="text1"/>
              <w:sz w:val="24"/>
              <w:szCs w:val="24"/>
            </w:rPr>
            <w:t xml:space="preserve">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t xml:space="preserve">Pasiūlymų atmetimo </w:t>
          </w:r>
          <w:bookmarkEnd w:id="98"/>
          <w:r w:rsidRPr="0050746A">
            <w:rPr>
              <w:rFonts w:ascii="Times New Roman" w:hAnsi="Times New Roman" w:cs="Times New Roman"/>
              <w:color w:val="auto"/>
            </w:rPr>
            <w:t>pagrindai</w:t>
          </w:r>
          <w:bookmarkEnd w:id="99"/>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145A78" w:rsidP="00E43CC8">
          <w:pPr>
            <w:spacing w:after="120" w:line="20" w:lineRule="atLeast"/>
            <w:contextualSpacing/>
            <w:jc w:val="center"/>
            <w:rPr>
              <w:rFonts w:ascii="Times New Roman" w:hAnsi="Times New Roman" w:cs="Times New Roman"/>
              <w:b/>
              <w:bCs/>
              <w:sz w:val="28"/>
              <w:szCs w:val="28"/>
            </w:rPr>
          </w:pPr>
          <w:r w:rsidRPr="00420B41">
            <w:rPr>
              <w:rFonts w:ascii="Times New Roman" w:hAnsi="Times New Roman" w:cs="Times New Roman"/>
              <w:b/>
              <w:kern w:val="3"/>
              <w:sz w:val="28"/>
              <w:szCs w:val="28"/>
            </w:rPr>
            <w:lastRenderedPageBreak/>
            <w:t>AUTOMOBILIŲ STOVĖJIMO AIKŠTELIŲ PRIE DAUGIABUČIŲ NAMŲ  ROŽIŲ G. NR. 1 IR SODŲ G. NR. 14, NR. 16, NR. 18, NR. 20, ŽIEŽMARIŲ M. STATYBOS RANGOS DA</w:t>
          </w:r>
          <w:r w:rsidRPr="00420B41">
            <w:rPr>
              <w:rFonts w:ascii="Times New Roman" w:hAnsi="Times New Roman" w:cs="Times New Roman"/>
              <w:b/>
              <w:sz w:val="28"/>
              <w:szCs w:val="28"/>
            </w:rPr>
            <w:t>RBŲ</w:t>
          </w:r>
          <w:r w:rsidRPr="0022290D">
            <w:rPr>
              <w:rFonts w:ascii="Times New Roman" w:hAnsi="Times New Roman" w:cs="Times New Roman"/>
              <w:b/>
              <w:bCs/>
              <w:sz w:val="24"/>
              <w:szCs w:val="24"/>
            </w:rPr>
            <w:t xml:space="preserve"> </w:t>
          </w:r>
          <w:r w:rsidRPr="00E43CC8">
            <w:rPr>
              <w:rFonts w:ascii="Times New Roman" w:hAnsi="Times New Roman" w:cs="Times New Roman"/>
              <w:b/>
              <w:sz w:val="28"/>
              <w:szCs w:val="28"/>
              <w:shd w:val="clear" w:color="auto" w:fill="FFFFFF"/>
            </w:rPr>
            <w:t>PIRKIMO</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3B6E9A"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3B6E9A"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3B6E9A"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3B6E9A"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3B6E9A"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3B6E9A"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3B6E9A"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3B6E9A"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3B6E9A"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3B6E9A"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3B6E9A">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3B6E9A">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3B6E9A">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3B6E9A">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3B6E9A">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145A78">
                <w:t>Supaprastintas statybos projektas"</w:t>
              </w:r>
              <w:r w:rsidR="00CF1E5D">
                <w:t>...........</w:t>
              </w:r>
              <w:r>
                <w:t>............................................................ ...........</w:t>
              </w:r>
            </w:p>
            <w:p w:rsidR="0074475B" w:rsidRDefault="003B6E9A"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bookmarkStart w:id="115" w:name="_GoBack"/>
      <w:bookmarkEnd w:id="115"/>
      <w:r w:rsidR="00145A78">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9C69FC">
        <w:rPr>
          <w:rFonts w:ascii="Times New Roman" w:hAnsi="Times New Roman" w:cs="Times New Roman"/>
          <w:i/>
          <w:kern w:val="3"/>
          <w:sz w:val="24"/>
          <w:szCs w:val="24"/>
        </w:rPr>
        <w:t>A</w:t>
      </w:r>
      <w:r w:rsidR="009C69FC" w:rsidRPr="009C69FC">
        <w:rPr>
          <w:rFonts w:ascii="Times New Roman" w:hAnsi="Times New Roman" w:cs="Times New Roman"/>
          <w:i/>
          <w:kern w:val="3"/>
          <w:sz w:val="24"/>
          <w:szCs w:val="24"/>
        </w:rPr>
        <w:t xml:space="preserve">utomobilių stovėjimo aikštelių prie daugiabučių namų  </w:t>
      </w:r>
      <w:r w:rsidR="009C69FC">
        <w:rPr>
          <w:rFonts w:ascii="Times New Roman" w:hAnsi="Times New Roman" w:cs="Times New Roman"/>
          <w:i/>
          <w:kern w:val="3"/>
          <w:sz w:val="24"/>
          <w:szCs w:val="24"/>
        </w:rPr>
        <w:t>R</w:t>
      </w:r>
      <w:r w:rsidR="009C69FC" w:rsidRPr="009C69FC">
        <w:rPr>
          <w:rFonts w:ascii="Times New Roman" w:hAnsi="Times New Roman" w:cs="Times New Roman"/>
          <w:i/>
          <w:kern w:val="3"/>
          <w:sz w:val="24"/>
          <w:szCs w:val="24"/>
        </w:rPr>
        <w:t xml:space="preserve">ožių g.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 ir </w:t>
      </w:r>
      <w:r w:rsidR="009C69FC">
        <w:rPr>
          <w:rFonts w:ascii="Times New Roman" w:hAnsi="Times New Roman" w:cs="Times New Roman"/>
          <w:i/>
          <w:kern w:val="3"/>
          <w:sz w:val="24"/>
          <w:szCs w:val="24"/>
        </w:rPr>
        <w:t>S</w:t>
      </w:r>
      <w:r w:rsidR="009C69FC" w:rsidRPr="009C69FC">
        <w:rPr>
          <w:rFonts w:ascii="Times New Roman" w:hAnsi="Times New Roman" w:cs="Times New Roman"/>
          <w:i/>
          <w:kern w:val="3"/>
          <w:sz w:val="24"/>
          <w:szCs w:val="24"/>
        </w:rPr>
        <w:t xml:space="preserve">odų g.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14,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16,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18,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20, </w:t>
      </w:r>
      <w:r w:rsidR="009C69FC">
        <w:rPr>
          <w:rFonts w:ascii="Times New Roman" w:hAnsi="Times New Roman" w:cs="Times New Roman"/>
          <w:i/>
          <w:kern w:val="3"/>
          <w:sz w:val="24"/>
          <w:szCs w:val="24"/>
        </w:rPr>
        <w:t>Ž</w:t>
      </w:r>
      <w:r w:rsidR="009C69FC" w:rsidRPr="009C69FC">
        <w:rPr>
          <w:rFonts w:ascii="Times New Roman" w:hAnsi="Times New Roman" w:cs="Times New Roman"/>
          <w:i/>
          <w:kern w:val="3"/>
          <w:sz w:val="24"/>
          <w:szCs w:val="24"/>
        </w:rPr>
        <w:t>iežmarių m. statybos rangos da</w:t>
      </w:r>
      <w:r w:rsidR="009C69FC" w:rsidRPr="009C69FC">
        <w:rPr>
          <w:rFonts w:ascii="Times New Roman" w:hAnsi="Times New Roman" w:cs="Times New Roman"/>
          <w:i/>
          <w:sz w:val="24"/>
          <w:szCs w:val="24"/>
        </w:rPr>
        <w:t>rbų</w:t>
      </w:r>
      <w:r w:rsidR="009C69FC" w:rsidRPr="009C69FC">
        <w:rPr>
          <w:rFonts w:ascii="Times New Roman" w:hAnsi="Times New Roman" w:cs="Times New Roman"/>
          <w:bCs/>
          <w:i/>
          <w:sz w:val="24"/>
          <w:szCs w:val="24"/>
        </w:rPr>
        <w:t xml:space="preserve"> </w:t>
      </w:r>
      <w:r w:rsidR="009C69FC" w:rsidRPr="009C69FC">
        <w:rPr>
          <w:rFonts w:ascii="Times New Roman" w:hAnsi="Times New Roman" w:cs="Times New Roman"/>
          <w:i/>
          <w:sz w:val="24"/>
          <w:szCs w:val="24"/>
          <w:shd w:val="clear" w:color="auto" w:fill="FFFFFF"/>
        </w:rPr>
        <w:t>pirkimo</w:t>
      </w:r>
      <w:r w:rsidR="009C69FC"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jei tiekėjas pasitelkia ūkio subjektus,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proofErr w:type="spellStart"/>
            <w:r w:rsidRPr="00926BC4">
              <w:rPr>
                <w:rFonts w:ascii="Times New Roman" w:hAnsi="Times New Roman" w:cs="Times New Roman"/>
                <w:b/>
                <w:bCs/>
                <w:sz w:val="24"/>
                <w:szCs w:val="24"/>
              </w:rPr>
              <w:t>Eil.Nr</w:t>
            </w:r>
            <w:proofErr w:type="spellEnd"/>
            <w:r w:rsidRPr="00926BC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77694B">
        <w:rPr>
          <w:rFonts w:ascii="Times New Roman" w:hAnsi="Times New Roman" w:cs="Times New Roman"/>
          <w:sz w:val="22"/>
          <w:szCs w:val="22"/>
        </w:rPr>
        <w:t>pajėgumais</w:t>
      </w:r>
      <w:proofErr w:type="spellEnd"/>
      <w:r w:rsidRPr="0077694B">
        <w:rPr>
          <w:rFonts w:ascii="Times New Roman" w:hAnsi="Times New Roman" w:cs="Times New Roman"/>
          <w:sz w:val="22"/>
          <w:szCs w:val="22"/>
        </w:rPr>
        <w:t xml:space="preserve">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lastRenderedPageBreak/>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3B6E9A"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6E9A"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3B6E9A"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3B6E9A"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3B6E9A"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3B6E9A"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9C69FC">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paprastojo remonto ar kapitalinio remonto, ar rekonstravimo ar naujos statybos (statinių grupė: susisiekimo komunikacijos; pogrupis: keliai ir/ar gatvės</w:t>
            </w:r>
            <w:r w:rsidR="009C69FC">
              <w:rPr>
                <w:sz w:val="24"/>
                <w:szCs w:val="24"/>
              </w:rPr>
              <w:t xml:space="preserve"> ir/ar </w:t>
            </w:r>
            <w:r w:rsidR="00972C36">
              <w:rPr>
                <w:sz w:val="24"/>
                <w:szCs w:val="24"/>
              </w:rPr>
              <w:t xml:space="preserve">statinių grupė: </w:t>
            </w:r>
            <w:r w:rsidR="009C69FC">
              <w:rPr>
                <w:sz w:val="24"/>
                <w:szCs w:val="24"/>
              </w:rPr>
              <w:t xml:space="preserve">kiti </w:t>
            </w:r>
            <w:r w:rsidR="00972C36">
              <w:rPr>
                <w:sz w:val="24"/>
                <w:szCs w:val="24"/>
              </w:rPr>
              <w:t xml:space="preserve">inžineriniai </w:t>
            </w:r>
            <w:r w:rsidR="009C69FC">
              <w:rPr>
                <w:sz w:val="24"/>
                <w:szCs w:val="24"/>
              </w:rPr>
              <w:t>statiniai</w:t>
            </w:r>
            <w:r w:rsidR="00972C36">
              <w:rPr>
                <w:sz w:val="24"/>
                <w:szCs w:val="24"/>
              </w:rPr>
              <w:t xml:space="preserve">: </w:t>
            </w:r>
            <w:r w:rsidR="00F235FB">
              <w:rPr>
                <w:sz w:val="24"/>
                <w:szCs w:val="24"/>
              </w:rPr>
              <w:t>kitos paskirties (aikštelės)</w:t>
            </w:r>
            <w:r w:rsidRPr="00CC4253">
              <w:rPr>
                <w:sz w:val="24"/>
                <w:szCs w:val="24"/>
              </w:rPr>
              <w:t xml:space="preserve">),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6F204C">
              <w:rPr>
                <w:sz w:val="24"/>
                <w:szCs w:val="24"/>
              </w:rPr>
              <w:t>80</w:t>
            </w:r>
            <w:r w:rsidRPr="00972C36">
              <w:rPr>
                <w:sz w:val="24"/>
                <w:szCs w:val="24"/>
              </w:rPr>
              <w:t>000</w:t>
            </w:r>
            <w:r w:rsidRPr="00FD5F0E">
              <w:rPr>
                <w:sz w:val="24"/>
                <w:szCs w:val="24"/>
              </w:rPr>
              <w:t xml:space="preserve"> </w:t>
            </w:r>
            <w:proofErr w:type="spellStart"/>
            <w:r w:rsidRPr="00FD5F0E">
              <w:rPr>
                <w:sz w:val="24"/>
                <w:szCs w:val="24"/>
              </w:rPr>
              <w:t>Eur</w:t>
            </w:r>
            <w:proofErr w:type="spellEnd"/>
            <w:r w:rsidRPr="00FD5F0E">
              <w:rPr>
                <w:sz w:val="24"/>
                <w:szCs w:val="24"/>
              </w:rPr>
              <w:t xml:space="preserve">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w:t>
            </w:r>
            <w:proofErr w:type="spellStart"/>
            <w:r w:rsidRPr="002544B4">
              <w:rPr>
                <w:sz w:val="24"/>
                <w:szCs w:val="24"/>
              </w:rPr>
              <w:t>čių</w:t>
            </w:r>
            <w:proofErr w:type="spellEnd"/>
            <w:r w:rsidRPr="002544B4">
              <w:rPr>
                <w:sz w:val="24"/>
                <w:szCs w:val="24"/>
              </w:rPr>
              <w:t>) laikotarpis, panašaus objekto aprašymas: statinio kategorijos ar grupės, ar pogrupiai, ar statybos darbų rūšys, ar statybos darbų sritys, ar kiekis, ar techniniai parametrai, ar kt.), atliktų nurodytų svarbiausių darbų dalis įvykdytoje (-</w:t>
            </w:r>
            <w:proofErr w:type="spellStart"/>
            <w:r w:rsidRPr="002544B4">
              <w:rPr>
                <w:sz w:val="24"/>
                <w:szCs w:val="24"/>
              </w:rPr>
              <w:t>ose</w:t>
            </w:r>
            <w:proofErr w:type="spellEnd"/>
            <w:r w:rsidRPr="002544B4">
              <w:rPr>
                <w:sz w:val="24"/>
                <w:szCs w:val="24"/>
              </w:rPr>
              <w:t>) / vykdomoje (-</w:t>
            </w:r>
            <w:proofErr w:type="spellStart"/>
            <w:r w:rsidRPr="002544B4">
              <w:rPr>
                <w:sz w:val="24"/>
                <w:szCs w:val="24"/>
              </w:rPr>
              <w:t>ose</w:t>
            </w:r>
            <w:proofErr w:type="spellEnd"/>
            <w:r w:rsidRPr="002544B4">
              <w:rPr>
                <w:sz w:val="24"/>
                <w:szCs w:val="24"/>
              </w:rPr>
              <w:t xml:space="preserve">) sutartyje ( </w:t>
            </w:r>
            <w:proofErr w:type="spellStart"/>
            <w:r w:rsidRPr="002544B4">
              <w:rPr>
                <w:sz w:val="24"/>
                <w:szCs w:val="24"/>
              </w:rPr>
              <w:t>yse</w:t>
            </w:r>
            <w:proofErr w:type="spellEnd"/>
            <w:r w:rsidRPr="002544B4">
              <w:rPr>
                <w:sz w:val="24"/>
                <w:szCs w:val="24"/>
              </w:rPr>
              <w:t xml:space="preserv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 xml:space="preserve">tiekėjas gali remtis kitų ūkio subjektų </w:t>
            </w:r>
            <w:proofErr w:type="spellStart"/>
            <w:r w:rsidRPr="00FD5F0E">
              <w:rPr>
                <w:color w:val="000000"/>
                <w:sz w:val="24"/>
                <w:szCs w:val="24"/>
              </w:rPr>
              <w:t>pajėgumais</w:t>
            </w:r>
            <w:proofErr w:type="spellEnd"/>
            <w:r w:rsidRPr="00FD5F0E">
              <w:rPr>
                <w:color w:val="000000"/>
                <w:sz w:val="24"/>
                <w:szCs w:val="24"/>
              </w:rPr>
              <w:t xml:space="preserve"> tik tuo atveju, jeigu tie subjektai patys vykdys tą pirkimo sutarties dalį, kuriai reikia jų turimų </w:t>
            </w:r>
            <w:proofErr w:type="spellStart"/>
            <w:r w:rsidRPr="00FD5F0E">
              <w:rPr>
                <w:color w:val="000000"/>
                <w:sz w:val="24"/>
                <w:szCs w:val="24"/>
              </w:rPr>
              <w:t>pajėgumų</w:t>
            </w:r>
            <w:proofErr w:type="spellEnd"/>
            <w:r w:rsidRPr="00FD5F0E">
              <w:rPr>
                <w:color w:val="000000"/>
                <w:sz w:val="24"/>
                <w:szCs w:val="24"/>
              </w:rPr>
              <w:t>;</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9C69FC">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w:t>
            </w:r>
            <w:r w:rsidR="00F235FB" w:rsidRPr="00CC4253">
              <w:rPr>
                <w:sz w:val="24"/>
                <w:szCs w:val="24"/>
              </w:rPr>
              <w:t>statinių grupė: susisiekimo komunikacijos; pogrupis: keliai ir/ar gatvės</w:t>
            </w:r>
            <w:r w:rsidR="00F235FB">
              <w:rPr>
                <w:sz w:val="24"/>
                <w:szCs w:val="24"/>
              </w:rPr>
              <w:t xml:space="preserve"> ir/ar statinių grupė: kiti inžineriniai statiniai: kitos paskirties (aikštelės)</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w:t>
            </w:r>
            <w:proofErr w:type="spellStart"/>
            <w:r w:rsidR="00E357B2" w:rsidRPr="008A43E2">
              <w:rPr>
                <w:color w:val="000000"/>
                <w:sz w:val="24"/>
                <w:szCs w:val="24"/>
              </w:rPr>
              <w:t>įrodymus</w:t>
            </w:r>
            <w:proofErr w:type="spellEnd"/>
            <w:r w:rsidR="00E357B2" w:rsidRPr="008A43E2">
              <w:rPr>
                <w:color w:val="000000"/>
                <w:sz w:val="24"/>
                <w:szCs w:val="24"/>
              </w:rPr>
              <w:t xml:space="preserve">,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 xml:space="preserve">rkančioji organizacija priima ir kitus tiekėjo lygiaverčių aplinkos apsaugos vadybos užtikrinimo priemonių </w:t>
            </w:r>
            <w:proofErr w:type="spellStart"/>
            <w:r w:rsidR="00F929A5" w:rsidRPr="008A43E2">
              <w:rPr>
                <w:color w:val="000000"/>
                <w:sz w:val="24"/>
                <w:szCs w:val="24"/>
              </w:rPr>
              <w:t>įrodymus</w:t>
            </w:r>
            <w:proofErr w:type="spellEnd"/>
            <w:r w:rsidR="00F929A5" w:rsidRPr="008A43E2">
              <w:rPr>
                <w:color w:val="000000"/>
                <w:sz w:val="24"/>
                <w:szCs w:val="24"/>
              </w:rPr>
              <w:t>,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9C69FC" w:rsidP="009F7ED7">
      <w:pPr>
        <w:suppressAutoHyphens/>
        <w:spacing w:after="0" w:line="240" w:lineRule="auto"/>
        <w:jc w:val="center"/>
        <w:rPr>
          <w:rFonts w:ascii="Times New Roman" w:hAnsi="Times New Roman" w:cs="Times New Roman"/>
          <w:b/>
          <w:bCs/>
          <w:iCs/>
          <w:caps/>
          <w:sz w:val="24"/>
          <w:szCs w:val="24"/>
          <w:lang w:eastAsia="en-US"/>
        </w:rPr>
      </w:pPr>
      <w:r w:rsidRPr="009C69FC">
        <w:rPr>
          <w:rFonts w:ascii="Times New Roman" w:hAnsi="Times New Roman" w:cs="Times New Roman"/>
          <w:b/>
          <w:kern w:val="3"/>
          <w:sz w:val="24"/>
          <w:szCs w:val="24"/>
        </w:rPr>
        <w:t>AUTOMOBILIŲ STOVĖJIMO AIKŠTELIŲ PRIE DAUGIABUČIŲ NAMŲ  ROŽIŲ G. NR. 1 IR SODŲ G. NR. 14, NR. 16, NR. 18, NR. 20, ŽIEŽMARIŲ M. STATYBOS RANGOS DA</w:t>
      </w:r>
      <w:r w:rsidRPr="009C69FC">
        <w:rPr>
          <w:rFonts w:ascii="Times New Roman" w:hAnsi="Times New Roman" w:cs="Times New Roman"/>
          <w:b/>
          <w:sz w:val="24"/>
          <w:szCs w:val="24"/>
        </w:rPr>
        <w:t>RBŲ</w:t>
      </w:r>
      <w:r w:rsidRPr="0022290D">
        <w:rPr>
          <w:rFonts w:ascii="Times New Roman" w:hAnsi="Times New Roman" w:cs="Times New Roman"/>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9C69FC" w:rsidRDefault="009C69FC" w:rsidP="009C69FC">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3"/>
                <w:sz w:val="24"/>
                <w:szCs w:val="24"/>
              </w:rPr>
              <w:t>A</w:t>
            </w:r>
            <w:r w:rsidRPr="009C69FC">
              <w:rPr>
                <w:rFonts w:ascii="Times New Roman" w:hAnsi="Times New Roman" w:cs="Times New Roman"/>
                <w:kern w:val="3"/>
                <w:sz w:val="24"/>
                <w:szCs w:val="24"/>
              </w:rPr>
              <w:t xml:space="preserve">utomobilių stovėjimo aikštelių prie daugiabučių namų  </w:t>
            </w:r>
            <w:r>
              <w:rPr>
                <w:rFonts w:ascii="Times New Roman" w:hAnsi="Times New Roman" w:cs="Times New Roman"/>
                <w:kern w:val="3"/>
                <w:sz w:val="24"/>
                <w:szCs w:val="24"/>
              </w:rPr>
              <w:t>R</w:t>
            </w:r>
            <w:r w:rsidRPr="009C69FC">
              <w:rPr>
                <w:rFonts w:ascii="Times New Roman" w:hAnsi="Times New Roman" w:cs="Times New Roman"/>
                <w:kern w:val="3"/>
                <w:sz w:val="24"/>
                <w:szCs w:val="24"/>
              </w:rPr>
              <w:t xml:space="preserve">ožių g.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 ir </w:t>
            </w:r>
            <w:r>
              <w:rPr>
                <w:rFonts w:ascii="Times New Roman" w:hAnsi="Times New Roman" w:cs="Times New Roman"/>
                <w:kern w:val="3"/>
                <w:sz w:val="24"/>
                <w:szCs w:val="24"/>
              </w:rPr>
              <w:t>S</w:t>
            </w:r>
            <w:r w:rsidRPr="009C69FC">
              <w:rPr>
                <w:rFonts w:ascii="Times New Roman" w:hAnsi="Times New Roman" w:cs="Times New Roman"/>
                <w:kern w:val="3"/>
                <w:sz w:val="24"/>
                <w:szCs w:val="24"/>
              </w:rPr>
              <w:t xml:space="preserve">odų g.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14,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16,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18,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20, </w:t>
            </w:r>
            <w:r>
              <w:rPr>
                <w:rFonts w:ascii="Times New Roman" w:hAnsi="Times New Roman" w:cs="Times New Roman"/>
                <w:kern w:val="3"/>
                <w:sz w:val="24"/>
                <w:szCs w:val="24"/>
              </w:rPr>
              <w:t>Ž</w:t>
            </w:r>
            <w:r w:rsidRPr="009C69FC">
              <w:rPr>
                <w:rFonts w:ascii="Times New Roman" w:hAnsi="Times New Roman" w:cs="Times New Roman"/>
                <w:kern w:val="3"/>
                <w:sz w:val="24"/>
                <w:szCs w:val="24"/>
              </w:rPr>
              <w:t>iežmarių m. statybos rangos da</w:t>
            </w:r>
            <w:r w:rsidRPr="009C69FC">
              <w:rPr>
                <w:rFonts w:ascii="Times New Roman" w:hAnsi="Times New Roman" w:cs="Times New Roman"/>
                <w:sz w:val="24"/>
                <w:szCs w:val="24"/>
              </w:rPr>
              <w:t>rbų</w:t>
            </w:r>
            <w:r w:rsidRPr="009C69FC">
              <w:rPr>
                <w:rFonts w:ascii="Times New Roman" w:hAnsi="Times New Roman" w:cs="Times New Roman"/>
                <w:bCs/>
                <w:sz w:val="24"/>
                <w:szCs w:val="24"/>
              </w:rPr>
              <w:t xml:space="preserve"> </w:t>
            </w:r>
            <w:r w:rsidRPr="009C69FC">
              <w:rPr>
                <w:rFonts w:ascii="Times New Roman" w:hAnsi="Times New Roman" w:cs="Times New Roman"/>
                <w:sz w:val="24"/>
                <w:szCs w:val="24"/>
                <w:shd w:val="clear" w:color="auto" w:fill="FFFFFF"/>
              </w:rPr>
              <w:t>pirkimo</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r w:rsidR="007F12C8" w:rsidRPr="00CA19BB" w:rsidTr="000A2A72">
        <w:tc>
          <w:tcPr>
            <w:tcW w:w="293" w:type="pct"/>
            <w:tcBorders>
              <w:top w:val="single" w:sz="4" w:space="0" w:color="000000"/>
              <w:left w:val="single" w:sz="4" w:space="0" w:color="000000"/>
              <w:bottom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34" w:type="pct"/>
            <w:tcBorders>
              <w:top w:val="single" w:sz="4" w:space="0" w:color="000000"/>
              <w:left w:val="single" w:sz="4" w:space="0" w:color="000000"/>
              <w:bottom w:val="single" w:sz="4" w:space="0" w:color="000000"/>
            </w:tcBorders>
          </w:tcPr>
          <w:p w:rsidR="007F12C8" w:rsidRDefault="007F12C8" w:rsidP="007F12C8">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sz w:val="24"/>
                <w:szCs w:val="24"/>
              </w:rPr>
              <w:t>Darbų užbaigimo dokumentacijos parengimo paslauga</w:t>
            </w:r>
          </w:p>
        </w:tc>
        <w:tc>
          <w:tcPr>
            <w:tcW w:w="1251"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lastRenderedPageBreak/>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Eil. </w:t>
            </w:r>
            <w:proofErr w:type="spellStart"/>
            <w:r w:rsidRPr="00CA19BB">
              <w:rPr>
                <w:rFonts w:ascii="Times New Roman" w:hAnsi="Times New Roman" w:cs="Times New Roman"/>
                <w:color w:val="000000"/>
                <w:sz w:val="24"/>
                <w:szCs w:val="20"/>
                <w:lang w:eastAsia="en-US"/>
              </w:rPr>
              <w:t>nr.</w:t>
            </w:r>
            <w:proofErr w:type="spellEnd"/>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Subtiekėjai ,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subtiekėjai, kurie bus pasitelkti vykdant pirkimo sutartį ir kurių </w:t>
            </w:r>
            <w:proofErr w:type="spellStart"/>
            <w:r w:rsidRPr="00CA19BB">
              <w:rPr>
                <w:rFonts w:ascii="Times New Roman" w:hAnsi="Times New Roman" w:cs="Times New Roman"/>
                <w:sz w:val="24"/>
                <w:szCs w:val="20"/>
                <w:lang w:eastAsia="en-US"/>
              </w:rPr>
              <w:t>pajėgumais</w:t>
            </w:r>
            <w:proofErr w:type="spellEnd"/>
            <w:r w:rsidRPr="00CA19BB">
              <w:rPr>
                <w:rFonts w:ascii="Times New Roman" w:hAnsi="Times New Roman" w:cs="Times New Roman"/>
                <w:sz w:val="24"/>
                <w:szCs w:val="20"/>
                <w:lang w:eastAsia="en-US"/>
              </w:rPr>
              <w:t xml:space="preserve">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 xml:space="preserve">Eil. </w:t>
            </w:r>
            <w:proofErr w:type="spellStart"/>
            <w:r w:rsidRPr="00CA19BB">
              <w:rPr>
                <w:rFonts w:ascii="Times New Roman" w:hAnsi="Times New Roman" w:cs="Times New Roman"/>
                <w:b/>
                <w:sz w:val="24"/>
                <w:szCs w:val="20"/>
                <w:lang w:eastAsia="en-US"/>
              </w:rPr>
              <w:t>nr.</w:t>
            </w:r>
            <w:proofErr w:type="spellEnd"/>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Eil. </w:t>
            </w:r>
            <w:proofErr w:type="spellStart"/>
            <w:r w:rsidRPr="00CA19BB">
              <w:rPr>
                <w:rFonts w:ascii="Times New Roman" w:hAnsi="Times New Roman" w:cs="Times New Roman"/>
                <w:sz w:val="24"/>
                <w:szCs w:val="20"/>
                <w:lang w:eastAsia="en-US"/>
              </w:rPr>
              <w:t>nr.</w:t>
            </w:r>
            <w:proofErr w:type="spellEnd"/>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proofErr w:type="spellStart"/>
            <w:r w:rsidRPr="00CA19BB">
              <w:rPr>
                <w:rFonts w:ascii="Times New Roman" w:hAnsi="Times New Roman" w:cs="Times New Roman"/>
                <w:sz w:val="24"/>
                <w:szCs w:val="24"/>
                <w:lang w:eastAsia="en-US"/>
              </w:rPr>
              <w:t>nr.</w:t>
            </w:r>
            <w:proofErr w:type="spellEnd"/>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711" w:rsidRDefault="005D0711" w:rsidP="00D05666">
      <w:r>
        <w:separator/>
      </w:r>
    </w:p>
  </w:endnote>
  <w:endnote w:type="continuationSeparator" w:id="0">
    <w:p w:rsidR="005D0711" w:rsidRDefault="005D0711" w:rsidP="00D05666">
      <w:r>
        <w:continuationSeparator/>
      </w:r>
    </w:p>
  </w:endnote>
  <w:endnote w:type="continuationNotice" w:id="1">
    <w:p w:rsidR="005D0711" w:rsidRDefault="005D0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3B6E9A" w:rsidRDefault="003B6E9A">
        <w:pPr>
          <w:pStyle w:val="Porat"/>
          <w:jc w:val="right"/>
        </w:pPr>
        <w:r>
          <w:rPr>
            <w:noProof/>
          </w:rPr>
          <w:fldChar w:fldCharType="begin"/>
        </w:r>
        <w:r>
          <w:rPr>
            <w:noProof/>
          </w:rPr>
          <w:instrText xml:space="preserve"> PAGE   \* MERGEFORMAT </w:instrText>
        </w:r>
        <w:r>
          <w:rPr>
            <w:noProof/>
          </w:rPr>
          <w:fldChar w:fldCharType="separate"/>
        </w:r>
        <w:r w:rsidR="00D1069C">
          <w:rPr>
            <w:noProof/>
          </w:rPr>
          <w:t>21</w:t>
        </w:r>
        <w:r>
          <w:rPr>
            <w:noProof/>
          </w:rPr>
          <w:fldChar w:fldCharType="end"/>
        </w:r>
      </w:p>
    </w:sdtContent>
  </w:sdt>
  <w:p w:rsidR="003B6E9A" w:rsidRDefault="003B6E9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9A" w:rsidRDefault="003B6E9A">
    <w:pPr>
      <w:pStyle w:val="Porat"/>
      <w:jc w:val="right"/>
    </w:pPr>
  </w:p>
  <w:p w:rsidR="003B6E9A" w:rsidRDefault="003B6E9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9A" w:rsidRDefault="003B6E9A">
    <w:pPr>
      <w:pStyle w:val="Porat"/>
      <w:jc w:val="right"/>
    </w:pPr>
    <w:r>
      <w:rPr>
        <w:noProof/>
      </w:rPr>
      <w:fldChar w:fldCharType="begin"/>
    </w:r>
    <w:r>
      <w:rPr>
        <w:noProof/>
      </w:rPr>
      <w:instrText xml:space="preserve"> PAGE   \* MERGEFORMAT </w:instrText>
    </w:r>
    <w:r>
      <w:rPr>
        <w:noProof/>
      </w:rPr>
      <w:fldChar w:fldCharType="separate"/>
    </w:r>
    <w:r w:rsidR="00D1069C">
      <w:rPr>
        <w:noProof/>
      </w:rPr>
      <w:t>13</w:t>
    </w:r>
    <w:r>
      <w:rPr>
        <w:noProof/>
      </w:rPr>
      <w:fldChar w:fldCharType="end"/>
    </w:r>
  </w:p>
  <w:p w:rsidR="003B6E9A" w:rsidRDefault="003B6E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711" w:rsidRDefault="005D0711" w:rsidP="00D05666">
      <w:r>
        <w:separator/>
      </w:r>
    </w:p>
  </w:footnote>
  <w:footnote w:type="continuationSeparator" w:id="0">
    <w:p w:rsidR="005D0711" w:rsidRDefault="005D0711" w:rsidP="00D05666">
      <w:r>
        <w:continuationSeparator/>
      </w:r>
    </w:p>
  </w:footnote>
  <w:footnote w:type="continuationNotice" w:id="1">
    <w:p w:rsidR="005D0711" w:rsidRDefault="005D0711">
      <w:pPr>
        <w:spacing w:after="0" w:line="240" w:lineRule="auto"/>
      </w:pPr>
    </w:p>
  </w:footnote>
  <w:footnote w:id="2">
    <w:p w:rsidR="003B6E9A" w:rsidRPr="00A55027" w:rsidRDefault="003B6E9A"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3B6E9A" w:rsidRPr="00427C59" w:rsidRDefault="003B6E9A" w:rsidP="00DB22A6">
      <w:pPr>
        <w:pStyle w:val="Puslapioinaostekstas"/>
        <w:spacing w:after="0"/>
      </w:pPr>
    </w:p>
  </w:footnote>
  <w:footnote w:id="3">
    <w:p w:rsidR="003B6E9A" w:rsidRPr="00A55027" w:rsidRDefault="003B6E9A"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3B6E9A" w:rsidRPr="00427C59" w:rsidRDefault="003B6E9A" w:rsidP="00DB22A6">
      <w:pPr>
        <w:pStyle w:val="Puslapioinaostekstas"/>
        <w:spacing w:after="0" w:line="240" w:lineRule="auto"/>
      </w:pPr>
    </w:p>
  </w:footnote>
  <w:footnote w:id="4">
    <w:p w:rsidR="003B6E9A" w:rsidRPr="00906304" w:rsidRDefault="003B6E9A"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3B6E9A" w:rsidRPr="00A55027" w:rsidRDefault="003B6E9A"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3B6E9A" w:rsidRPr="001620D3" w:rsidRDefault="003B6E9A"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B6E9A" w:rsidRPr="001620D3" w:rsidRDefault="003B6E9A"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B6E9A" w:rsidRDefault="003B6E9A"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3B6E9A" w:rsidRPr="001620D3" w:rsidRDefault="003B6E9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B6E9A" w:rsidRPr="001620D3" w:rsidRDefault="003B6E9A"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B6E9A" w:rsidRDefault="003B6E9A"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3B6E9A" w:rsidRPr="001620D3" w:rsidRDefault="003B6E9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B6E9A" w:rsidRPr="001620D3" w:rsidRDefault="003B6E9A"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B6E9A" w:rsidRDefault="003B6E9A"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3B6E9A" w:rsidRDefault="003B6E9A"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9A" w:rsidRDefault="003B6E9A">
    <w:pPr>
      <w:pStyle w:val="Antrats"/>
      <w:jc w:val="right"/>
    </w:pPr>
  </w:p>
  <w:p w:rsidR="003B6E9A" w:rsidRDefault="003B6E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78"/>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6E9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B41"/>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6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71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04C"/>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E3"/>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FC"/>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69C"/>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59C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5F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D0C4B1D-5989-4958-941C-88C4D39C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73038</Words>
  <Characters>41633</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2026-03-19T11:51:00Z</dcterms:created>
  <dcterms:modified xsi:type="dcterms:W3CDTF">2026-03-26T09:30:00Z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