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B5" w:rsidRPr="00CC7D3B" w:rsidRDefault="00967AB5" w:rsidP="00E24A4B">
      <w:pPr>
        <w:spacing w:after="0" w:line="240" w:lineRule="auto"/>
        <w:rPr>
          <w:rFonts w:ascii="Times New Roman" w:hAnsi="Times New Roman" w:cs="Times New Roman"/>
          <w:sz w:val="24"/>
          <w:szCs w:val="24"/>
          <w:lang w:val="lt-LT"/>
        </w:rPr>
      </w:pPr>
    </w:p>
    <w:p w:rsidR="00BF7361" w:rsidRPr="00CC7D3B" w:rsidRDefault="00BF7361" w:rsidP="005E2C7A">
      <w:pPr>
        <w:spacing w:after="0" w:line="240" w:lineRule="auto"/>
        <w:ind w:firstLine="426"/>
        <w:jc w:val="right"/>
        <w:rPr>
          <w:rFonts w:ascii="Times New Roman" w:eastAsia="Times New Roman" w:hAnsi="Times New Roman" w:cs="Times New Roman"/>
          <w:sz w:val="24"/>
          <w:szCs w:val="24"/>
          <w:lang w:val="lt-LT" w:eastAsia="lt-LT"/>
        </w:rPr>
      </w:pPr>
      <w:r w:rsidRPr="00CC7D3B">
        <w:rPr>
          <w:rFonts w:ascii="Times New Roman" w:eastAsia="Times New Roman" w:hAnsi="Times New Roman" w:cs="Times New Roman"/>
          <w:sz w:val="24"/>
          <w:szCs w:val="24"/>
          <w:lang w:val="lt-LT" w:eastAsia="lt-LT"/>
        </w:rPr>
        <w:t>2 priedas</w:t>
      </w:r>
    </w:p>
    <w:p w:rsidR="00440388" w:rsidRPr="00CC7D3B" w:rsidRDefault="00440388" w:rsidP="005E2C7A">
      <w:pPr>
        <w:spacing w:after="0" w:line="240" w:lineRule="auto"/>
        <w:ind w:firstLine="426"/>
        <w:jc w:val="right"/>
        <w:rPr>
          <w:rFonts w:ascii="Times New Roman" w:eastAsia="Times New Roman" w:hAnsi="Times New Roman" w:cs="Times New Roman"/>
          <w:sz w:val="24"/>
          <w:szCs w:val="24"/>
          <w:lang w:val="lt-LT" w:eastAsia="lt-LT"/>
        </w:rPr>
      </w:pPr>
    </w:p>
    <w:p w:rsidR="00440388" w:rsidRPr="00CC7D3B" w:rsidRDefault="00440388" w:rsidP="00E24A4B">
      <w:pPr>
        <w:spacing w:after="0" w:line="240" w:lineRule="auto"/>
        <w:ind w:firstLine="426"/>
        <w:jc w:val="center"/>
        <w:rPr>
          <w:rFonts w:ascii="Times New Roman" w:eastAsia="Times New Roman" w:hAnsi="Times New Roman" w:cs="Times New Roman"/>
          <w:sz w:val="24"/>
          <w:szCs w:val="24"/>
          <w:lang w:val="lt-LT" w:eastAsia="lt-LT"/>
        </w:rPr>
      </w:pPr>
    </w:p>
    <w:p w:rsidR="00667E60" w:rsidRPr="00CC7D3B" w:rsidRDefault="00667E60" w:rsidP="005E2C7A">
      <w:pPr>
        <w:spacing w:after="0" w:line="240" w:lineRule="auto"/>
        <w:ind w:firstLine="426"/>
        <w:jc w:val="right"/>
        <w:rPr>
          <w:rFonts w:ascii="Times New Roman" w:eastAsia="Times New Roman" w:hAnsi="Times New Roman" w:cs="Times New Roman"/>
          <w:sz w:val="24"/>
          <w:szCs w:val="24"/>
          <w:lang w:val="lt-LT" w:eastAsia="lt-LT"/>
        </w:rPr>
      </w:pPr>
    </w:p>
    <w:p w:rsidR="00034F2D" w:rsidRPr="00034F2D" w:rsidRDefault="00034F2D" w:rsidP="00E24A4B">
      <w:pPr>
        <w:spacing w:after="2" w:line="260" w:lineRule="auto"/>
        <w:ind w:firstLine="426"/>
        <w:jc w:val="center"/>
        <w:rPr>
          <w:rFonts w:ascii="Times New Roman" w:eastAsia="Calibri" w:hAnsi="Times New Roman" w:cs="Times New Roman"/>
          <w:b/>
          <w:sz w:val="24"/>
          <w:szCs w:val="24"/>
          <w:lang w:val="lt-LT"/>
        </w:rPr>
      </w:pPr>
      <w:r w:rsidRPr="00034F2D">
        <w:rPr>
          <w:rFonts w:ascii="Times New Roman" w:eastAsia="Calibri" w:hAnsi="Times New Roman" w:cs="Times New Roman"/>
          <w:b/>
          <w:sz w:val="24"/>
          <w:szCs w:val="24"/>
          <w:lang w:val="lt-LT"/>
        </w:rPr>
        <w:t>BEPILOČIŲ ORLAIVIŲ APTIKIMO IR UŽKARDYMO SISTEMŲ TECHNINĖS PRIEŽIŪROS IR REMONTO TECHNINĖ SPECIFIKACIJA</w:t>
      </w:r>
    </w:p>
    <w:p w:rsidR="00034F2D" w:rsidRPr="00034F2D" w:rsidRDefault="00034F2D" w:rsidP="00034F2D">
      <w:pPr>
        <w:spacing w:after="2" w:line="260" w:lineRule="auto"/>
        <w:ind w:firstLine="426"/>
        <w:rPr>
          <w:rFonts w:ascii="Times New Roman" w:eastAsia="Calibri" w:hAnsi="Times New Roman" w:cs="Times New Roman"/>
          <w:b/>
          <w:sz w:val="24"/>
          <w:szCs w:val="24"/>
          <w:lang w:val="lt-LT"/>
        </w:rPr>
      </w:pPr>
    </w:p>
    <w:p w:rsidR="00034F2D" w:rsidRPr="00034F2D" w:rsidRDefault="00034F2D" w:rsidP="00034F2D">
      <w:pPr>
        <w:numPr>
          <w:ilvl w:val="0"/>
          <w:numId w:val="29"/>
        </w:numPr>
        <w:spacing w:after="2" w:line="260" w:lineRule="auto"/>
        <w:rPr>
          <w:rFonts w:ascii="Times New Roman" w:eastAsia="Calibri" w:hAnsi="Times New Roman" w:cs="Times New Roman"/>
          <w:b/>
          <w:sz w:val="24"/>
          <w:szCs w:val="24"/>
          <w:lang w:val="lt-LT"/>
        </w:rPr>
      </w:pPr>
      <w:r w:rsidRPr="00034F2D">
        <w:rPr>
          <w:rFonts w:ascii="Times New Roman" w:eastAsia="Calibri" w:hAnsi="Times New Roman" w:cs="Times New Roman"/>
          <w:b/>
          <w:sz w:val="24"/>
          <w:szCs w:val="24"/>
          <w:lang w:val="lt-LT"/>
        </w:rPr>
        <w:t>Bendrieji reikalavimai:</w:t>
      </w:r>
    </w:p>
    <w:p w:rsidR="00034F2D" w:rsidRPr="00034F2D" w:rsidRDefault="00034F2D" w:rsidP="00034F2D">
      <w:pPr>
        <w:numPr>
          <w:ilvl w:val="1"/>
          <w:numId w:val="29"/>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 xml:space="preserve">Šioje techninėje specifikacijoje pateikiami reikalavimai bepiločių orlaivių aptikimo ir užkardymo sistemų (toliau – sistemos) techninės priežiūros ir remonto paslaugoms. Reikalavimai apima tiek sistemų programinės įrangos, tiek mechaninės įrangos remontą ir techninę priežiūrą LK Karinių oro pajėgų eksploatuojamoms aptikimo ir užkardymo sistemoms (mobili sistema Wingman 105, pasyvus sensorius Watchdog, mobili sistema Skywiper – EDM4S ir OMNI, dieninė ir naktinė kamera kartu integruota su Skywiper sistema). </w:t>
      </w:r>
    </w:p>
    <w:p w:rsidR="00034F2D" w:rsidRPr="00034F2D" w:rsidRDefault="00034F2D" w:rsidP="00034F2D">
      <w:pPr>
        <w:numPr>
          <w:ilvl w:val="1"/>
          <w:numId w:val="29"/>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 xml:space="preserve">Techninė priežiūra ir remontas turi būti atliekami vadovaujantis gamintojo instrukcijoms, kitais LR įstatymais ir norminiais aktais bei šiais reikalavimais. </w:t>
      </w:r>
    </w:p>
    <w:p w:rsidR="00034F2D" w:rsidRPr="00034F2D" w:rsidRDefault="00034F2D" w:rsidP="00034F2D">
      <w:pPr>
        <w:spacing w:after="2" w:line="260" w:lineRule="auto"/>
        <w:ind w:firstLine="426"/>
        <w:rPr>
          <w:rFonts w:ascii="Times New Roman" w:eastAsia="Calibri" w:hAnsi="Times New Roman" w:cs="Times New Roman"/>
          <w:sz w:val="24"/>
          <w:szCs w:val="24"/>
          <w:lang w:val="lt-LT"/>
        </w:rPr>
      </w:pPr>
    </w:p>
    <w:p w:rsidR="00034F2D" w:rsidRPr="00034F2D" w:rsidRDefault="00034F2D" w:rsidP="00034F2D">
      <w:pPr>
        <w:numPr>
          <w:ilvl w:val="0"/>
          <w:numId w:val="29"/>
        </w:numPr>
        <w:spacing w:after="2" w:line="260" w:lineRule="auto"/>
        <w:rPr>
          <w:rFonts w:ascii="Times New Roman" w:eastAsia="Calibri" w:hAnsi="Times New Roman" w:cs="Times New Roman"/>
          <w:b/>
          <w:sz w:val="24"/>
          <w:szCs w:val="24"/>
          <w:lang w:val="lt-LT"/>
        </w:rPr>
      </w:pPr>
      <w:r w:rsidRPr="00034F2D">
        <w:rPr>
          <w:rFonts w:ascii="Times New Roman" w:eastAsia="Calibri" w:hAnsi="Times New Roman" w:cs="Times New Roman"/>
          <w:b/>
          <w:sz w:val="24"/>
          <w:szCs w:val="24"/>
          <w:lang w:val="lt-LT"/>
        </w:rPr>
        <w:t>Techniniai reikalavimai:</w:t>
      </w:r>
    </w:p>
    <w:p w:rsidR="00034F2D" w:rsidRPr="00034F2D" w:rsidRDefault="00034F2D" w:rsidP="00034F2D">
      <w:pPr>
        <w:numPr>
          <w:ilvl w:val="1"/>
          <w:numId w:val="29"/>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Sistemas sudarantys pagrindiniai komponentai:</w:t>
      </w:r>
    </w:p>
    <w:tbl>
      <w:tblPr>
        <w:tblStyle w:val="TableGrid"/>
        <w:tblW w:w="8930" w:type="dxa"/>
        <w:tblInd w:w="137" w:type="dxa"/>
        <w:tblLook w:val="04A0" w:firstRow="1" w:lastRow="0" w:firstColumn="1" w:lastColumn="0" w:noHBand="0" w:noVBand="1"/>
      </w:tblPr>
      <w:tblGrid>
        <w:gridCol w:w="996"/>
        <w:gridCol w:w="4673"/>
        <w:gridCol w:w="3261"/>
      </w:tblGrid>
      <w:tr w:rsidR="00034F2D" w:rsidRPr="00034F2D" w:rsidTr="001D156F">
        <w:tc>
          <w:tcPr>
            <w:tcW w:w="603" w:type="dxa"/>
          </w:tcPr>
          <w:p w:rsidR="00034F2D" w:rsidRPr="00034F2D" w:rsidRDefault="00034F2D" w:rsidP="00034F2D">
            <w:pPr>
              <w:spacing w:after="2" w:line="260" w:lineRule="auto"/>
              <w:ind w:firstLine="426"/>
              <w:rPr>
                <w:rFonts w:eastAsia="Calibri"/>
                <w:b/>
                <w:sz w:val="24"/>
                <w:szCs w:val="24"/>
              </w:rPr>
            </w:pPr>
            <w:r w:rsidRPr="00034F2D">
              <w:rPr>
                <w:rFonts w:eastAsia="Calibri"/>
                <w:b/>
                <w:sz w:val="24"/>
                <w:szCs w:val="24"/>
              </w:rPr>
              <w:t>Eil. Nr.</w:t>
            </w:r>
          </w:p>
        </w:tc>
        <w:tc>
          <w:tcPr>
            <w:tcW w:w="4925" w:type="dxa"/>
            <w:vAlign w:val="center"/>
          </w:tcPr>
          <w:p w:rsidR="00034F2D" w:rsidRPr="00034F2D" w:rsidRDefault="00034F2D" w:rsidP="00034F2D">
            <w:pPr>
              <w:spacing w:after="2" w:line="260" w:lineRule="auto"/>
              <w:ind w:firstLine="426"/>
              <w:rPr>
                <w:rFonts w:eastAsia="Calibri"/>
                <w:sz w:val="24"/>
                <w:szCs w:val="24"/>
              </w:rPr>
            </w:pPr>
            <w:r w:rsidRPr="00034F2D">
              <w:rPr>
                <w:rFonts w:eastAsia="Calibri"/>
                <w:b/>
                <w:sz w:val="24"/>
                <w:szCs w:val="24"/>
              </w:rPr>
              <w:t>Sistemos komponento pavadinimas</w:t>
            </w:r>
          </w:p>
        </w:tc>
        <w:tc>
          <w:tcPr>
            <w:tcW w:w="3402" w:type="dxa"/>
            <w:vAlign w:val="center"/>
          </w:tcPr>
          <w:p w:rsidR="00034F2D" w:rsidRPr="00034F2D" w:rsidRDefault="00034F2D" w:rsidP="00034F2D">
            <w:pPr>
              <w:spacing w:after="2" w:line="260" w:lineRule="auto"/>
              <w:ind w:firstLine="426"/>
              <w:rPr>
                <w:rFonts w:eastAsia="Calibri"/>
                <w:b/>
                <w:sz w:val="24"/>
                <w:szCs w:val="24"/>
              </w:rPr>
            </w:pPr>
            <w:r w:rsidRPr="00034F2D">
              <w:rPr>
                <w:rFonts w:eastAsia="Calibri"/>
                <w:b/>
                <w:sz w:val="24"/>
                <w:szCs w:val="24"/>
              </w:rPr>
              <w:t>Sistema</w:t>
            </w: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Baterijos modulis</w:t>
            </w:r>
          </w:p>
        </w:tc>
        <w:tc>
          <w:tcPr>
            <w:tcW w:w="3402" w:type="dxa"/>
            <w:vMerge w:val="restart"/>
            <w:vAlign w:val="center"/>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Skywiper EDM4S</w:t>
            </w: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2</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Radijo dažnių modulis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3</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Antenos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4</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Taikiklis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5</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Dieninė ir naktinė kamera</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6</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Kryptinės antenos</w:t>
            </w:r>
          </w:p>
        </w:tc>
        <w:tc>
          <w:tcPr>
            <w:tcW w:w="3402" w:type="dxa"/>
            <w:vMerge w:val="restart"/>
            <w:vAlign w:val="center"/>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Skywiper OMNI</w:t>
            </w: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7</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Radijo dažnių trikdymo modulis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8</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Baterijos modulis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9</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Radijo dažnių imtuvas</w:t>
            </w:r>
          </w:p>
        </w:tc>
        <w:tc>
          <w:tcPr>
            <w:tcW w:w="3402" w:type="dxa"/>
            <w:vMerge w:val="restart"/>
            <w:vAlign w:val="center"/>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Watchdog</w:t>
            </w: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10</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Antenos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11</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Procesorius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12</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Baterijos modulis</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13</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Tinklo įranga</w:t>
            </w:r>
          </w:p>
        </w:tc>
        <w:tc>
          <w:tcPr>
            <w:tcW w:w="3402" w:type="dxa"/>
            <w:vMerge/>
            <w:vAlign w:val="center"/>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14</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Radijo dažnių imtuvas</w:t>
            </w:r>
          </w:p>
        </w:tc>
        <w:tc>
          <w:tcPr>
            <w:tcW w:w="3402" w:type="dxa"/>
            <w:vMerge w:val="restart"/>
            <w:vAlign w:val="center"/>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Wingman 105</w:t>
            </w: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15</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Antenos</w:t>
            </w:r>
          </w:p>
        </w:tc>
        <w:tc>
          <w:tcPr>
            <w:tcW w:w="3402" w:type="dxa"/>
            <w:vMerge/>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16</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Procesorius</w:t>
            </w:r>
          </w:p>
        </w:tc>
        <w:tc>
          <w:tcPr>
            <w:tcW w:w="3402" w:type="dxa"/>
            <w:vMerge/>
          </w:tcPr>
          <w:p w:rsidR="00034F2D" w:rsidRPr="00034F2D" w:rsidRDefault="00034F2D" w:rsidP="00034F2D">
            <w:pPr>
              <w:spacing w:after="2" w:line="260" w:lineRule="auto"/>
              <w:ind w:firstLine="426"/>
              <w:rPr>
                <w:rFonts w:eastAsia="Calibri"/>
                <w:sz w:val="24"/>
                <w:szCs w:val="24"/>
              </w:rPr>
            </w:pPr>
          </w:p>
        </w:tc>
      </w:tr>
      <w:tr w:rsidR="00034F2D" w:rsidRPr="00034F2D" w:rsidTr="001D156F">
        <w:tc>
          <w:tcPr>
            <w:tcW w:w="603"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17</w:t>
            </w:r>
          </w:p>
        </w:tc>
        <w:tc>
          <w:tcPr>
            <w:tcW w:w="4925" w:type="dxa"/>
          </w:tcPr>
          <w:p w:rsidR="00034F2D" w:rsidRPr="00034F2D" w:rsidRDefault="00034F2D" w:rsidP="00034F2D">
            <w:pPr>
              <w:spacing w:after="2" w:line="260" w:lineRule="auto"/>
              <w:ind w:firstLine="426"/>
              <w:rPr>
                <w:rFonts w:eastAsia="Calibri"/>
                <w:sz w:val="24"/>
                <w:szCs w:val="24"/>
              </w:rPr>
            </w:pPr>
            <w:r w:rsidRPr="00034F2D">
              <w:rPr>
                <w:rFonts w:eastAsia="Calibri"/>
                <w:sz w:val="24"/>
                <w:szCs w:val="24"/>
              </w:rPr>
              <w:t>Baterijos modulis</w:t>
            </w:r>
          </w:p>
        </w:tc>
        <w:tc>
          <w:tcPr>
            <w:tcW w:w="3402" w:type="dxa"/>
            <w:vMerge/>
          </w:tcPr>
          <w:p w:rsidR="00034F2D" w:rsidRPr="00034F2D" w:rsidRDefault="00034F2D" w:rsidP="00034F2D">
            <w:pPr>
              <w:spacing w:after="2" w:line="260" w:lineRule="auto"/>
              <w:ind w:firstLine="426"/>
              <w:rPr>
                <w:rFonts w:eastAsia="Calibri"/>
                <w:sz w:val="24"/>
                <w:szCs w:val="24"/>
              </w:rPr>
            </w:pPr>
          </w:p>
        </w:tc>
      </w:tr>
    </w:tbl>
    <w:p w:rsidR="00034F2D" w:rsidRPr="00034F2D" w:rsidRDefault="00034F2D" w:rsidP="00675780">
      <w:pPr>
        <w:spacing w:after="2" w:line="260" w:lineRule="auto"/>
        <w:rPr>
          <w:rFonts w:ascii="Times New Roman" w:eastAsia="Calibri" w:hAnsi="Times New Roman" w:cs="Times New Roman"/>
          <w:sz w:val="24"/>
          <w:szCs w:val="24"/>
          <w:lang w:val="lt-LT"/>
        </w:rPr>
      </w:pPr>
    </w:p>
    <w:p w:rsidR="00034F2D" w:rsidRPr="00034F2D" w:rsidRDefault="00034F2D" w:rsidP="00034F2D">
      <w:pPr>
        <w:spacing w:after="2" w:line="260" w:lineRule="auto"/>
        <w:ind w:firstLine="426"/>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2.3. Vykdant programinės įrangos techninę priežiūrą:</w:t>
      </w:r>
    </w:p>
    <w:p w:rsidR="00034F2D" w:rsidRPr="00034F2D" w:rsidRDefault="00034F2D" w:rsidP="00034F2D">
      <w:pPr>
        <w:spacing w:after="2" w:line="260" w:lineRule="auto"/>
        <w:ind w:firstLine="426"/>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 xml:space="preserve">2.3.1. užtikrinti nepertraukiamą programinės įrangos atnaujinimų palaikymą bei remontą tinkamam </w:t>
      </w:r>
    </w:p>
    <w:p w:rsidR="00034F2D" w:rsidRPr="00034F2D" w:rsidRDefault="00034F2D" w:rsidP="00034F2D">
      <w:pPr>
        <w:spacing w:after="2" w:line="260" w:lineRule="auto"/>
        <w:ind w:firstLine="426"/>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 xml:space="preserve">įrangos veikimui; </w:t>
      </w:r>
    </w:p>
    <w:p w:rsidR="00034F2D" w:rsidRPr="00034F2D" w:rsidRDefault="00034F2D" w:rsidP="00034F2D">
      <w:pPr>
        <w:numPr>
          <w:ilvl w:val="2"/>
          <w:numId w:val="30"/>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lastRenderedPageBreak/>
        <w:t>atlikus programinės įrangos atnaujinimą ar remontą užtikrinti įrangos funkcionalumo testavimą;</w:t>
      </w:r>
    </w:p>
    <w:p w:rsidR="00034F2D" w:rsidRPr="00034F2D" w:rsidRDefault="00034F2D" w:rsidP="00034F2D">
      <w:pPr>
        <w:numPr>
          <w:ilvl w:val="2"/>
          <w:numId w:val="30"/>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 xml:space="preserve">sistemų programinė įranga turi būti programuota NATO ar ES valstybėse ir atitikti Lietuvos nacionalinio saugumo reikalavimus. </w:t>
      </w:r>
    </w:p>
    <w:p w:rsidR="00034F2D" w:rsidRPr="00034F2D" w:rsidRDefault="00034F2D" w:rsidP="00034F2D">
      <w:pPr>
        <w:spacing w:after="2" w:line="260" w:lineRule="auto"/>
        <w:ind w:firstLine="426"/>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2.4.  Vykdant sistemos komponentų techninę priežiūrą ir remontą:</w:t>
      </w:r>
    </w:p>
    <w:p w:rsidR="00034F2D" w:rsidRPr="00034F2D" w:rsidRDefault="00034F2D" w:rsidP="00034F2D">
      <w:pPr>
        <w:numPr>
          <w:ilvl w:val="2"/>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baterijas testuoti apkrovos režimu ne rečiau kaip kas 12 mėnesių. Baterijos, kurių talpa sumažėjusi daugiau nei 20 %, turi būti keičiamos naujomis;</w:t>
      </w:r>
    </w:p>
    <w:p w:rsidR="00034F2D" w:rsidRPr="00034F2D" w:rsidRDefault="00034F2D" w:rsidP="00034F2D">
      <w:pPr>
        <w:numPr>
          <w:ilvl w:val="2"/>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maitinimo blokai turi būti testuojami apkrovos režimu ne rečiau kaip kas 12 mėnesių, o nustačius gedimą remontuojami ar keičiami naujais;</w:t>
      </w:r>
    </w:p>
    <w:p w:rsidR="00034F2D" w:rsidRPr="00034F2D" w:rsidRDefault="00034F2D" w:rsidP="00034F2D">
      <w:pPr>
        <w:numPr>
          <w:ilvl w:val="2"/>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jutiklių moduliai turi būti valomi ir atliekamas funkcionalumo patikrinimas ne rečiau kaip kas 12 mėnesių;</w:t>
      </w:r>
    </w:p>
    <w:p w:rsidR="00034F2D" w:rsidRPr="00034F2D" w:rsidRDefault="00034F2D" w:rsidP="00034F2D">
      <w:pPr>
        <w:numPr>
          <w:ilvl w:val="2"/>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naktinė ir dieninė kamera turi būti kalibruojama ir tikrinama ne rečiau kaip kas 12 mėnesių;</w:t>
      </w:r>
    </w:p>
    <w:p w:rsidR="00034F2D" w:rsidRPr="00034F2D" w:rsidRDefault="00034F2D" w:rsidP="00034F2D">
      <w:pPr>
        <w:numPr>
          <w:ilvl w:val="2"/>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antenos patikra ir kalibravimas atliekama ne rečiau kaip kas 12 mėnesių;</w:t>
      </w:r>
    </w:p>
    <w:p w:rsidR="00034F2D" w:rsidRPr="00034F2D" w:rsidRDefault="00034F2D" w:rsidP="00034F2D">
      <w:pPr>
        <w:numPr>
          <w:ilvl w:val="2"/>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mechaninės dalys (sukimosi mechanizmai, laikikliai, tvirtinimai, jungtys, kabeliai) gedimo atveju turi būti remontuojamos ar keičiamos analogiškomis.</w:t>
      </w:r>
    </w:p>
    <w:p w:rsidR="00034F2D" w:rsidRPr="00034F2D" w:rsidRDefault="00034F2D" w:rsidP="00034F2D">
      <w:pPr>
        <w:numPr>
          <w:ilvl w:val="1"/>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Bepiločių orlaivių aptikimo ir užkardymo sistemos remonto darbai vykdomi pagal poreikį įvykus gedimui. Paslaugų Teikėjas, gavęs pranešimą apie gedimą, informuoja apie atvykimą gedimo nustatymui ir lokalizavimui ne vėliau kaip per 5 darbo dienas nuo pranešimo gavimo.</w:t>
      </w:r>
    </w:p>
    <w:p w:rsidR="00034F2D" w:rsidRPr="00034F2D" w:rsidRDefault="00034F2D" w:rsidP="00034F2D">
      <w:pPr>
        <w:numPr>
          <w:ilvl w:val="1"/>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Pranešimas paslaugų Teikėjui apie sistemos gedimą gali būti pateiktas elektroniniu paštu, raštu arba telefonu.</w:t>
      </w:r>
    </w:p>
    <w:p w:rsidR="00034F2D" w:rsidRPr="00034F2D" w:rsidRDefault="00034F2D" w:rsidP="00034F2D">
      <w:pPr>
        <w:numPr>
          <w:ilvl w:val="1"/>
          <w:numId w:val="31"/>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Paslaugų Teikėjas paslaugas atlieka savo įrankiais, medžiagomis ir mechanizmais. Į objektą vyksta savo transportu.</w:t>
      </w:r>
    </w:p>
    <w:p w:rsidR="00034F2D" w:rsidRPr="00034F2D" w:rsidRDefault="00034F2D" w:rsidP="00034F2D">
      <w:pPr>
        <w:spacing w:after="2" w:line="260" w:lineRule="auto"/>
        <w:ind w:firstLine="426"/>
        <w:rPr>
          <w:rFonts w:ascii="Times New Roman" w:eastAsia="Calibri" w:hAnsi="Times New Roman" w:cs="Times New Roman"/>
          <w:sz w:val="24"/>
          <w:szCs w:val="24"/>
          <w:lang w:val="lt-LT"/>
        </w:rPr>
      </w:pPr>
    </w:p>
    <w:p w:rsidR="00034F2D" w:rsidRPr="00034F2D" w:rsidRDefault="00034F2D" w:rsidP="00034F2D">
      <w:pPr>
        <w:numPr>
          <w:ilvl w:val="0"/>
          <w:numId w:val="31"/>
        </w:numPr>
        <w:spacing w:after="2" w:line="260" w:lineRule="auto"/>
        <w:rPr>
          <w:rFonts w:ascii="Times New Roman" w:eastAsia="Calibri" w:hAnsi="Times New Roman" w:cs="Times New Roman"/>
          <w:b/>
          <w:sz w:val="24"/>
          <w:szCs w:val="24"/>
          <w:lang w:val="lt-LT"/>
        </w:rPr>
      </w:pPr>
      <w:r w:rsidRPr="00034F2D">
        <w:rPr>
          <w:rFonts w:ascii="Times New Roman" w:eastAsia="Calibri" w:hAnsi="Times New Roman" w:cs="Times New Roman"/>
          <w:b/>
          <w:sz w:val="24"/>
          <w:szCs w:val="24"/>
          <w:lang w:val="lt-LT"/>
        </w:rPr>
        <w:t>Specialieji reikalavimai</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Paslaugos Teikėjas visus išvardintus darbus turi atlikti laikantis galiojančių saugos, kokybės ir gamintojo nustatytų reikalavimų.</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Paslaugos Teikėjas turi užtikrinti nuolatinį techninės įrangos veikimo patikimumą ir atsiradus gedimams juos pašalinti, nesiunčiant įrangos gamintojui. Jei yra žinoma, kad gedimas nebus greitai pašalintas, paslaugos Teikėjas turi pakeisti sugedusią įrangą į alternatyvią, gedimo šalinimo laikotarpiu.</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Paslaugos Teikėjas turi užtikrinti gedimų identifikavimą jų šalinimą ir defektavimo akto sudarymą.</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Bepiločių orlaivių aptikimo ir užkardymo sistemų dislokacijos vietos:</w:t>
      </w:r>
    </w:p>
    <w:p w:rsidR="00034F2D" w:rsidRPr="00034F2D" w:rsidRDefault="00034F2D" w:rsidP="00034F2D">
      <w:pPr>
        <w:numPr>
          <w:ilvl w:val="2"/>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Kampiškių g. 19, LT 45312, Kaunas;</w:t>
      </w:r>
    </w:p>
    <w:p w:rsidR="00034F2D" w:rsidRPr="00034F2D" w:rsidRDefault="00034F2D" w:rsidP="00034F2D">
      <w:pPr>
        <w:numPr>
          <w:ilvl w:val="2"/>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Dariaus ir Girėno g. 144, LT 82141, Radviliškis;</w:t>
      </w:r>
    </w:p>
    <w:p w:rsidR="00034F2D" w:rsidRPr="00034F2D" w:rsidRDefault="00034F2D" w:rsidP="00034F2D">
      <w:pPr>
        <w:numPr>
          <w:ilvl w:val="2"/>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Lakūnų g. 3, LT 77103, Šiauliai.</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Visi atlikti remonto, techninės priežiūros ir atnaujinimų darbai turi būti dokumentuojami ir  pateikiami užsakovui.</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Paslaugos Teikėjas atsakingas už įrangos veikimo testavimą po kiekvieno aptarnavimo.</w:t>
      </w:r>
    </w:p>
    <w:p w:rsidR="00034F2D" w:rsidRPr="00034F2D" w:rsidRDefault="00034F2D" w:rsidP="00034F2D">
      <w:pPr>
        <w:numPr>
          <w:ilvl w:val="1"/>
          <w:numId w:val="32"/>
        </w:numPr>
        <w:spacing w:after="2" w:line="260" w:lineRule="auto"/>
        <w:rPr>
          <w:rFonts w:ascii="Times New Roman" w:eastAsia="Calibri" w:hAnsi="Times New Roman" w:cs="Times New Roman"/>
          <w:sz w:val="24"/>
          <w:szCs w:val="24"/>
          <w:lang w:val="lt-LT"/>
        </w:rPr>
      </w:pPr>
      <w:r w:rsidRPr="00034F2D">
        <w:rPr>
          <w:rFonts w:ascii="Times New Roman" w:eastAsia="Calibri" w:hAnsi="Times New Roman" w:cs="Times New Roman"/>
          <w:sz w:val="24"/>
          <w:szCs w:val="24"/>
          <w:lang w:val="lt-LT"/>
        </w:rPr>
        <w:t xml:space="preserve">Paslaugos Teikėjas turi turėti gamintojo patvirtinimą teikti tokias paslaugas ir gamintojo apmokytą personalą. </w:t>
      </w:r>
      <w:bookmarkStart w:id="0" w:name="_GoBack"/>
      <w:bookmarkEnd w:id="0"/>
    </w:p>
    <w:p w:rsidR="00E24A4B" w:rsidRDefault="00E24A4B" w:rsidP="0093228E">
      <w:pPr>
        <w:spacing w:after="2" w:line="2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______________________________________________________</w:t>
      </w:r>
    </w:p>
    <w:sectPr w:rsidR="00E24A4B" w:rsidSect="005E2C7A">
      <w:pgSz w:w="12240" w:h="15840"/>
      <w:pgMar w:top="1135" w:right="616"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4E" w:rsidRDefault="005C174E" w:rsidP="00DF74B5">
      <w:pPr>
        <w:spacing w:after="0" w:line="240" w:lineRule="auto"/>
      </w:pPr>
      <w:r>
        <w:separator/>
      </w:r>
    </w:p>
  </w:endnote>
  <w:endnote w:type="continuationSeparator" w:id="0">
    <w:p w:rsidR="005C174E" w:rsidRDefault="005C174E" w:rsidP="00DF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2A87" w:usb1="80000000" w:usb2="00000008" w:usb3="00000000" w:csb0="000001FF" w:csb1="00000000"/>
  </w:font>
  <w:font w:name="Helvetica Neue Light">
    <w:altName w:val="Times New Roman"/>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4E" w:rsidRDefault="005C174E" w:rsidP="00DF74B5">
      <w:pPr>
        <w:spacing w:after="0" w:line="240" w:lineRule="auto"/>
      </w:pPr>
      <w:r>
        <w:separator/>
      </w:r>
    </w:p>
  </w:footnote>
  <w:footnote w:type="continuationSeparator" w:id="0">
    <w:p w:rsidR="005C174E" w:rsidRDefault="005C174E" w:rsidP="00DF7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D973663"/>
    <w:multiLevelType w:val="multilevel"/>
    <w:tmpl w:val="583C72AE"/>
    <w:lvl w:ilvl="0">
      <w:start w:val="2"/>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F72366B"/>
    <w:multiLevelType w:val="multilevel"/>
    <w:tmpl w:val="171E5908"/>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A8B573A"/>
    <w:multiLevelType w:val="multilevel"/>
    <w:tmpl w:val="159A35B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68C4610"/>
    <w:multiLevelType w:val="multilevel"/>
    <w:tmpl w:val="3006B35C"/>
    <w:lvl w:ilvl="0">
      <w:start w:val="2"/>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30"/>
  </w:num>
  <w:num w:numId="3">
    <w:abstractNumId w:val="30"/>
    <w:lvlOverride w:ilvl="0">
      <w:startOverride w:val="7"/>
    </w:lvlOverride>
    <w:lvlOverride w:ilvl="1">
      <w:startOverride w:val="2"/>
    </w:lvlOverride>
  </w:num>
  <w:num w:numId="4">
    <w:abstractNumId w:val="28"/>
  </w:num>
  <w:num w:numId="5">
    <w:abstractNumId w:val="6"/>
  </w:num>
  <w:num w:numId="6">
    <w:abstractNumId w:val="10"/>
  </w:num>
  <w:num w:numId="7">
    <w:abstractNumId w:val="24"/>
  </w:num>
  <w:num w:numId="8">
    <w:abstractNumId w:val="22"/>
  </w:num>
  <w:num w:numId="9">
    <w:abstractNumId w:val="26"/>
  </w:num>
  <w:num w:numId="10">
    <w:abstractNumId w:val="9"/>
  </w:num>
  <w:num w:numId="11">
    <w:abstractNumId w:val="23"/>
  </w:num>
  <w:num w:numId="12">
    <w:abstractNumId w:val="19"/>
  </w:num>
  <w:num w:numId="13">
    <w:abstractNumId w:val="17"/>
  </w:num>
  <w:num w:numId="14">
    <w:abstractNumId w:val="13"/>
  </w:num>
  <w:num w:numId="15">
    <w:abstractNumId w:val="7"/>
  </w:num>
  <w:num w:numId="16">
    <w:abstractNumId w:val="15"/>
  </w:num>
  <w:num w:numId="17">
    <w:abstractNumId w:val="2"/>
  </w:num>
  <w:num w:numId="18">
    <w:abstractNumId w:val="27"/>
  </w:num>
  <w:num w:numId="19">
    <w:abstractNumId w:val="11"/>
  </w:num>
  <w:num w:numId="20">
    <w:abstractNumId w:val="20"/>
  </w:num>
  <w:num w:numId="21">
    <w:abstractNumId w:val="1"/>
  </w:num>
  <w:num w:numId="22">
    <w:abstractNumId w:val="3"/>
  </w:num>
  <w:num w:numId="23">
    <w:abstractNumId w:val="29"/>
  </w:num>
  <w:num w:numId="24">
    <w:abstractNumId w:val="16"/>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5"/>
  </w:num>
  <w:num w:numId="29">
    <w:abstractNumId w:val="14"/>
  </w:num>
  <w:num w:numId="30">
    <w:abstractNumId w:val="8"/>
  </w:num>
  <w:num w:numId="31">
    <w:abstractNumId w:val="2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318F3"/>
    <w:rsid w:val="00034F2D"/>
    <w:rsid w:val="00054B65"/>
    <w:rsid w:val="00056CB6"/>
    <w:rsid w:val="0005797D"/>
    <w:rsid w:val="00096E91"/>
    <w:rsid w:val="000A0E32"/>
    <w:rsid w:val="000B58E8"/>
    <w:rsid w:val="000C2BB1"/>
    <w:rsid w:val="000C3422"/>
    <w:rsid w:val="000D48A5"/>
    <w:rsid w:val="000E1DE2"/>
    <w:rsid w:val="000E716F"/>
    <w:rsid w:val="00116754"/>
    <w:rsid w:val="00127515"/>
    <w:rsid w:val="00153E9C"/>
    <w:rsid w:val="00155459"/>
    <w:rsid w:val="00160C05"/>
    <w:rsid w:val="001710FA"/>
    <w:rsid w:val="00184B97"/>
    <w:rsid w:val="00190D4D"/>
    <w:rsid w:val="001931B5"/>
    <w:rsid w:val="00196298"/>
    <w:rsid w:val="001A02E3"/>
    <w:rsid w:val="001A41F9"/>
    <w:rsid w:val="001B163A"/>
    <w:rsid w:val="001B3399"/>
    <w:rsid w:val="001B6872"/>
    <w:rsid w:val="001C778A"/>
    <w:rsid w:val="001E0CF1"/>
    <w:rsid w:val="001F424C"/>
    <w:rsid w:val="002060F8"/>
    <w:rsid w:val="002277CF"/>
    <w:rsid w:val="00231020"/>
    <w:rsid w:val="00236DFD"/>
    <w:rsid w:val="00255C06"/>
    <w:rsid w:val="00261A26"/>
    <w:rsid w:val="002728E0"/>
    <w:rsid w:val="00282569"/>
    <w:rsid w:val="002B469B"/>
    <w:rsid w:val="002C315B"/>
    <w:rsid w:val="002F3A91"/>
    <w:rsid w:val="002F5F28"/>
    <w:rsid w:val="0032095E"/>
    <w:rsid w:val="00323864"/>
    <w:rsid w:val="00333C64"/>
    <w:rsid w:val="00337553"/>
    <w:rsid w:val="00352C25"/>
    <w:rsid w:val="0036210C"/>
    <w:rsid w:val="003622C8"/>
    <w:rsid w:val="00375643"/>
    <w:rsid w:val="003778EE"/>
    <w:rsid w:val="00396D82"/>
    <w:rsid w:val="003B3006"/>
    <w:rsid w:val="003B7A24"/>
    <w:rsid w:val="003C3C73"/>
    <w:rsid w:val="003C603A"/>
    <w:rsid w:val="003D4B93"/>
    <w:rsid w:val="003D6E97"/>
    <w:rsid w:val="003E69B9"/>
    <w:rsid w:val="003F2BD6"/>
    <w:rsid w:val="003F717E"/>
    <w:rsid w:val="00406852"/>
    <w:rsid w:val="004136D6"/>
    <w:rsid w:val="00430395"/>
    <w:rsid w:val="00434DE3"/>
    <w:rsid w:val="00440388"/>
    <w:rsid w:val="00454D1A"/>
    <w:rsid w:val="00455C1B"/>
    <w:rsid w:val="004654CC"/>
    <w:rsid w:val="00472EBB"/>
    <w:rsid w:val="00483852"/>
    <w:rsid w:val="00490A68"/>
    <w:rsid w:val="00494A10"/>
    <w:rsid w:val="004C78F1"/>
    <w:rsid w:val="004D1E3F"/>
    <w:rsid w:val="004E7B86"/>
    <w:rsid w:val="004F4B23"/>
    <w:rsid w:val="005142C4"/>
    <w:rsid w:val="0054076E"/>
    <w:rsid w:val="005412E4"/>
    <w:rsid w:val="005507E8"/>
    <w:rsid w:val="00552AAD"/>
    <w:rsid w:val="005657B8"/>
    <w:rsid w:val="005C174E"/>
    <w:rsid w:val="005C245D"/>
    <w:rsid w:val="005C77AE"/>
    <w:rsid w:val="005D65C3"/>
    <w:rsid w:val="005E2C7A"/>
    <w:rsid w:val="00600464"/>
    <w:rsid w:val="00660792"/>
    <w:rsid w:val="00667E60"/>
    <w:rsid w:val="006734DB"/>
    <w:rsid w:val="00675780"/>
    <w:rsid w:val="00686BD9"/>
    <w:rsid w:val="00692531"/>
    <w:rsid w:val="006927F0"/>
    <w:rsid w:val="00695123"/>
    <w:rsid w:val="006B79E0"/>
    <w:rsid w:val="006C65AF"/>
    <w:rsid w:val="006F71AC"/>
    <w:rsid w:val="00711A82"/>
    <w:rsid w:val="00720F3F"/>
    <w:rsid w:val="007535E1"/>
    <w:rsid w:val="007801F7"/>
    <w:rsid w:val="007837DA"/>
    <w:rsid w:val="00785E4E"/>
    <w:rsid w:val="00792C7D"/>
    <w:rsid w:val="007961FD"/>
    <w:rsid w:val="007B39FA"/>
    <w:rsid w:val="007E629F"/>
    <w:rsid w:val="007F6345"/>
    <w:rsid w:val="00804588"/>
    <w:rsid w:val="00820D53"/>
    <w:rsid w:val="008461D7"/>
    <w:rsid w:val="00864C69"/>
    <w:rsid w:val="00871BF3"/>
    <w:rsid w:val="00875371"/>
    <w:rsid w:val="00892F82"/>
    <w:rsid w:val="008B0CAC"/>
    <w:rsid w:val="008B327A"/>
    <w:rsid w:val="008B3782"/>
    <w:rsid w:val="008B4801"/>
    <w:rsid w:val="008D5CA0"/>
    <w:rsid w:val="008D69AC"/>
    <w:rsid w:val="0090252A"/>
    <w:rsid w:val="00923572"/>
    <w:rsid w:val="0093228E"/>
    <w:rsid w:val="00935371"/>
    <w:rsid w:val="00947711"/>
    <w:rsid w:val="00967AB5"/>
    <w:rsid w:val="009943E3"/>
    <w:rsid w:val="009963B6"/>
    <w:rsid w:val="009A30CB"/>
    <w:rsid w:val="009C0FFD"/>
    <w:rsid w:val="009E101B"/>
    <w:rsid w:val="009E25CB"/>
    <w:rsid w:val="009F544B"/>
    <w:rsid w:val="00A17B03"/>
    <w:rsid w:val="00A231D2"/>
    <w:rsid w:val="00A23873"/>
    <w:rsid w:val="00A51B1D"/>
    <w:rsid w:val="00A54E5D"/>
    <w:rsid w:val="00A56680"/>
    <w:rsid w:val="00A76B02"/>
    <w:rsid w:val="00A81915"/>
    <w:rsid w:val="00A84F1E"/>
    <w:rsid w:val="00A86889"/>
    <w:rsid w:val="00A94B66"/>
    <w:rsid w:val="00B007A1"/>
    <w:rsid w:val="00B06AD7"/>
    <w:rsid w:val="00B1621E"/>
    <w:rsid w:val="00B1738F"/>
    <w:rsid w:val="00B51440"/>
    <w:rsid w:val="00B94462"/>
    <w:rsid w:val="00BB79AB"/>
    <w:rsid w:val="00BD4230"/>
    <w:rsid w:val="00BE46BA"/>
    <w:rsid w:val="00BF7361"/>
    <w:rsid w:val="00C307D2"/>
    <w:rsid w:val="00C40989"/>
    <w:rsid w:val="00C51A5D"/>
    <w:rsid w:val="00C66E77"/>
    <w:rsid w:val="00C73E40"/>
    <w:rsid w:val="00CB712D"/>
    <w:rsid w:val="00CC7D3B"/>
    <w:rsid w:val="00CF34FD"/>
    <w:rsid w:val="00CF79AF"/>
    <w:rsid w:val="00D8212F"/>
    <w:rsid w:val="00DA0515"/>
    <w:rsid w:val="00DB7DFD"/>
    <w:rsid w:val="00DD3A98"/>
    <w:rsid w:val="00DE076F"/>
    <w:rsid w:val="00DE07A5"/>
    <w:rsid w:val="00DE488C"/>
    <w:rsid w:val="00DE65D3"/>
    <w:rsid w:val="00DF74B5"/>
    <w:rsid w:val="00E07760"/>
    <w:rsid w:val="00E12556"/>
    <w:rsid w:val="00E20F2C"/>
    <w:rsid w:val="00E24A4B"/>
    <w:rsid w:val="00E624C5"/>
    <w:rsid w:val="00E90ACA"/>
    <w:rsid w:val="00E97095"/>
    <w:rsid w:val="00EA04CB"/>
    <w:rsid w:val="00EA258D"/>
    <w:rsid w:val="00EC3E00"/>
    <w:rsid w:val="00EE436D"/>
    <w:rsid w:val="00EE7EF8"/>
    <w:rsid w:val="00EF60B2"/>
    <w:rsid w:val="00F01047"/>
    <w:rsid w:val="00F10E15"/>
    <w:rsid w:val="00F17D0A"/>
    <w:rsid w:val="00F965DB"/>
    <w:rsid w:val="00FA2178"/>
    <w:rsid w:val="00FB06AF"/>
    <w:rsid w:val="00FC4A7F"/>
    <w:rsid w:val="00FC7CF3"/>
    <w:rsid w:val="00FD145E"/>
    <w:rsid w:val="00FD62B8"/>
    <w:rsid w:val="00FD7F21"/>
    <w:rsid w:val="00FE7426"/>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D3F8"/>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D6"/>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5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paragraph" w:customStyle="1" w:styleId="tekstas">
    <w:name w:val="tekstas"/>
    <w:link w:val="tekstasDiagrama"/>
    <w:qFormat/>
    <w:rsid w:val="00C40989"/>
    <w:pPr>
      <w:tabs>
        <w:tab w:val="left" w:pos="1134"/>
      </w:tabs>
      <w:autoSpaceDN w:val="0"/>
      <w:spacing w:after="0"/>
      <w:ind w:firstLine="709"/>
      <w:jc w:val="both"/>
      <w:textAlignment w:val="baseline"/>
    </w:pPr>
    <w:rPr>
      <w:rFonts w:ascii="Times New Roman" w:eastAsia="Times New Roman" w:hAnsi="Times New Roman" w:cs="Times New Roman"/>
      <w:sz w:val="24"/>
      <w:szCs w:val="24"/>
      <w:lang w:val="lt-LT"/>
    </w:rPr>
  </w:style>
  <w:style w:type="character" w:customStyle="1" w:styleId="tekstasDiagrama">
    <w:name w:val="tekstas Diagrama"/>
    <w:basedOn w:val="DefaultParagraphFont"/>
    <w:link w:val="tekstas"/>
    <w:rsid w:val="00C40989"/>
    <w:rPr>
      <w:rFonts w:ascii="Times New Roman" w:eastAsia="Times New Roman" w:hAnsi="Times New Roman" w:cs="Times New Roman"/>
      <w:sz w:val="24"/>
      <w:szCs w:val="24"/>
      <w:lang w:val="lt-LT"/>
    </w:rPr>
  </w:style>
  <w:style w:type="paragraph" w:customStyle="1" w:styleId="BodyA">
    <w:name w:val="Body A"/>
    <w:rsid w:val="007B39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customStyle="1" w:styleId="Body2">
    <w:name w:val="Body 2"/>
    <w:rsid w:val="003F2BD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Skyripavadinimai">
    <w:name w:val="Skyrių pavadinimai"/>
    <w:basedOn w:val="Normal"/>
    <w:link w:val="SkyripavadinimaiDiagrama"/>
    <w:autoRedefine/>
    <w:qFormat/>
    <w:rsid w:val="008B3782"/>
    <w:pPr>
      <w:pBdr>
        <w:top w:val="nil"/>
        <w:left w:val="nil"/>
        <w:bottom w:val="nil"/>
        <w:right w:val="nil"/>
        <w:between w:val="nil"/>
        <w:bar w:val="nil"/>
      </w:pBdr>
      <w:spacing w:after="0" w:line="240" w:lineRule="auto"/>
    </w:pPr>
    <w:rPr>
      <w:rFonts w:ascii="Times New Roman" w:eastAsia="Times New Roman" w:hAnsi="Times New Roman" w:cs="Times New Roman"/>
      <w:b/>
      <w:bCs/>
      <w:sz w:val="24"/>
      <w:szCs w:val="20"/>
      <w:lang w:val="lt-LT"/>
    </w:rPr>
  </w:style>
  <w:style w:type="character" w:customStyle="1" w:styleId="SkyripavadinimaiDiagrama">
    <w:name w:val="Skyrių pavadinimai Diagrama"/>
    <w:basedOn w:val="DefaultParagraphFont"/>
    <w:link w:val="Skyripavadinimai"/>
    <w:rsid w:val="008B3782"/>
    <w:rPr>
      <w:rFonts w:ascii="Times New Roman" w:eastAsia="Times New Roman" w:hAnsi="Times New Roman" w:cs="Times New Roman"/>
      <w:b/>
      <w:bCs/>
      <w:sz w:val="24"/>
      <w:szCs w:val="20"/>
      <w:lang w:val="lt-LT"/>
    </w:rPr>
  </w:style>
  <w:style w:type="table" w:customStyle="1" w:styleId="TableGrid2">
    <w:name w:val="Table Grid2"/>
    <w:basedOn w:val="TableNormal"/>
    <w:next w:val="TableGrid"/>
    <w:uiPriority w:val="59"/>
    <w:rsid w:val="00DF74B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F74B5"/>
    <w:rPr>
      <w:vertAlign w:val="superscript"/>
    </w:rPr>
  </w:style>
  <w:style w:type="character" w:customStyle="1" w:styleId="FontStyle12">
    <w:name w:val="Font Style12"/>
    <w:uiPriority w:val="99"/>
    <w:rsid w:val="00B1738F"/>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F76A6-233D-4479-8867-A74820FB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Loreta Gaigalienė</cp:lastModifiedBy>
  <cp:revision>6</cp:revision>
  <dcterms:created xsi:type="dcterms:W3CDTF">2026-03-23T07:58:00Z</dcterms:created>
  <dcterms:modified xsi:type="dcterms:W3CDTF">2026-03-23T09:18:00Z</dcterms:modified>
</cp:coreProperties>
</file>