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CC09027" w:rsidR="00E7057E" w:rsidRPr="001D436A" w:rsidRDefault="0087181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7181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LABORATORINIAI REAGENTAI - MONOKLONAI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7181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7181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7181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7181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87181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7181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7181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7181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7181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718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7181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718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7181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718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7181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7181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7181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7181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87181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87181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7181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7181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7181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7181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7181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E64D89E" w:rsidR="00557AC3" w:rsidRPr="0087181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71818"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7</w:t>
            </w:r>
            <w:r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7181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87181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718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8718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87181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71818"/>
    <w:rsid w:val="0088251F"/>
    <w:rsid w:val="00914419"/>
    <w:rsid w:val="009A16A8"/>
    <w:rsid w:val="009A1C21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2026-03-27T11:20:00Z</dcterms:modified>
</cp:coreProperties>
</file>