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6A2ED9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6A2ED9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 w:rsidRPr="006A2ED9">
        <w:rPr>
          <w:rFonts w:ascii="Montserrat" w:hAnsi="Montserrat"/>
          <w:b/>
          <w:bCs/>
          <w:sz w:val="20"/>
          <w:szCs w:val="20"/>
        </w:rPr>
        <w:t>KONSULTACIJA</w:t>
      </w:r>
    </w:p>
    <w:p w14:paraId="4BE93311" w14:textId="77777777" w:rsidR="00AB3EE6" w:rsidRPr="006A2ED9" w:rsidRDefault="00AB3EE6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6E2C77F1" w14:textId="088C652F" w:rsidR="005F6B97" w:rsidRPr="00860915" w:rsidRDefault="006A2ED9" w:rsidP="005F6B97">
      <w:pPr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</w:pPr>
      <w:r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Dėl</w:t>
      </w:r>
      <w:r w:rsidR="0025337F"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 xml:space="preserve"> </w:t>
      </w:r>
      <w:r w:rsidR="00757D8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el</w:t>
      </w:r>
      <w:r w:rsidR="00757D85" w:rsidRPr="00757D8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ektroninio rašalo (angl. E-ink) technologinės sistemos keleivių informavimo švieslenčių su saulės moduliais diegimas Vilniaus miesto viešojo transporto stotelėse</w:t>
      </w:r>
      <w:r w:rsidR="00757D8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 xml:space="preserve">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>pirkimo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5CE95DE6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446880">
        <w:rPr>
          <w:rFonts w:ascii="Montserrat" w:hAnsi="Montserrat"/>
          <w:sz w:val="20"/>
          <w:szCs w:val="20"/>
        </w:rPr>
        <w:t>ir</w:t>
      </w:r>
      <w:r w:rsidR="00A97F5B" w:rsidRPr="00AF0523">
        <w:rPr>
          <w:rFonts w:ascii="Montserrat" w:hAnsi="Montserrat"/>
          <w:sz w:val="20"/>
          <w:szCs w:val="20"/>
        </w:rPr>
        <w:t xml:space="preserve">engti numatomam </w:t>
      </w:r>
      <w:r w:rsidR="00757D85" w:rsidRPr="00757D85">
        <w:rPr>
          <w:rFonts w:ascii="Montserrat" w:eastAsia="Montserrat" w:hAnsi="Montserrat" w:cs="Montserrat"/>
          <w:sz w:val="20"/>
          <w:szCs w:val="20"/>
        </w:rPr>
        <w:br/>
      </w:r>
      <w:r w:rsidR="00757D85">
        <w:rPr>
          <w:rFonts w:ascii="Montserrat" w:eastAsia="Montserrat" w:hAnsi="Montserrat" w:cs="Montserrat"/>
          <w:sz w:val="20"/>
          <w:szCs w:val="20"/>
        </w:rPr>
        <w:t>e</w:t>
      </w:r>
      <w:r w:rsidR="00757D85" w:rsidRPr="00757D85">
        <w:rPr>
          <w:rFonts w:ascii="Montserrat" w:eastAsia="Montserrat" w:hAnsi="Montserrat" w:cs="Montserrat"/>
          <w:sz w:val="20"/>
          <w:szCs w:val="20"/>
        </w:rPr>
        <w:t>Elektroninio rašalo (angl. E-ink) technologinės sistemos keleivių informavimo švieslenčių su saulės moduliais diegimas Vilniaus miesto viešojo transporto stotelėse</w:t>
      </w:r>
      <w:r w:rsidR="00757D8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>pirkim</w:t>
      </w:r>
      <w:r w:rsidR="00963864">
        <w:rPr>
          <w:rFonts w:ascii="Montserrat" w:eastAsia="Montserrat" w:hAnsi="Montserrat" w:cs="Montserrat"/>
          <w:sz w:val="20"/>
          <w:szCs w:val="20"/>
        </w:rPr>
        <w:t>ui</w:t>
      </w:r>
      <w:r w:rsidR="00860915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5118707F" w:rsidR="00F84335" w:rsidRPr="00D00D7F" w:rsidRDefault="00757D85" w:rsidP="00D00D7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757D85">
              <w:rPr>
                <w:rFonts w:ascii="Montserrat" w:hAnsi="Montserrat" w:cs="Times New Roman"/>
                <w:sz w:val="20"/>
                <w:szCs w:val="20"/>
              </w:rPr>
              <w:t>Elektroninio rašalo (angl. E-ink) technologinės sistemos keleivių informavimo švieslenčių su saulės moduliais diegimas Vilniaus miesto viešojo transporto stotelėse</w:t>
            </w:r>
            <w:r w:rsidR="00897F43">
              <w:rPr>
                <w:rFonts w:ascii="Montserrat" w:hAnsi="Montserrat" w:cs="Times New Roman"/>
                <w:sz w:val="20"/>
                <w:szCs w:val="20"/>
              </w:rPr>
              <w:t xml:space="preserve"> pirkimas</w:t>
            </w:r>
            <w:r w:rsidR="00D00D7F" w:rsidRPr="00D00D7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A239D6F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345A" w14:textId="048361AF" w:rsidR="004B2A54" w:rsidRDefault="00F84335" w:rsidP="00DD756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A231A84" w14:textId="047BF4AE" w:rsidR="004B2A54" w:rsidRPr="00AF0523" w:rsidRDefault="004B2A54" w:rsidP="00DD756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>
              <w:rPr>
                <w:rFonts w:ascii="Montserrat" w:hAnsi="Montserrat"/>
                <w:sz w:val="20"/>
                <w:szCs w:val="20"/>
              </w:rPr>
              <w:t xml:space="preserve">esant poreikiui gali </w:t>
            </w:r>
            <w:r w:rsidRPr="00AF0523">
              <w:rPr>
                <w:rFonts w:ascii="Montserrat" w:hAnsi="Montserrat"/>
                <w:sz w:val="20"/>
                <w:szCs w:val="20"/>
              </w:rPr>
              <w:t>organizuo</w:t>
            </w:r>
            <w:r>
              <w:rPr>
                <w:rFonts w:ascii="Montserrat" w:hAnsi="Montserrat"/>
                <w:sz w:val="20"/>
                <w:szCs w:val="20"/>
              </w:rPr>
              <w:t>ti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susitikim</w:t>
            </w:r>
            <w:r>
              <w:rPr>
                <w:rFonts w:ascii="Montserrat" w:hAnsi="Montserrat"/>
                <w:sz w:val="20"/>
                <w:szCs w:val="20"/>
              </w:rPr>
              <w:t>us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su rinkos dalyviais. </w:t>
            </w: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6C0B825E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76082F">
              <w:rPr>
                <w:rFonts w:ascii="Montserrat" w:hAnsi="Montserrat"/>
                <w:sz w:val="20"/>
                <w:szCs w:val="20"/>
              </w:rPr>
              <w:t xml:space="preserve">klausimyne </w:t>
            </w:r>
            <w:r w:rsidR="0076082F" w:rsidRPr="0076082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84335" w:rsidRPr="0076082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priede.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7FE8B" w14:textId="57A05BF4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</w:t>
            </w:r>
            <w:r w:rsidR="006A5A19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8F4C5A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DD756E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DD756E">
              <w:rPr>
                <w:rFonts w:ascii="Montserrat" w:hAnsi="Montserrat"/>
                <w:b/>
                <w:bCs/>
                <w:sz w:val="20"/>
                <w:szCs w:val="20"/>
              </w:rPr>
              <w:t>09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DD756E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</w:tc>
      </w:tr>
      <w:tr w:rsidR="00BE0D47" w:rsidRPr="00AF0523" w14:paraId="596A016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6D29" w14:textId="0E61EEE9" w:rsidR="00BE0D47" w:rsidRPr="00F21ABF" w:rsidRDefault="003022C0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Konsultacijos su rinka tvarka: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505D" w14:textId="77777777" w:rsidR="00273F20" w:rsidRPr="00F21ABF" w:rsidRDefault="00273F20" w:rsidP="00273F20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Jei konsultacija vykdoma CVP IS priemonėmis: 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  <w:p w14:paraId="02D3CB2B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1. Konsultacija vykdoma Centrinės viešųjų pirkimų informacinės sistemos (toliau – CVP IS) priemonėmis prašant pateikti įžvalgas, siūlymus ir rekomendacijas. </w:t>
            </w:r>
          </w:p>
          <w:p w14:paraId="1225D9C3" w14:textId="3C551711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lastRenderedPageBreak/>
              <w:t>2.  Įvertinus tiekėjų siūlymus </w:t>
            </w:r>
            <w:r w:rsidR="003022C0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gali rengti susitikimą gyvai / telekonferenciją su rinkos dalyviais (toliau – Susitikimas). </w:t>
            </w:r>
          </w:p>
          <w:p w14:paraId="511FB69A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Esant poreikiui, apie Susitikimo organizavimą ir su juo susijusias aplinkybes informuosime atskiru pranešimu.   </w:t>
            </w:r>
          </w:p>
          <w:p w14:paraId="48AD1B98" w14:textId="77777777" w:rsidR="00273F20" w:rsidRPr="00F21ABF" w:rsidRDefault="00273F20" w:rsidP="00273F20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F21ABF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Jei konsultacija vykdoma gyvai: 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  <w:p w14:paraId="34087468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>1. Konsultacija vykdoma Centrinės viešųjų pirkimų informacinės sistemos (toliau – CVP IS) priemonėmis prašant pateikti įžvalgas, siūlymus ir rekomendacijas. </w:t>
            </w: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/jei prašoma pateikti klausimus CVP IS/</w:t>
            </w:r>
            <w:r w:rsidRPr="00F21ABF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4366799F" w14:textId="39C9B88F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2. Įvertinus tiekėjų siūlymus bus vykdoma telekonferencija su rinkos dalyviais (toliau – Susitikimas), kurio metu </w:t>
            </w:r>
            <w:r w:rsidR="00D44616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atsakys į CVP IS pateiktus klausimus.  </w:t>
            </w:r>
          </w:p>
          <w:p w14:paraId="4D54994F" w14:textId="77777777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i/>
                <w:iCs/>
                <w:sz w:val="20"/>
                <w:szCs w:val="20"/>
              </w:rPr>
              <w:t>arba </w:t>
            </w:r>
            <w:r w:rsidRPr="00F21ABF">
              <w:rPr>
                <w:rFonts w:ascii="Montserrat" w:hAnsi="Montserrat"/>
                <w:sz w:val="20"/>
                <w:szCs w:val="20"/>
              </w:rPr>
              <w:t> </w:t>
            </w:r>
          </w:p>
          <w:p w14:paraId="418A4FA7" w14:textId="414A053D" w:rsidR="00273F20" w:rsidRPr="00F21ABF" w:rsidRDefault="00273F20" w:rsidP="00273F2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1. Rinkos konsultacija vykdoma gyvai / telekonferencija (toliau – Susitikimas), kurios metu </w:t>
            </w:r>
            <w:r w:rsidR="00D44616" w:rsidRPr="00F21ABF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Pr="00F21ABF">
              <w:rPr>
                <w:rFonts w:ascii="Montserrat" w:hAnsi="Montserrat"/>
                <w:sz w:val="20"/>
                <w:szCs w:val="20"/>
              </w:rPr>
              <w:t xml:space="preserve"> pristatys Pirkimo objektą ir atsakys į rinkos dalyvių klausimus.  </w:t>
            </w:r>
          </w:p>
          <w:p w14:paraId="2E1792DD" w14:textId="5CD70561" w:rsidR="00BE0D47" w:rsidRPr="00F21ABF" w:rsidRDefault="00273F20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F21ABF">
              <w:rPr>
                <w:rFonts w:ascii="Montserrat" w:hAnsi="Montserrat"/>
                <w:sz w:val="20"/>
                <w:szCs w:val="20"/>
              </w:rPr>
              <w:t xml:space="preserve">2. Rinkos dalyvių prašome </w:t>
            </w:r>
            <w:r w:rsidRPr="00F21ABF">
              <w:rPr>
                <w:rFonts w:ascii="Montserrat" w:hAnsi="Montserrat"/>
                <w:b/>
                <w:bCs/>
                <w:sz w:val="20"/>
                <w:szCs w:val="20"/>
              </w:rPr>
              <w:t>iki</w:t>
            </w:r>
            <w:r w:rsidR="001363BC" w:rsidRPr="00F21AB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2026-0</w:t>
            </w:r>
            <w:r w:rsidR="00691FE2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1363BC" w:rsidRPr="00F21ABF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BA3E1A">
              <w:rPr>
                <w:rFonts w:ascii="Montserrat" w:hAnsi="Montserrat"/>
                <w:b/>
                <w:bCs/>
                <w:sz w:val="20"/>
                <w:szCs w:val="20"/>
              </w:rPr>
              <w:t>03</w:t>
            </w:r>
            <w:r w:rsidRPr="00F21ABF">
              <w:rPr>
                <w:rFonts w:ascii="Montserrat" w:hAnsi="Montserrat"/>
                <w:sz w:val="20"/>
                <w:szCs w:val="20"/>
              </w:rPr>
              <w:t> CVP IS priemonėmis arba elektroniniu paštu </w:t>
            </w:r>
            <w:hyperlink r:id="rId11" w:history="1">
              <w:r w:rsidR="00BA3E1A" w:rsidRPr="00822032">
                <w:rPr>
                  <w:rStyle w:val="Hyperlink"/>
                  <w:rFonts w:ascii="Montserrat" w:hAnsi="Montserrat"/>
                  <w:b/>
                  <w:bCs/>
                  <w:i/>
                  <w:iCs/>
                  <w:sz w:val="20"/>
                  <w:szCs w:val="20"/>
                </w:rPr>
                <w:t>saulev@judu.lt</w:t>
              </w:r>
            </w:hyperlink>
            <w:r w:rsidR="00BA3E1A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1ABF">
              <w:rPr>
                <w:rFonts w:ascii="Montserrat" w:hAnsi="Montserrat"/>
                <w:sz w:val="20"/>
                <w:szCs w:val="20"/>
              </w:rPr>
              <w:t>dalyvių, ketinančių dalyvauti Susitikime elektroninius paštus, kuriais bus išsiusti kvietimai prisijungti prie Susitikimo.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0EBD8F0A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 xml:space="preserve">viešųjų pirkimų specialistė </w:t>
            </w:r>
            <w:r w:rsidR="00EE7FB0">
              <w:rPr>
                <w:rFonts w:ascii="Montserrat" w:hAnsi="Montserrat"/>
                <w:sz w:val="20"/>
                <w:szCs w:val="20"/>
              </w:rPr>
              <w:t>Jurgita Žilko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D76AE5">
              <w:rPr>
                <w:rFonts w:ascii="Montserrat" w:hAnsi="Montserrat"/>
                <w:sz w:val="20"/>
                <w:szCs w:val="20"/>
              </w:rPr>
              <w:t>14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96152">
              <w:rPr>
                <w:rFonts w:ascii="Montserrat" w:hAnsi="Montserrat"/>
                <w:sz w:val="20"/>
                <w:szCs w:val="20"/>
              </w:rPr>
              <w:t>09674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160CE1">
              <w:rPr>
                <w:rFonts w:ascii="Montserrat" w:hAnsi="Montserrat"/>
                <w:sz w:val="20"/>
                <w:szCs w:val="20"/>
              </w:rPr>
              <w:t>J</w:t>
            </w:r>
            <w:r w:rsidR="004C056B">
              <w:rPr>
                <w:rFonts w:ascii="Montserrat" w:hAnsi="Montserrat"/>
                <w:sz w:val="20"/>
                <w:szCs w:val="20"/>
              </w:rPr>
              <w:t>urgita.</w:t>
            </w:r>
            <w:r w:rsidR="00160CE1">
              <w:rPr>
                <w:rFonts w:ascii="Montserrat" w:hAnsi="Montserrat"/>
                <w:sz w:val="20"/>
                <w:szCs w:val="20"/>
              </w:rPr>
              <w:t>Z</w:t>
            </w:r>
            <w:r w:rsidR="004C056B">
              <w:rPr>
                <w:rFonts w:ascii="Montserrat" w:hAnsi="Montserrat"/>
                <w:sz w:val="20"/>
                <w:szCs w:val="20"/>
              </w:rPr>
              <w:t>ilko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6F789E06" w14:textId="72D75897" w:rsidR="00CF3A50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1 priedas. </w:t>
      </w:r>
      <w:r w:rsidR="00D7130E" w:rsidRPr="00AF0523">
        <w:rPr>
          <w:rFonts w:ascii="Montserrat" w:hAnsi="Montserrat"/>
          <w:sz w:val="20"/>
          <w:szCs w:val="20"/>
        </w:rPr>
        <w:t>Klausimynas rinkos dalyviams.</w:t>
      </w:r>
    </w:p>
    <w:p w14:paraId="3C8BD0DC" w14:textId="63F2AA35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>.</w:t>
      </w:r>
      <w:r w:rsidR="0071126E" w:rsidRPr="00AF0523">
        <w:rPr>
          <w:rFonts w:ascii="Montserrat" w:hAnsi="Montserrat"/>
          <w:sz w:val="20"/>
          <w:szCs w:val="20"/>
        </w:rPr>
        <w:t>.</w:t>
      </w:r>
      <w:r w:rsidR="00D7130E" w:rsidRPr="00D7130E">
        <w:rPr>
          <w:rFonts w:ascii="Montserrat" w:hAnsi="Montserrat"/>
          <w:sz w:val="20"/>
          <w:szCs w:val="20"/>
        </w:rPr>
        <w:t xml:space="preserve"> </w:t>
      </w:r>
      <w:r w:rsidR="00D7130E" w:rsidRPr="00AF0523">
        <w:rPr>
          <w:rFonts w:ascii="Montserrat" w:hAnsi="Montserrat"/>
          <w:sz w:val="20"/>
          <w:szCs w:val="20"/>
        </w:rPr>
        <w:t>Techninės specifikacijos projektas.</w:t>
      </w:r>
    </w:p>
    <w:p w14:paraId="40F609C0" w14:textId="03DF2455" w:rsidR="00632736" w:rsidRPr="00AF0523" w:rsidRDefault="00632736" w:rsidP="009F48C9">
      <w:pPr>
        <w:spacing w:after="0"/>
        <w:rPr>
          <w:rFonts w:ascii="Montserrat" w:hAnsi="Montserrat"/>
          <w:sz w:val="20"/>
          <w:szCs w:val="20"/>
        </w:rPr>
      </w:pPr>
    </w:p>
    <w:p w14:paraId="4D5719BA" w14:textId="4951D8B0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56B5" w14:textId="77777777" w:rsidR="00A906E9" w:rsidRDefault="00A906E9">
      <w:pPr>
        <w:spacing w:after="0"/>
      </w:pPr>
      <w:r>
        <w:separator/>
      </w:r>
    </w:p>
  </w:endnote>
  <w:endnote w:type="continuationSeparator" w:id="0">
    <w:p w14:paraId="6519992D" w14:textId="77777777" w:rsidR="00A906E9" w:rsidRDefault="00A906E9">
      <w:pPr>
        <w:spacing w:after="0"/>
      </w:pPr>
      <w:r>
        <w:continuationSeparator/>
      </w:r>
    </w:p>
  </w:endnote>
  <w:endnote w:type="continuationNotice" w:id="1">
    <w:p w14:paraId="49124DA0" w14:textId="77777777" w:rsidR="00A906E9" w:rsidRDefault="00A906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DF75" w14:textId="77777777" w:rsidR="00A906E9" w:rsidRDefault="00A906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355B9E" w14:textId="77777777" w:rsidR="00A906E9" w:rsidRDefault="00A906E9">
      <w:pPr>
        <w:spacing w:after="0"/>
      </w:pPr>
      <w:r>
        <w:continuationSeparator/>
      </w:r>
    </w:p>
  </w:footnote>
  <w:footnote w:type="continuationNotice" w:id="1">
    <w:p w14:paraId="3874BA7D" w14:textId="77777777" w:rsidR="00A906E9" w:rsidRDefault="00A906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3749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363BC"/>
    <w:rsid w:val="001418FF"/>
    <w:rsid w:val="00142AA1"/>
    <w:rsid w:val="00143814"/>
    <w:rsid w:val="001478A1"/>
    <w:rsid w:val="00160CE1"/>
    <w:rsid w:val="0017068A"/>
    <w:rsid w:val="001746B0"/>
    <w:rsid w:val="00186FA9"/>
    <w:rsid w:val="00195B65"/>
    <w:rsid w:val="001A216A"/>
    <w:rsid w:val="001B77D7"/>
    <w:rsid w:val="001F3033"/>
    <w:rsid w:val="001F66AA"/>
    <w:rsid w:val="002050DC"/>
    <w:rsid w:val="00213868"/>
    <w:rsid w:val="00220CE8"/>
    <w:rsid w:val="00230CD0"/>
    <w:rsid w:val="0025329E"/>
    <w:rsid w:val="0025337F"/>
    <w:rsid w:val="002555F4"/>
    <w:rsid w:val="002556D0"/>
    <w:rsid w:val="00273F20"/>
    <w:rsid w:val="00290444"/>
    <w:rsid w:val="00291636"/>
    <w:rsid w:val="00294DFE"/>
    <w:rsid w:val="00295678"/>
    <w:rsid w:val="002A5D68"/>
    <w:rsid w:val="002B42C1"/>
    <w:rsid w:val="002C32C2"/>
    <w:rsid w:val="002C4EE0"/>
    <w:rsid w:val="002D2966"/>
    <w:rsid w:val="002D5CBB"/>
    <w:rsid w:val="002F18CA"/>
    <w:rsid w:val="002F65E9"/>
    <w:rsid w:val="002F65FB"/>
    <w:rsid w:val="003022C0"/>
    <w:rsid w:val="00311260"/>
    <w:rsid w:val="003157C5"/>
    <w:rsid w:val="003177C9"/>
    <w:rsid w:val="00322940"/>
    <w:rsid w:val="003818AE"/>
    <w:rsid w:val="003B1763"/>
    <w:rsid w:val="00421623"/>
    <w:rsid w:val="004333DD"/>
    <w:rsid w:val="004359AB"/>
    <w:rsid w:val="00446880"/>
    <w:rsid w:val="00454D68"/>
    <w:rsid w:val="0046225C"/>
    <w:rsid w:val="00462E0E"/>
    <w:rsid w:val="00480FF6"/>
    <w:rsid w:val="00495657"/>
    <w:rsid w:val="004B2A54"/>
    <w:rsid w:val="004B43E5"/>
    <w:rsid w:val="004C056B"/>
    <w:rsid w:val="004D2652"/>
    <w:rsid w:val="004D267C"/>
    <w:rsid w:val="004D4C2B"/>
    <w:rsid w:val="00504438"/>
    <w:rsid w:val="005168AF"/>
    <w:rsid w:val="005746B6"/>
    <w:rsid w:val="00592F66"/>
    <w:rsid w:val="0059668E"/>
    <w:rsid w:val="005A393D"/>
    <w:rsid w:val="005F6B97"/>
    <w:rsid w:val="00610FF1"/>
    <w:rsid w:val="0061452B"/>
    <w:rsid w:val="00623686"/>
    <w:rsid w:val="00632736"/>
    <w:rsid w:val="00634165"/>
    <w:rsid w:val="0064017C"/>
    <w:rsid w:val="00643F6B"/>
    <w:rsid w:val="006459FD"/>
    <w:rsid w:val="0064698C"/>
    <w:rsid w:val="00656DD0"/>
    <w:rsid w:val="00691FE2"/>
    <w:rsid w:val="00696152"/>
    <w:rsid w:val="006A2ED9"/>
    <w:rsid w:val="006A5A19"/>
    <w:rsid w:val="006A6331"/>
    <w:rsid w:val="006B3F0B"/>
    <w:rsid w:val="006D31B6"/>
    <w:rsid w:val="006D3293"/>
    <w:rsid w:val="0071126E"/>
    <w:rsid w:val="00727D6C"/>
    <w:rsid w:val="0073291A"/>
    <w:rsid w:val="00734051"/>
    <w:rsid w:val="00735C59"/>
    <w:rsid w:val="007437C0"/>
    <w:rsid w:val="00752CBF"/>
    <w:rsid w:val="00757D85"/>
    <w:rsid w:val="0076082F"/>
    <w:rsid w:val="0076642A"/>
    <w:rsid w:val="007678B3"/>
    <w:rsid w:val="007805B9"/>
    <w:rsid w:val="007959A7"/>
    <w:rsid w:val="0079712E"/>
    <w:rsid w:val="007A3321"/>
    <w:rsid w:val="007B0D43"/>
    <w:rsid w:val="007B4183"/>
    <w:rsid w:val="007E23D1"/>
    <w:rsid w:val="007F57CF"/>
    <w:rsid w:val="00817BA5"/>
    <w:rsid w:val="00825DBC"/>
    <w:rsid w:val="00831DCA"/>
    <w:rsid w:val="00860915"/>
    <w:rsid w:val="00860A3E"/>
    <w:rsid w:val="0087623C"/>
    <w:rsid w:val="00884620"/>
    <w:rsid w:val="00885EF6"/>
    <w:rsid w:val="00897F43"/>
    <w:rsid w:val="008F0BE7"/>
    <w:rsid w:val="008F4C5A"/>
    <w:rsid w:val="008F4F4F"/>
    <w:rsid w:val="008F73B2"/>
    <w:rsid w:val="00963864"/>
    <w:rsid w:val="009A67A2"/>
    <w:rsid w:val="009B6DE0"/>
    <w:rsid w:val="009C2C0C"/>
    <w:rsid w:val="009D18CB"/>
    <w:rsid w:val="009F48C9"/>
    <w:rsid w:val="00A16A5D"/>
    <w:rsid w:val="00A40BBB"/>
    <w:rsid w:val="00A45586"/>
    <w:rsid w:val="00A65FB1"/>
    <w:rsid w:val="00A71C29"/>
    <w:rsid w:val="00A73613"/>
    <w:rsid w:val="00A858F8"/>
    <w:rsid w:val="00A906E9"/>
    <w:rsid w:val="00A91C72"/>
    <w:rsid w:val="00A97F5B"/>
    <w:rsid w:val="00AB3EE6"/>
    <w:rsid w:val="00AF0523"/>
    <w:rsid w:val="00B3212B"/>
    <w:rsid w:val="00B452FF"/>
    <w:rsid w:val="00B4603D"/>
    <w:rsid w:val="00B5462B"/>
    <w:rsid w:val="00B62A82"/>
    <w:rsid w:val="00B643B0"/>
    <w:rsid w:val="00BA3E1A"/>
    <w:rsid w:val="00BB236A"/>
    <w:rsid w:val="00BE0D47"/>
    <w:rsid w:val="00BF460D"/>
    <w:rsid w:val="00C236C0"/>
    <w:rsid w:val="00C4166D"/>
    <w:rsid w:val="00C85057"/>
    <w:rsid w:val="00C96948"/>
    <w:rsid w:val="00CA6100"/>
    <w:rsid w:val="00CA66DD"/>
    <w:rsid w:val="00CE784D"/>
    <w:rsid w:val="00CF3A50"/>
    <w:rsid w:val="00CF6225"/>
    <w:rsid w:val="00CF66D1"/>
    <w:rsid w:val="00D00D7F"/>
    <w:rsid w:val="00D11C8D"/>
    <w:rsid w:val="00D13D09"/>
    <w:rsid w:val="00D14DA6"/>
    <w:rsid w:val="00D15E00"/>
    <w:rsid w:val="00D32651"/>
    <w:rsid w:val="00D44616"/>
    <w:rsid w:val="00D4578E"/>
    <w:rsid w:val="00D526C0"/>
    <w:rsid w:val="00D56F3E"/>
    <w:rsid w:val="00D6547D"/>
    <w:rsid w:val="00D7130E"/>
    <w:rsid w:val="00D76AE5"/>
    <w:rsid w:val="00DA14FE"/>
    <w:rsid w:val="00DB3A17"/>
    <w:rsid w:val="00DC707A"/>
    <w:rsid w:val="00DD061C"/>
    <w:rsid w:val="00DD60D7"/>
    <w:rsid w:val="00DD756E"/>
    <w:rsid w:val="00E051EE"/>
    <w:rsid w:val="00E20022"/>
    <w:rsid w:val="00E2679D"/>
    <w:rsid w:val="00E323EB"/>
    <w:rsid w:val="00E5119E"/>
    <w:rsid w:val="00E52CD5"/>
    <w:rsid w:val="00E70E20"/>
    <w:rsid w:val="00E84C00"/>
    <w:rsid w:val="00E933E5"/>
    <w:rsid w:val="00ED6AF1"/>
    <w:rsid w:val="00EE6971"/>
    <w:rsid w:val="00EE7FB0"/>
    <w:rsid w:val="00F05F6D"/>
    <w:rsid w:val="00F13F56"/>
    <w:rsid w:val="00F16284"/>
    <w:rsid w:val="00F21ABF"/>
    <w:rsid w:val="00F309FC"/>
    <w:rsid w:val="00F356C7"/>
    <w:rsid w:val="00F4668F"/>
    <w:rsid w:val="00F606B0"/>
    <w:rsid w:val="00F772F9"/>
    <w:rsid w:val="00F84335"/>
    <w:rsid w:val="00F848F6"/>
    <w:rsid w:val="00FA43CF"/>
    <w:rsid w:val="00FA745F"/>
    <w:rsid w:val="00FB23F8"/>
    <w:rsid w:val="00FB5645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ulev@judu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85BC-0FB1-456F-B358-99D4347951BB}"/>
</file>

<file path=customXml/itemProps4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2938</Words>
  <Characters>1676</Characters>
  <Application>Microsoft Office Word</Application>
  <DocSecurity>0</DocSecurity>
  <Lines>13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44</cp:revision>
  <dcterms:created xsi:type="dcterms:W3CDTF">2025-12-03T07:14:00Z</dcterms:created>
  <dcterms:modified xsi:type="dcterms:W3CDTF">2026-03-27T13:43:00Z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