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A033" w14:textId="7A9AB12D" w:rsidR="007E08D9" w:rsidRPr="00C60838" w:rsidRDefault="007E08D9" w:rsidP="000763F1">
      <w:pPr>
        <w:rPr>
          <w:rFonts w:ascii="Times New Roman" w:hAnsi="Times New Roman" w:cs="Times New Roman"/>
          <w:color w:val="C1C1C1"/>
        </w:rPr>
      </w:pPr>
    </w:p>
    <w:p w14:paraId="0F05FC16" w14:textId="362D3B58" w:rsidR="00EB26F2" w:rsidRDefault="00EB26F2" w:rsidP="00EB26F2">
      <w:pPr>
        <w:spacing w:after="0"/>
        <w:jc w:val="right"/>
        <w:rPr>
          <w:rFonts w:ascii="Times New Roman" w:hAnsi="Times New Roman" w:cs="Times New Roman"/>
          <w:b/>
          <w:bCs/>
          <w:sz w:val="24"/>
          <w:szCs w:val="24"/>
          <w:lang w:eastAsia="lt-LT"/>
        </w:rPr>
      </w:pPr>
      <w:r>
        <w:rPr>
          <w:rFonts w:ascii="Times New Roman" w:hAnsi="Times New Roman" w:cs="Times New Roman"/>
          <w:b/>
          <w:bCs/>
          <w:sz w:val="24"/>
          <w:szCs w:val="24"/>
          <w:lang w:eastAsia="lt-LT"/>
        </w:rPr>
        <w:t>2 priedas</w:t>
      </w:r>
    </w:p>
    <w:p w14:paraId="3B4EA037" w14:textId="21C14879" w:rsidR="00EB26F2" w:rsidRPr="0073739E" w:rsidRDefault="00EB26F2" w:rsidP="00EB26F2">
      <w:pPr>
        <w:spacing w:after="0"/>
        <w:jc w:val="center"/>
        <w:rPr>
          <w:rFonts w:ascii="Times New Roman" w:hAnsi="Times New Roman" w:cs="Times New Roman"/>
          <w:b/>
          <w:bCs/>
          <w:sz w:val="24"/>
          <w:szCs w:val="24"/>
          <w:lang w:eastAsia="lt-LT"/>
        </w:rPr>
      </w:pPr>
      <w:r w:rsidRPr="0073739E">
        <w:rPr>
          <w:rFonts w:ascii="Times New Roman" w:hAnsi="Times New Roman" w:cs="Times New Roman"/>
          <w:b/>
          <w:bCs/>
          <w:sz w:val="24"/>
          <w:szCs w:val="24"/>
          <w:lang w:eastAsia="lt-LT"/>
        </w:rPr>
        <w:t>TECHNINĖ SPECIFIKACIJA</w:t>
      </w:r>
    </w:p>
    <w:p w14:paraId="705313F4" w14:textId="0F09F246" w:rsidR="000763F1" w:rsidRPr="00C60838" w:rsidRDefault="000763F1" w:rsidP="000763F1">
      <w:pPr>
        <w:rPr>
          <w:rFonts w:ascii="Times New Roman" w:hAnsi="Times New Roman" w:cs="Times New Roman"/>
        </w:rPr>
      </w:pPr>
    </w:p>
    <w:tbl>
      <w:tblPr>
        <w:tblW w:w="10763" w:type="dxa"/>
        <w:tblInd w:w="5" w:type="dxa"/>
        <w:tblLook w:val="04A0" w:firstRow="1" w:lastRow="0" w:firstColumn="1" w:lastColumn="0" w:noHBand="0" w:noVBand="1"/>
      </w:tblPr>
      <w:tblGrid>
        <w:gridCol w:w="1017"/>
        <w:gridCol w:w="1808"/>
        <w:gridCol w:w="7938"/>
      </w:tblGrid>
      <w:tr w:rsidR="00922DC5" w:rsidRPr="00C60838" w14:paraId="59CBC4ED" w14:textId="77777777" w:rsidTr="00922DC5">
        <w:trPr>
          <w:trHeight w:val="233"/>
        </w:trPr>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BA017"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b/>
                <w:bCs/>
                <w:color w:val="000000"/>
                <w:lang w:eastAsia="lt-LT"/>
              </w:rPr>
              <w:t>Eil. Nr.</w:t>
            </w:r>
          </w:p>
        </w:tc>
        <w:tc>
          <w:tcPr>
            <w:tcW w:w="1808" w:type="dxa"/>
            <w:tcBorders>
              <w:top w:val="single" w:sz="4" w:space="0" w:color="auto"/>
              <w:left w:val="nil"/>
              <w:bottom w:val="single" w:sz="4" w:space="0" w:color="auto"/>
              <w:right w:val="single" w:sz="4" w:space="0" w:color="auto"/>
            </w:tcBorders>
            <w:shd w:val="clear" w:color="auto" w:fill="F2F2F2" w:themeFill="background1" w:themeFillShade="F2"/>
          </w:tcPr>
          <w:p w14:paraId="45D96AD9"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b/>
                <w:bCs/>
                <w:color w:val="000000"/>
                <w:lang w:eastAsia="lt-LT"/>
              </w:rPr>
              <w:t>Komponento pavadinimas</w:t>
            </w:r>
          </w:p>
        </w:tc>
        <w:tc>
          <w:tcPr>
            <w:tcW w:w="7938" w:type="dxa"/>
            <w:tcBorders>
              <w:top w:val="single" w:sz="4" w:space="0" w:color="auto"/>
              <w:left w:val="nil"/>
              <w:bottom w:val="single" w:sz="4" w:space="0" w:color="auto"/>
              <w:right w:val="single" w:sz="4" w:space="0" w:color="auto"/>
            </w:tcBorders>
            <w:shd w:val="clear" w:color="auto" w:fill="F2F2F2" w:themeFill="background1" w:themeFillShade="F2"/>
          </w:tcPr>
          <w:p w14:paraId="40E4CE2A"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b/>
                <w:bCs/>
                <w:color w:val="000000"/>
                <w:lang w:eastAsia="lt-LT"/>
              </w:rPr>
              <w:t>Reikalaujama charakteristika</w:t>
            </w:r>
          </w:p>
        </w:tc>
      </w:tr>
      <w:tr w:rsidR="00922DC5" w:rsidRPr="00C60838" w14:paraId="43EBD782" w14:textId="77777777" w:rsidTr="00922DC5">
        <w:trPr>
          <w:trHeight w:val="233"/>
        </w:trPr>
        <w:tc>
          <w:tcPr>
            <w:tcW w:w="1017" w:type="dxa"/>
            <w:tcBorders>
              <w:top w:val="single" w:sz="4" w:space="0" w:color="auto"/>
              <w:left w:val="single" w:sz="4" w:space="0" w:color="auto"/>
              <w:bottom w:val="single" w:sz="4" w:space="0" w:color="auto"/>
              <w:right w:val="single" w:sz="4" w:space="0" w:color="auto"/>
            </w:tcBorders>
            <w:shd w:val="clear" w:color="000000" w:fill="D9D9D9"/>
            <w:hideMark/>
          </w:tcPr>
          <w:p w14:paraId="794E9CDF"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1</w:t>
            </w:r>
          </w:p>
        </w:tc>
        <w:tc>
          <w:tcPr>
            <w:tcW w:w="1808" w:type="dxa"/>
            <w:tcBorders>
              <w:top w:val="single" w:sz="4" w:space="0" w:color="auto"/>
              <w:left w:val="nil"/>
              <w:bottom w:val="single" w:sz="4" w:space="0" w:color="auto"/>
              <w:right w:val="single" w:sz="4" w:space="0" w:color="auto"/>
            </w:tcBorders>
            <w:shd w:val="clear" w:color="000000" w:fill="D9D9D9"/>
            <w:hideMark/>
          </w:tcPr>
          <w:p w14:paraId="57E522FA"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2</w:t>
            </w:r>
          </w:p>
        </w:tc>
        <w:tc>
          <w:tcPr>
            <w:tcW w:w="7938" w:type="dxa"/>
            <w:tcBorders>
              <w:top w:val="single" w:sz="4" w:space="0" w:color="auto"/>
              <w:left w:val="nil"/>
              <w:bottom w:val="single" w:sz="4" w:space="0" w:color="auto"/>
              <w:right w:val="single" w:sz="4" w:space="0" w:color="auto"/>
            </w:tcBorders>
            <w:shd w:val="clear" w:color="000000" w:fill="D9D9D9"/>
            <w:hideMark/>
          </w:tcPr>
          <w:p w14:paraId="0C7BB65A"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3</w:t>
            </w:r>
          </w:p>
        </w:tc>
      </w:tr>
      <w:tr w:rsidR="00922DC5" w:rsidRPr="00C60838" w14:paraId="2568A34C" w14:textId="77777777" w:rsidTr="00922DC5">
        <w:trPr>
          <w:trHeight w:val="792"/>
        </w:trPr>
        <w:tc>
          <w:tcPr>
            <w:tcW w:w="1017" w:type="dxa"/>
            <w:tcBorders>
              <w:top w:val="nil"/>
              <w:left w:val="single" w:sz="4" w:space="0" w:color="auto"/>
              <w:bottom w:val="single" w:sz="4" w:space="0" w:color="auto"/>
              <w:right w:val="single" w:sz="4" w:space="0" w:color="auto"/>
            </w:tcBorders>
          </w:tcPr>
          <w:p w14:paraId="49B77889"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tcPr>
          <w:p w14:paraId="1E97EAB3"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Konstrukcija</w:t>
            </w:r>
          </w:p>
        </w:tc>
        <w:tc>
          <w:tcPr>
            <w:tcW w:w="7938" w:type="dxa"/>
            <w:tcBorders>
              <w:top w:val="nil"/>
              <w:left w:val="nil"/>
              <w:bottom w:val="single" w:sz="4" w:space="0" w:color="auto"/>
              <w:right w:val="single" w:sz="4" w:space="0" w:color="auto"/>
            </w:tcBorders>
          </w:tcPr>
          <w:p w14:paraId="4513A114" w14:textId="22605BF8"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Siūloma tarnybinė stotis turi būti montuojama į standartinę 19“ spintą. Bėgiai turi būti pritaikyti greitam montavimui bei tarnybinės stoties ištraukimui („</w:t>
            </w:r>
            <w:proofErr w:type="spellStart"/>
            <w:r w:rsidRPr="00C60838">
              <w:rPr>
                <w:rFonts w:ascii="Times New Roman" w:eastAsia="Times New Roman" w:hAnsi="Times New Roman" w:cs="Times New Roman"/>
                <w:color w:val="000000"/>
                <w:lang w:eastAsia="lt-LT"/>
              </w:rPr>
              <w:t>sliding</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rails</w:t>
            </w:r>
            <w:proofErr w:type="spellEnd"/>
            <w:r w:rsidRPr="00C60838">
              <w:rPr>
                <w:rFonts w:ascii="Times New Roman" w:eastAsia="Times New Roman" w:hAnsi="Times New Roman" w:cs="Times New Roman"/>
                <w:color w:val="000000"/>
                <w:lang w:eastAsia="lt-LT"/>
              </w:rPr>
              <w:t>“). Korpuso aukštis neturi viršyti 4U. Tarnybinės stoties priekinėje dalyje turi būti sumontuota užrakinama apsauga. Tarnybinė stotis turi būti aušinama oru, pritaikyta darbui 10–35°C temperatūros aplinkoje.</w:t>
            </w:r>
          </w:p>
        </w:tc>
      </w:tr>
      <w:tr w:rsidR="00922DC5" w:rsidRPr="00C60838" w14:paraId="529BDC65" w14:textId="77777777" w:rsidTr="00922DC5">
        <w:trPr>
          <w:trHeight w:val="792"/>
        </w:trPr>
        <w:tc>
          <w:tcPr>
            <w:tcW w:w="1017" w:type="dxa"/>
            <w:tcBorders>
              <w:top w:val="nil"/>
              <w:left w:val="single" w:sz="4" w:space="0" w:color="auto"/>
              <w:bottom w:val="single" w:sz="4" w:space="0" w:color="auto"/>
              <w:right w:val="single" w:sz="4" w:space="0" w:color="auto"/>
            </w:tcBorders>
            <w:hideMark/>
          </w:tcPr>
          <w:p w14:paraId="0BFF1AB2" w14:textId="77777777" w:rsidR="00922DC5" w:rsidRPr="00C60838" w:rsidRDefault="00922DC5" w:rsidP="00723B78">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hideMark/>
          </w:tcPr>
          <w:p w14:paraId="54AFC613" w14:textId="77777777" w:rsidR="00922DC5" w:rsidRPr="00C60838" w:rsidRDefault="00922DC5" w:rsidP="0088296C">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Procesorius</w:t>
            </w:r>
          </w:p>
        </w:tc>
        <w:tc>
          <w:tcPr>
            <w:tcW w:w="7938" w:type="dxa"/>
            <w:tcBorders>
              <w:top w:val="nil"/>
              <w:left w:val="nil"/>
              <w:bottom w:val="single" w:sz="4" w:space="0" w:color="auto"/>
              <w:right w:val="single" w:sz="4" w:space="0" w:color="auto"/>
            </w:tcBorders>
            <w:hideMark/>
          </w:tcPr>
          <w:p w14:paraId="764EB592" w14:textId="7035C4E8" w:rsidR="00922DC5" w:rsidRPr="00C60838" w:rsidRDefault="00922DC5" w:rsidP="0088296C">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Tarnybinė stotis turi turėti ne mažiau kaip du procesorius</w:t>
            </w:r>
            <w:r w:rsidRPr="00C60838">
              <w:rPr>
                <w:rFonts w:ascii="Times New Roman" w:hAnsi="Times New Roman" w:cs="Times New Roman"/>
              </w:rPr>
              <w:t xml:space="preserve"> palaikančius 64 </w:t>
            </w:r>
            <w:proofErr w:type="spellStart"/>
            <w:r w:rsidRPr="00C60838">
              <w:rPr>
                <w:rFonts w:ascii="Times New Roman" w:hAnsi="Times New Roman" w:cs="Times New Roman"/>
              </w:rPr>
              <w:t>bit</w:t>
            </w:r>
            <w:proofErr w:type="spellEnd"/>
            <w:r w:rsidRPr="00C60838">
              <w:rPr>
                <w:rFonts w:ascii="Times New Roman" w:hAnsi="Times New Roman" w:cs="Times New Roman"/>
              </w:rPr>
              <w:t xml:space="preserve"> operacines sistemas ir taikomąsias programas, </w:t>
            </w:r>
            <w:proofErr w:type="spellStart"/>
            <w:r w:rsidRPr="00C60838">
              <w:rPr>
                <w:rFonts w:ascii="Times New Roman" w:hAnsi="Times New Roman" w:cs="Times New Roman"/>
              </w:rPr>
              <w:t>virtualizavimo</w:t>
            </w:r>
            <w:proofErr w:type="spellEnd"/>
            <w:r w:rsidRPr="00C60838">
              <w:rPr>
                <w:rFonts w:ascii="Times New Roman" w:hAnsi="Times New Roman" w:cs="Times New Roman"/>
              </w:rPr>
              <w:t xml:space="preserve"> instrukcijas aparatiniame lygmenyje,„</w:t>
            </w:r>
            <w:proofErr w:type="spellStart"/>
            <w:r w:rsidRPr="00C60838">
              <w:rPr>
                <w:rFonts w:ascii="Times New Roman" w:hAnsi="Times New Roman" w:cs="Times New Roman"/>
              </w:rPr>
              <w:t>Hyper-Threading</w:t>
            </w:r>
            <w:proofErr w:type="spellEnd"/>
            <w:r w:rsidRPr="00C60838">
              <w:rPr>
                <w:rFonts w:ascii="Times New Roman" w:hAnsi="Times New Roman" w:cs="Times New Roman"/>
              </w:rPr>
              <w:t>“ arba lygiavertę technologiją.</w:t>
            </w:r>
            <w:r w:rsidRPr="00C60838">
              <w:rPr>
                <w:rFonts w:ascii="Times New Roman" w:eastAsia="Times New Roman" w:hAnsi="Times New Roman" w:cs="Times New Roman"/>
                <w:color w:val="000000"/>
                <w:lang w:eastAsia="lt-LT"/>
              </w:rPr>
              <w:t xml:space="preserve"> Kiekvienas iš jų ne mažiau kaip 32 fizinių branduolių, palaikantis ne mažiau kaip 8 atminties kanalų. </w:t>
            </w:r>
          </w:p>
          <w:p w14:paraId="449886BE" w14:textId="77777777" w:rsidR="00922DC5" w:rsidRPr="00C60838" w:rsidRDefault="00922DC5" w:rsidP="0088296C">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Procesorių bazinis taktinis dažnis ne mažesnis kaip 2.7 </w:t>
            </w:r>
            <w:proofErr w:type="spellStart"/>
            <w:r w:rsidRPr="00C60838">
              <w:rPr>
                <w:rFonts w:ascii="Times New Roman" w:eastAsia="Times New Roman" w:hAnsi="Times New Roman" w:cs="Times New Roman"/>
                <w:color w:val="000000"/>
                <w:lang w:eastAsia="lt-LT"/>
              </w:rPr>
              <w:t>Ghz</w:t>
            </w:r>
            <w:proofErr w:type="spellEnd"/>
            <w:r w:rsidRPr="00C60838">
              <w:rPr>
                <w:rFonts w:ascii="Times New Roman" w:eastAsia="Times New Roman" w:hAnsi="Times New Roman" w:cs="Times New Roman"/>
                <w:color w:val="000000"/>
                <w:lang w:eastAsia="lt-LT"/>
              </w:rPr>
              <w:t>.</w:t>
            </w:r>
          </w:p>
          <w:p w14:paraId="2A7605A9" w14:textId="77777777" w:rsidR="00922DC5" w:rsidRPr="00C60838" w:rsidRDefault="00922DC5" w:rsidP="0088296C">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Turi būti nurodytas siūlomo procesoriaus gamintojas, modelis, branduolių kiekis, bazinis taktinis dažnis, spartinančiosios atminties (angl. </w:t>
            </w:r>
            <w:proofErr w:type="spellStart"/>
            <w:r w:rsidRPr="00C60838">
              <w:rPr>
                <w:rFonts w:ascii="Times New Roman" w:eastAsia="Times New Roman" w:hAnsi="Times New Roman" w:cs="Times New Roman"/>
                <w:color w:val="000000"/>
                <w:lang w:eastAsia="lt-LT"/>
              </w:rPr>
              <w:t>cache</w:t>
            </w:r>
            <w:proofErr w:type="spellEnd"/>
            <w:r w:rsidRPr="00C60838">
              <w:rPr>
                <w:rFonts w:ascii="Times New Roman" w:eastAsia="Times New Roman" w:hAnsi="Times New Roman" w:cs="Times New Roman"/>
                <w:color w:val="000000"/>
                <w:lang w:eastAsia="lt-LT"/>
              </w:rPr>
              <w:t>) dydis.</w:t>
            </w:r>
          </w:p>
        </w:tc>
      </w:tr>
      <w:tr w:rsidR="00922DC5" w:rsidRPr="00C60838" w14:paraId="58E3F97D" w14:textId="77777777" w:rsidTr="00922DC5">
        <w:trPr>
          <w:trHeight w:val="587"/>
        </w:trPr>
        <w:tc>
          <w:tcPr>
            <w:tcW w:w="1017" w:type="dxa"/>
            <w:tcBorders>
              <w:top w:val="nil"/>
              <w:left w:val="single" w:sz="4" w:space="0" w:color="auto"/>
              <w:bottom w:val="single" w:sz="4" w:space="0" w:color="auto"/>
              <w:right w:val="single" w:sz="4" w:space="0" w:color="auto"/>
            </w:tcBorders>
            <w:hideMark/>
          </w:tcPr>
          <w:p w14:paraId="3A4D70A1"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bookmarkStart w:id="0" w:name="OLE_LINK6"/>
          </w:p>
        </w:tc>
        <w:tc>
          <w:tcPr>
            <w:tcW w:w="1808" w:type="dxa"/>
            <w:tcBorders>
              <w:top w:val="nil"/>
              <w:left w:val="nil"/>
              <w:bottom w:val="single" w:sz="4" w:space="0" w:color="auto"/>
              <w:right w:val="single" w:sz="4" w:space="0" w:color="auto"/>
            </w:tcBorders>
            <w:hideMark/>
          </w:tcPr>
          <w:p w14:paraId="47E6980B" w14:textId="336D1CEE"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Procesorių skaičius</w:t>
            </w:r>
          </w:p>
        </w:tc>
        <w:tc>
          <w:tcPr>
            <w:tcW w:w="7938" w:type="dxa"/>
            <w:tcBorders>
              <w:top w:val="nil"/>
              <w:left w:val="nil"/>
              <w:bottom w:val="single" w:sz="4" w:space="0" w:color="auto"/>
              <w:right w:val="single" w:sz="4" w:space="0" w:color="auto"/>
            </w:tcBorders>
            <w:hideMark/>
          </w:tcPr>
          <w:p w14:paraId="213FBDD8" w14:textId="2277B2C3"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hAnsi="Times New Roman" w:cs="Times New Roman"/>
              </w:rPr>
              <w:t>2 vnt.</w:t>
            </w:r>
          </w:p>
        </w:tc>
      </w:tr>
      <w:bookmarkEnd w:id="0"/>
      <w:tr w:rsidR="00922DC5" w:rsidRPr="00C60838" w14:paraId="1366D1E1" w14:textId="77777777" w:rsidTr="00922DC5">
        <w:trPr>
          <w:trHeight w:val="1188"/>
        </w:trPr>
        <w:tc>
          <w:tcPr>
            <w:tcW w:w="1017" w:type="dxa"/>
            <w:tcBorders>
              <w:top w:val="nil"/>
              <w:left w:val="single" w:sz="4" w:space="0" w:color="auto"/>
              <w:bottom w:val="single" w:sz="4" w:space="0" w:color="auto"/>
              <w:right w:val="single" w:sz="4" w:space="0" w:color="auto"/>
            </w:tcBorders>
            <w:hideMark/>
          </w:tcPr>
          <w:p w14:paraId="3CE714F7"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hideMark/>
          </w:tcPr>
          <w:p w14:paraId="081C186F"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Procesoriaus našumas</w:t>
            </w:r>
          </w:p>
        </w:tc>
        <w:tc>
          <w:tcPr>
            <w:tcW w:w="7938" w:type="dxa"/>
            <w:tcBorders>
              <w:top w:val="nil"/>
              <w:left w:val="nil"/>
              <w:bottom w:val="single" w:sz="4" w:space="0" w:color="auto"/>
              <w:right w:val="single" w:sz="4" w:space="0" w:color="auto"/>
            </w:tcBorders>
            <w:hideMark/>
          </w:tcPr>
          <w:p w14:paraId="38E1FF7D" w14:textId="155AC523"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Siūlomų procesorių našumo parametrai turi būti viešai publikuojami puslapyje </w:t>
            </w:r>
            <w:hyperlink r:id="rId11" w:history="1">
              <w:r w:rsidRPr="00C60838">
                <w:rPr>
                  <w:rStyle w:val="Hyperlink"/>
                  <w:rFonts w:ascii="Times New Roman" w:eastAsia="Times New Roman" w:hAnsi="Times New Roman" w:cs="Times New Roman"/>
                  <w:lang w:eastAsia="lt-LT"/>
                </w:rPr>
                <w:t>www.spec.org</w:t>
              </w:r>
            </w:hyperlink>
            <w:r w:rsidRPr="00C60838">
              <w:rPr>
                <w:rFonts w:ascii="Times New Roman" w:eastAsia="Times New Roman" w:hAnsi="Times New Roman" w:cs="Times New Roman"/>
                <w:color w:val="000000"/>
                <w:lang w:eastAsia="lt-LT"/>
              </w:rPr>
              <w:t>. Procesoriaus testas turi būti atliktas siūlomo gamintojo aparatinėje platformoje</w:t>
            </w:r>
            <w:r w:rsidRPr="00C60838">
              <w:rPr>
                <w:rStyle w:val="item"/>
                <w:rFonts w:ascii="Times New Roman" w:hAnsi="Times New Roman" w:cs="Times New Roman"/>
              </w:rPr>
              <w:t xml:space="preserve"> naudojant 2 vienetus siūlomų procesorių ir turi būti ne mažesni kaip</w:t>
            </w:r>
            <w:r w:rsidRPr="00C60838">
              <w:rPr>
                <w:rFonts w:ascii="Times New Roman" w:eastAsia="Times New Roman" w:hAnsi="Times New Roman" w:cs="Times New Roman"/>
                <w:color w:val="000000"/>
                <w:lang w:eastAsia="lt-LT"/>
              </w:rPr>
              <w:t xml:space="preserve">: </w:t>
            </w:r>
          </w:p>
          <w:p w14:paraId="639459AE"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SPECrate2017_int_base=757 SPECspeed2017_fp_base_base=985</w:t>
            </w:r>
          </w:p>
          <w:p w14:paraId="51133BD8" w14:textId="345976AA"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Style w:val="item"/>
                <w:rFonts w:ascii="Times New Roman" w:hAnsi="Times New Roman" w:cs="Times New Roman"/>
              </w:rPr>
              <w:t xml:space="preserve">Rezultatai turi būti skelbiami </w:t>
            </w:r>
            <w:r w:rsidRPr="00C60838">
              <w:rPr>
                <w:rStyle w:val="Hyperlink"/>
                <w:rFonts w:ascii="Times New Roman" w:eastAsiaTheme="majorEastAsia" w:hAnsi="Times New Roman" w:cs="Times New Roman"/>
              </w:rPr>
              <w:t>https://www.spec.org</w:t>
            </w:r>
            <w:r w:rsidRPr="00C60838">
              <w:rPr>
                <w:rStyle w:val="item"/>
                <w:rFonts w:ascii="Times New Roman" w:hAnsi="Times New Roman" w:cs="Times New Roman"/>
              </w:rPr>
              <w:t xml:space="preserve"> puslapyje ir pateikti pasiūlyme k</w:t>
            </w:r>
            <w:r w:rsidRPr="00C60838">
              <w:rPr>
                <w:rFonts w:ascii="Times New Roman" w:hAnsi="Times New Roman" w:cs="Times New Roman"/>
              </w:rPr>
              <w:t>artu pateikiant ekranvaizdžio kopiją (-</w:t>
            </w:r>
            <w:proofErr w:type="spellStart"/>
            <w:r w:rsidRPr="00C60838">
              <w:rPr>
                <w:rFonts w:ascii="Times New Roman" w:hAnsi="Times New Roman" w:cs="Times New Roman"/>
              </w:rPr>
              <w:t>as</w:t>
            </w:r>
            <w:proofErr w:type="spellEnd"/>
            <w:r w:rsidRPr="00C60838">
              <w:rPr>
                <w:rFonts w:ascii="Times New Roman" w:hAnsi="Times New Roman" w:cs="Times New Roman"/>
              </w:rPr>
              <w:t>)</w:t>
            </w:r>
            <w:r w:rsidRPr="00C60838">
              <w:rPr>
                <w:rStyle w:val="item"/>
                <w:rFonts w:ascii="Times New Roman" w:hAnsi="Times New Roman" w:cs="Times New Roman"/>
              </w:rPr>
              <w:t xml:space="preserve">. </w:t>
            </w:r>
          </w:p>
        </w:tc>
      </w:tr>
      <w:tr w:rsidR="00922DC5" w:rsidRPr="00C60838" w14:paraId="67EDCFD9" w14:textId="77777777" w:rsidTr="00922DC5">
        <w:trPr>
          <w:trHeight w:val="871"/>
        </w:trPr>
        <w:tc>
          <w:tcPr>
            <w:tcW w:w="1017" w:type="dxa"/>
            <w:tcBorders>
              <w:top w:val="nil"/>
              <w:left w:val="single" w:sz="4" w:space="0" w:color="auto"/>
              <w:bottom w:val="single" w:sz="4" w:space="0" w:color="auto"/>
              <w:right w:val="single" w:sz="4" w:space="0" w:color="auto"/>
            </w:tcBorders>
            <w:hideMark/>
          </w:tcPr>
          <w:p w14:paraId="3E92B953" w14:textId="77777777" w:rsidR="00922DC5" w:rsidRPr="00C60838" w:rsidRDefault="00922DC5" w:rsidP="002B643C">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hideMark/>
          </w:tcPr>
          <w:p w14:paraId="1DDC7088" w14:textId="77777777" w:rsidR="00922DC5" w:rsidRPr="00C60838" w:rsidRDefault="00922DC5" w:rsidP="002B643C">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Operatyvioji atmintis</w:t>
            </w:r>
          </w:p>
        </w:tc>
        <w:tc>
          <w:tcPr>
            <w:tcW w:w="7938" w:type="dxa"/>
            <w:tcBorders>
              <w:top w:val="nil"/>
              <w:left w:val="nil"/>
              <w:bottom w:val="single" w:sz="4" w:space="0" w:color="auto"/>
              <w:right w:val="single" w:sz="4" w:space="0" w:color="auto"/>
            </w:tcBorders>
            <w:vAlign w:val="center"/>
            <w:hideMark/>
          </w:tcPr>
          <w:p w14:paraId="2421F368" w14:textId="2CB5D370" w:rsidR="00922DC5" w:rsidRPr="00C60838" w:rsidRDefault="00922DC5" w:rsidP="002B643C">
            <w:pPr>
              <w:spacing w:after="0" w:line="240" w:lineRule="auto"/>
              <w:jc w:val="both"/>
              <w:rPr>
                <w:rFonts w:ascii="Times New Roman" w:eastAsia="Times New Roman" w:hAnsi="Times New Roman" w:cs="Times New Roman"/>
                <w:color w:val="000000"/>
                <w:lang w:eastAsia="lt-LT"/>
              </w:rPr>
            </w:pPr>
            <w:r w:rsidRPr="00C60838">
              <w:rPr>
                <w:rFonts w:ascii="Times New Roman" w:hAnsi="Times New Roman" w:cs="Times New Roman"/>
              </w:rPr>
              <w:t xml:space="preserve">Ne blogiau kaip DDR5-6400. Turi būti palaikomos </w:t>
            </w:r>
            <w:proofErr w:type="spellStart"/>
            <w:r w:rsidRPr="00C60838">
              <w:rPr>
                <w:rFonts w:ascii="Times New Roman" w:hAnsi="Times New Roman" w:cs="Times New Roman"/>
                <w:i/>
                <w:iCs/>
              </w:rPr>
              <w:t>advanced</w:t>
            </w:r>
            <w:proofErr w:type="spellEnd"/>
            <w:r w:rsidRPr="00C60838">
              <w:rPr>
                <w:rFonts w:ascii="Times New Roman" w:hAnsi="Times New Roman" w:cs="Times New Roman"/>
                <w:i/>
                <w:iCs/>
              </w:rPr>
              <w:t xml:space="preserve"> ECC</w:t>
            </w:r>
            <w:r w:rsidRPr="00C60838">
              <w:rPr>
                <w:rFonts w:ascii="Times New Roman" w:hAnsi="Times New Roman" w:cs="Times New Roman"/>
              </w:rPr>
              <w:t xml:space="preserve">, </w:t>
            </w:r>
            <w:proofErr w:type="spellStart"/>
            <w:r w:rsidRPr="00C60838">
              <w:rPr>
                <w:rFonts w:ascii="Times New Roman" w:hAnsi="Times New Roman" w:cs="Times New Roman"/>
                <w:i/>
                <w:iCs/>
              </w:rPr>
              <w:t>memory</w:t>
            </w:r>
            <w:proofErr w:type="spellEnd"/>
            <w:r w:rsidRPr="00C60838">
              <w:rPr>
                <w:rFonts w:ascii="Times New Roman" w:hAnsi="Times New Roman" w:cs="Times New Roman"/>
                <w:i/>
                <w:iCs/>
              </w:rPr>
              <w:t xml:space="preserve"> </w:t>
            </w:r>
            <w:proofErr w:type="spellStart"/>
            <w:r w:rsidRPr="00C60838">
              <w:rPr>
                <w:rFonts w:ascii="Times New Roman" w:hAnsi="Times New Roman" w:cs="Times New Roman"/>
                <w:i/>
                <w:iCs/>
              </w:rPr>
              <w:t>mirroring</w:t>
            </w:r>
            <w:proofErr w:type="spellEnd"/>
            <w:r w:rsidRPr="00C60838">
              <w:rPr>
                <w:rFonts w:ascii="Times New Roman" w:hAnsi="Times New Roman" w:cs="Times New Roman"/>
              </w:rPr>
              <w:t xml:space="preserve"> arba lygiavertės technologijos. Jei dėl reikalaujamo atminties išpildymo krenta atminties greitis, jis turi būti ne mažesnis kaip 5200MT/s.</w:t>
            </w:r>
          </w:p>
        </w:tc>
      </w:tr>
      <w:tr w:rsidR="00922DC5" w:rsidRPr="00C60838" w14:paraId="5FDDA7FF" w14:textId="77777777" w:rsidTr="00922DC5">
        <w:trPr>
          <w:trHeight w:val="871"/>
        </w:trPr>
        <w:tc>
          <w:tcPr>
            <w:tcW w:w="1017" w:type="dxa"/>
            <w:tcBorders>
              <w:top w:val="nil"/>
              <w:left w:val="single" w:sz="4" w:space="0" w:color="auto"/>
              <w:bottom w:val="single" w:sz="4" w:space="0" w:color="auto"/>
              <w:right w:val="single" w:sz="4" w:space="0" w:color="auto"/>
            </w:tcBorders>
            <w:hideMark/>
          </w:tcPr>
          <w:p w14:paraId="417F7C3E" w14:textId="77777777" w:rsidR="00922DC5" w:rsidRPr="00C60838" w:rsidRDefault="00922DC5" w:rsidP="007A3AA7">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vAlign w:val="center"/>
            <w:hideMark/>
          </w:tcPr>
          <w:p w14:paraId="52CE1F94" w14:textId="77777777" w:rsidR="00922DC5" w:rsidRPr="00C60838" w:rsidRDefault="00922DC5" w:rsidP="0088296C">
            <w:pPr>
              <w:spacing w:after="0" w:line="240" w:lineRule="auto"/>
              <w:jc w:val="center"/>
              <w:rPr>
                <w:rFonts w:ascii="Times New Roman" w:eastAsia="Times New Roman" w:hAnsi="Times New Roman" w:cs="Times New Roman"/>
                <w:color w:val="000000"/>
                <w:lang w:eastAsia="lt-LT"/>
              </w:rPr>
            </w:pPr>
            <w:r w:rsidRPr="00C60838">
              <w:rPr>
                <w:rFonts w:ascii="Times New Roman" w:hAnsi="Times New Roman" w:cs="Times New Roman"/>
              </w:rPr>
              <w:t xml:space="preserve">Operatyvios atminties lizdų skaičius </w:t>
            </w:r>
          </w:p>
        </w:tc>
        <w:tc>
          <w:tcPr>
            <w:tcW w:w="7938" w:type="dxa"/>
            <w:tcBorders>
              <w:top w:val="nil"/>
              <w:left w:val="nil"/>
              <w:bottom w:val="single" w:sz="4" w:space="0" w:color="auto"/>
              <w:right w:val="single" w:sz="4" w:space="0" w:color="auto"/>
            </w:tcBorders>
            <w:vAlign w:val="center"/>
            <w:hideMark/>
          </w:tcPr>
          <w:p w14:paraId="489E4E6D" w14:textId="77777777" w:rsidR="00922DC5" w:rsidRPr="00C60838" w:rsidRDefault="00922DC5" w:rsidP="0088296C">
            <w:pPr>
              <w:spacing w:after="0" w:line="240" w:lineRule="auto"/>
              <w:jc w:val="both"/>
              <w:rPr>
                <w:rFonts w:ascii="Times New Roman" w:eastAsia="Times New Roman" w:hAnsi="Times New Roman" w:cs="Times New Roman"/>
                <w:color w:val="000000"/>
                <w:lang w:eastAsia="lt-LT"/>
              </w:rPr>
            </w:pPr>
            <w:r w:rsidRPr="00C60838">
              <w:rPr>
                <w:rFonts w:ascii="Times New Roman" w:hAnsi="Times New Roman" w:cs="Times New Roman"/>
              </w:rPr>
              <w:t>Ne mažiau kaip 32</w:t>
            </w:r>
          </w:p>
        </w:tc>
      </w:tr>
      <w:tr w:rsidR="00922DC5" w:rsidRPr="00C60838" w14:paraId="205714A6" w14:textId="77777777" w:rsidTr="00922DC5">
        <w:trPr>
          <w:trHeight w:val="871"/>
        </w:trPr>
        <w:tc>
          <w:tcPr>
            <w:tcW w:w="1017" w:type="dxa"/>
            <w:tcBorders>
              <w:top w:val="nil"/>
              <w:left w:val="single" w:sz="4" w:space="0" w:color="auto"/>
              <w:bottom w:val="single" w:sz="4" w:space="0" w:color="auto"/>
              <w:right w:val="single" w:sz="4" w:space="0" w:color="auto"/>
            </w:tcBorders>
            <w:hideMark/>
          </w:tcPr>
          <w:p w14:paraId="7B064397" w14:textId="77777777" w:rsidR="00922DC5" w:rsidRPr="00C60838" w:rsidRDefault="00922DC5" w:rsidP="0088296C">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vAlign w:val="center"/>
            <w:hideMark/>
          </w:tcPr>
          <w:p w14:paraId="3A5BE2B5" w14:textId="77777777" w:rsidR="00922DC5" w:rsidRPr="00C60838" w:rsidRDefault="00922DC5" w:rsidP="0088296C">
            <w:pPr>
              <w:spacing w:after="0" w:line="240" w:lineRule="auto"/>
              <w:jc w:val="center"/>
              <w:rPr>
                <w:rFonts w:ascii="Times New Roman" w:eastAsia="Times New Roman" w:hAnsi="Times New Roman" w:cs="Times New Roman"/>
                <w:color w:val="000000"/>
                <w:lang w:eastAsia="lt-LT"/>
              </w:rPr>
            </w:pPr>
            <w:r w:rsidRPr="00C60838">
              <w:rPr>
                <w:rFonts w:ascii="Times New Roman" w:hAnsi="Times New Roman" w:cs="Times New Roman"/>
              </w:rPr>
              <w:t>Operatyviosios atminties kortelių, siūlomoje komplektacijoje įstatytų į atminties lizdus, talpa</w:t>
            </w:r>
          </w:p>
        </w:tc>
        <w:tc>
          <w:tcPr>
            <w:tcW w:w="7938" w:type="dxa"/>
            <w:tcBorders>
              <w:top w:val="nil"/>
              <w:left w:val="nil"/>
              <w:bottom w:val="single" w:sz="4" w:space="0" w:color="auto"/>
              <w:right w:val="single" w:sz="4" w:space="0" w:color="auto"/>
            </w:tcBorders>
            <w:vAlign w:val="center"/>
            <w:hideMark/>
          </w:tcPr>
          <w:p w14:paraId="721504E7" w14:textId="77777777" w:rsidR="00922DC5" w:rsidRPr="00C60838" w:rsidRDefault="00922DC5" w:rsidP="0088296C">
            <w:pPr>
              <w:spacing w:after="0" w:line="240" w:lineRule="auto"/>
              <w:jc w:val="both"/>
              <w:rPr>
                <w:rFonts w:ascii="Times New Roman" w:eastAsia="Times New Roman" w:hAnsi="Times New Roman" w:cs="Times New Roman"/>
                <w:color w:val="000000"/>
                <w:lang w:eastAsia="lt-LT"/>
              </w:rPr>
            </w:pPr>
            <w:r w:rsidRPr="00C60838">
              <w:rPr>
                <w:rFonts w:ascii="Times New Roman" w:hAnsi="Times New Roman" w:cs="Times New Roman"/>
              </w:rPr>
              <w:t>Ne mažiau kaip 64 GB</w:t>
            </w:r>
          </w:p>
        </w:tc>
      </w:tr>
      <w:tr w:rsidR="00922DC5" w:rsidRPr="00C60838" w14:paraId="02423AFA" w14:textId="77777777" w:rsidTr="00922DC5">
        <w:trPr>
          <w:trHeight w:val="871"/>
        </w:trPr>
        <w:tc>
          <w:tcPr>
            <w:tcW w:w="1017" w:type="dxa"/>
            <w:tcBorders>
              <w:top w:val="nil"/>
              <w:left w:val="single" w:sz="4" w:space="0" w:color="auto"/>
              <w:bottom w:val="single" w:sz="4" w:space="0" w:color="auto"/>
              <w:right w:val="single" w:sz="4" w:space="0" w:color="auto"/>
            </w:tcBorders>
            <w:hideMark/>
          </w:tcPr>
          <w:p w14:paraId="6A8E5E95" w14:textId="77777777" w:rsidR="00922DC5" w:rsidRPr="00C60838" w:rsidRDefault="00922DC5" w:rsidP="00D25BD4">
            <w:pPr>
              <w:pStyle w:val="ListParagraph"/>
              <w:numPr>
                <w:ilvl w:val="0"/>
                <w:numId w:val="3"/>
              </w:numPr>
              <w:spacing w:after="0" w:line="240" w:lineRule="auto"/>
              <w:jc w:val="center"/>
              <w:rPr>
                <w:rFonts w:ascii="Times New Roman" w:eastAsia="Times New Roman" w:hAnsi="Times New Roman" w:cs="Times New Roman"/>
                <w:color w:val="000000"/>
                <w:lang w:eastAsia="lt-LT"/>
              </w:rPr>
            </w:pPr>
            <w:bookmarkStart w:id="1" w:name="OLE_LINK8"/>
          </w:p>
        </w:tc>
        <w:tc>
          <w:tcPr>
            <w:tcW w:w="1808" w:type="dxa"/>
            <w:tcBorders>
              <w:top w:val="nil"/>
              <w:left w:val="nil"/>
              <w:bottom w:val="single" w:sz="4" w:space="0" w:color="auto"/>
              <w:right w:val="single" w:sz="4" w:space="0" w:color="auto"/>
            </w:tcBorders>
            <w:vAlign w:val="center"/>
            <w:hideMark/>
          </w:tcPr>
          <w:p w14:paraId="72CF5CA8" w14:textId="14126423" w:rsidR="00922DC5" w:rsidRPr="00C60838" w:rsidRDefault="00922DC5" w:rsidP="00D25BD4">
            <w:pPr>
              <w:spacing w:after="0" w:line="240" w:lineRule="auto"/>
              <w:jc w:val="center"/>
              <w:rPr>
                <w:rFonts w:ascii="Times New Roman" w:eastAsia="Times New Roman" w:hAnsi="Times New Roman" w:cs="Times New Roman"/>
                <w:color w:val="000000"/>
                <w:lang w:eastAsia="lt-LT"/>
              </w:rPr>
            </w:pPr>
            <w:r w:rsidRPr="00C60838">
              <w:rPr>
                <w:rFonts w:ascii="Times New Roman" w:hAnsi="Times New Roman" w:cs="Times New Roman"/>
              </w:rPr>
              <w:t>Įdiegta operatyvinė atmintis</w:t>
            </w:r>
          </w:p>
        </w:tc>
        <w:tc>
          <w:tcPr>
            <w:tcW w:w="7938" w:type="dxa"/>
            <w:tcBorders>
              <w:top w:val="nil"/>
              <w:left w:val="nil"/>
              <w:bottom w:val="single" w:sz="4" w:space="0" w:color="auto"/>
              <w:right w:val="single" w:sz="4" w:space="0" w:color="auto"/>
            </w:tcBorders>
            <w:vAlign w:val="center"/>
            <w:hideMark/>
          </w:tcPr>
          <w:p w14:paraId="018B8DEA" w14:textId="5A1CE074" w:rsidR="00922DC5" w:rsidRPr="00C60838" w:rsidRDefault="00922DC5" w:rsidP="00D25BD4">
            <w:pPr>
              <w:spacing w:after="0" w:line="240" w:lineRule="auto"/>
              <w:jc w:val="both"/>
              <w:rPr>
                <w:rFonts w:ascii="Times New Roman" w:eastAsia="Times New Roman" w:hAnsi="Times New Roman" w:cs="Times New Roman"/>
                <w:color w:val="000000"/>
                <w:lang w:eastAsia="lt-LT"/>
              </w:rPr>
            </w:pPr>
            <w:r w:rsidRPr="00C60838">
              <w:rPr>
                <w:rFonts w:ascii="Times New Roman" w:hAnsi="Times New Roman" w:cs="Times New Roman"/>
              </w:rPr>
              <w:t>Ne mažiau kaip 1024 GB.</w:t>
            </w:r>
          </w:p>
        </w:tc>
      </w:tr>
      <w:bookmarkEnd w:id="1"/>
      <w:tr w:rsidR="00922DC5" w:rsidRPr="00C60838" w14:paraId="1907EFCF" w14:textId="77777777" w:rsidTr="00922DC5">
        <w:trPr>
          <w:trHeight w:val="396"/>
        </w:trPr>
        <w:tc>
          <w:tcPr>
            <w:tcW w:w="1017" w:type="dxa"/>
            <w:tcBorders>
              <w:top w:val="nil"/>
              <w:left w:val="single" w:sz="4" w:space="0" w:color="auto"/>
              <w:bottom w:val="single" w:sz="4" w:space="0" w:color="auto"/>
              <w:right w:val="single" w:sz="4" w:space="0" w:color="auto"/>
            </w:tcBorders>
            <w:hideMark/>
          </w:tcPr>
          <w:p w14:paraId="41DD2E36"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hideMark/>
          </w:tcPr>
          <w:p w14:paraId="5D429998"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Vidinė įkrovos atmintis</w:t>
            </w:r>
          </w:p>
        </w:tc>
        <w:tc>
          <w:tcPr>
            <w:tcW w:w="7938" w:type="dxa"/>
            <w:tcBorders>
              <w:top w:val="nil"/>
              <w:left w:val="nil"/>
              <w:bottom w:val="single" w:sz="4" w:space="0" w:color="auto"/>
              <w:right w:val="single" w:sz="4" w:space="0" w:color="auto"/>
            </w:tcBorders>
            <w:hideMark/>
          </w:tcPr>
          <w:p w14:paraId="5F0B541A" w14:textId="2C5D94D2"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Tarnybinė stotis turi turėti ne mažiau kaip 2 vnt. SSD, ne mažesnės talpos nei 960GB karšto keitimo tipo laikmenų, apjungtų į aparatinį RAID1 masyvą, skirtų operacinės sistemos įkrovai. Neturi užimti duomenų diskams skirtų vietų.</w:t>
            </w:r>
          </w:p>
        </w:tc>
      </w:tr>
      <w:tr w:rsidR="00922DC5" w:rsidRPr="00C60838" w14:paraId="6F6F60C9" w14:textId="77777777" w:rsidTr="00922DC5">
        <w:trPr>
          <w:trHeight w:val="569"/>
        </w:trPr>
        <w:tc>
          <w:tcPr>
            <w:tcW w:w="1017" w:type="dxa"/>
            <w:tcBorders>
              <w:top w:val="nil"/>
              <w:left w:val="single" w:sz="4" w:space="0" w:color="auto"/>
              <w:bottom w:val="single" w:sz="4" w:space="0" w:color="auto"/>
              <w:right w:val="single" w:sz="4" w:space="0" w:color="auto"/>
            </w:tcBorders>
          </w:tcPr>
          <w:p w14:paraId="6087A333"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tcPr>
          <w:p w14:paraId="4E8CD4E9"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Vidiniai diskai</w:t>
            </w:r>
          </w:p>
        </w:tc>
        <w:tc>
          <w:tcPr>
            <w:tcW w:w="7938" w:type="dxa"/>
            <w:tcBorders>
              <w:top w:val="nil"/>
              <w:left w:val="nil"/>
              <w:bottom w:val="single" w:sz="4" w:space="0" w:color="auto"/>
              <w:right w:val="single" w:sz="4" w:space="0" w:color="auto"/>
            </w:tcBorders>
          </w:tcPr>
          <w:p w14:paraId="0BD0D261" w14:textId="3D7832B7" w:rsidR="00922DC5" w:rsidRPr="00C60838" w:rsidRDefault="00922DC5" w:rsidP="00362777">
            <w:pPr>
              <w:spacing w:after="0" w:line="240" w:lineRule="auto"/>
              <w:jc w:val="both"/>
              <w:rPr>
                <w:rFonts w:ascii="Times New Roman" w:hAnsi="Times New Roman" w:cs="Times New Roman"/>
              </w:rPr>
            </w:pPr>
            <w:r w:rsidRPr="00C60838">
              <w:rPr>
                <w:rFonts w:ascii="Times New Roman" w:hAnsi="Times New Roman" w:cs="Times New Roman"/>
              </w:rPr>
              <w:t xml:space="preserve">Tarnybinė stotis turi palaikyti ne mažiau kaip 4 vnt. </w:t>
            </w:r>
            <w:proofErr w:type="spellStart"/>
            <w:r w:rsidRPr="00C60838">
              <w:rPr>
                <w:rFonts w:ascii="Times New Roman" w:hAnsi="Times New Roman" w:cs="Times New Roman"/>
              </w:rPr>
              <w:t>Hot-swap</w:t>
            </w:r>
            <w:proofErr w:type="spellEnd"/>
            <w:r w:rsidRPr="00C60838">
              <w:rPr>
                <w:rFonts w:ascii="Times New Roman" w:hAnsi="Times New Roman" w:cs="Times New Roman"/>
              </w:rPr>
              <w:t xml:space="preserve"> tipo diskus, skirtus duomenims. Privalomas SED arba lygiaverčių diskų palaikymas („</w:t>
            </w:r>
            <w:proofErr w:type="spellStart"/>
            <w:r w:rsidRPr="00C60838">
              <w:rPr>
                <w:rFonts w:ascii="Times New Roman" w:hAnsi="Times New Roman" w:cs="Times New Roman"/>
              </w:rPr>
              <w:t>Self</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Encrypting</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Drives</w:t>
            </w:r>
            <w:proofErr w:type="spellEnd"/>
            <w:r w:rsidRPr="00C60838">
              <w:rPr>
                <w:rFonts w:ascii="Times New Roman" w:hAnsi="Times New Roman" w:cs="Times New Roman"/>
              </w:rPr>
              <w:t xml:space="preserve">/ Savaime Užsikoduojantys Diskai“). </w:t>
            </w:r>
          </w:p>
          <w:p w14:paraId="65237DA5" w14:textId="2C270CC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hAnsi="Times New Roman" w:cs="Times New Roman"/>
              </w:rPr>
              <w:lastRenderedPageBreak/>
              <w:t>Siūlomoje tarnybinėje turi būti sukomplektuoti ne mažiau kaip 2 vnt. ir neprastesni nei „</w:t>
            </w:r>
            <w:proofErr w:type="spellStart"/>
            <w:r w:rsidRPr="00C60838">
              <w:rPr>
                <w:rFonts w:ascii="Times New Roman" w:hAnsi="Times New Roman" w:cs="Times New Roman"/>
              </w:rPr>
              <w:t>Mixed</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use</w:t>
            </w:r>
            <w:proofErr w:type="spellEnd"/>
            <w:r w:rsidRPr="00C60838">
              <w:rPr>
                <w:rFonts w:ascii="Times New Roman" w:hAnsi="Times New Roman" w:cs="Times New Roman"/>
              </w:rPr>
              <w:t xml:space="preserve">“ nemažesnės nei 3TB talpos NVME, karšto keitimo </w:t>
            </w:r>
            <w:proofErr w:type="spellStart"/>
            <w:r w:rsidRPr="00C60838">
              <w:rPr>
                <w:rFonts w:ascii="Times New Roman" w:hAnsi="Times New Roman" w:cs="Times New Roman"/>
              </w:rPr>
              <w:t>Hot-plug</w:t>
            </w:r>
            <w:proofErr w:type="spellEnd"/>
            <w:r w:rsidRPr="00C60838">
              <w:rPr>
                <w:rFonts w:ascii="Times New Roman" w:hAnsi="Times New Roman" w:cs="Times New Roman"/>
              </w:rPr>
              <w:t xml:space="preserve"> diskai. Turi būti 2 vnt. laisvų diskų nišų.</w:t>
            </w:r>
          </w:p>
        </w:tc>
      </w:tr>
      <w:tr w:rsidR="00922DC5" w:rsidRPr="00C60838" w14:paraId="752DF3E9" w14:textId="77777777" w:rsidTr="00922DC5">
        <w:trPr>
          <w:trHeight w:val="320"/>
        </w:trPr>
        <w:tc>
          <w:tcPr>
            <w:tcW w:w="1017" w:type="dxa"/>
            <w:tcBorders>
              <w:top w:val="nil"/>
              <w:left w:val="single" w:sz="4" w:space="0" w:color="auto"/>
              <w:bottom w:val="single" w:sz="4" w:space="0" w:color="auto"/>
              <w:right w:val="single" w:sz="4" w:space="0" w:color="auto"/>
            </w:tcBorders>
            <w:hideMark/>
          </w:tcPr>
          <w:p w14:paraId="1EE0ECA4"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D0D0D" w:themeColor="text1" w:themeTint="F2"/>
                <w:lang w:eastAsia="lt-LT"/>
              </w:rPr>
            </w:pPr>
          </w:p>
        </w:tc>
        <w:tc>
          <w:tcPr>
            <w:tcW w:w="1808" w:type="dxa"/>
            <w:tcBorders>
              <w:top w:val="nil"/>
              <w:left w:val="nil"/>
              <w:bottom w:val="single" w:sz="4" w:space="0" w:color="auto"/>
              <w:right w:val="single" w:sz="4" w:space="0" w:color="auto"/>
            </w:tcBorders>
            <w:hideMark/>
          </w:tcPr>
          <w:p w14:paraId="35E31F87" w14:textId="77777777" w:rsidR="00922DC5" w:rsidRPr="00C60838" w:rsidRDefault="00922DC5" w:rsidP="00362777">
            <w:pPr>
              <w:spacing w:after="0" w:line="240" w:lineRule="auto"/>
              <w:jc w:val="center"/>
              <w:rPr>
                <w:rFonts w:ascii="Times New Roman" w:eastAsia="Times New Roman" w:hAnsi="Times New Roman" w:cs="Times New Roman"/>
                <w:color w:val="0D0D0D" w:themeColor="text1" w:themeTint="F2"/>
                <w:lang w:eastAsia="lt-LT"/>
              </w:rPr>
            </w:pPr>
            <w:r w:rsidRPr="00C60838">
              <w:rPr>
                <w:rFonts w:ascii="Times New Roman" w:eastAsia="Times New Roman" w:hAnsi="Times New Roman" w:cs="Times New Roman"/>
                <w:color w:val="0D0D0D" w:themeColor="text1" w:themeTint="F2"/>
                <w:lang w:eastAsia="lt-LT"/>
              </w:rPr>
              <w:t xml:space="preserve">Grafiniai </w:t>
            </w:r>
            <w:proofErr w:type="spellStart"/>
            <w:r w:rsidRPr="00C60838">
              <w:rPr>
                <w:rFonts w:ascii="Times New Roman" w:eastAsia="Times New Roman" w:hAnsi="Times New Roman" w:cs="Times New Roman"/>
                <w:color w:val="0D0D0D" w:themeColor="text1" w:themeTint="F2"/>
                <w:lang w:eastAsia="lt-LT"/>
              </w:rPr>
              <w:t>spartintuvai</w:t>
            </w:r>
            <w:proofErr w:type="spellEnd"/>
            <w:r w:rsidRPr="00C60838">
              <w:rPr>
                <w:rFonts w:ascii="Times New Roman" w:eastAsia="Times New Roman" w:hAnsi="Times New Roman" w:cs="Times New Roman"/>
                <w:color w:val="0D0D0D" w:themeColor="text1" w:themeTint="F2"/>
                <w:lang w:eastAsia="lt-LT"/>
              </w:rPr>
              <w:t xml:space="preserve"> (GPU)</w:t>
            </w:r>
          </w:p>
        </w:tc>
        <w:tc>
          <w:tcPr>
            <w:tcW w:w="7938" w:type="dxa"/>
            <w:tcBorders>
              <w:top w:val="nil"/>
              <w:left w:val="nil"/>
              <w:bottom w:val="single" w:sz="4" w:space="0" w:color="auto"/>
              <w:right w:val="single" w:sz="4" w:space="0" w:color="auto"/>
            </w:tcBorders>
            <w:hideMark/>
          </w:tcPr>
          <w:p w14:paraId="653D509D" w14:textId="4095F4E7" w:rsidR="00922DC5" w:rsidRPr="00C60838" w:rsidRDefault="00922DC5" w:rsidP="00362777">
            <w:pPr>
              <w:spacing w:after="0" w:line="240" w:lineRule="auto"/>
              <w:jc w:val="both"/>
              <w:rPr>
                <w:rFonts w:ascii="Times New Roman" w:eastAsia="Times New Roman" w:hAnsi="Times New Roman" w:cs="Times New Roman"/>
                <w:color w:val="0D0D0D" w:themeColor="text1" w:themeTint="F2"/>
                <w:lang w:eastAsia="lt-LT"/>
              </w:rPr>
            </w:pPr>
            <w:r w:rsidRPr="00C60838">
              <w:rPr>
                <w:rFonts w:ascii="Times New Roman" w:eastAsia="Times New Roman" w:hAnsi="Times New Roman" w:cs="Times New Roman"/>
                <w:color w:val="0D0D0D" w:themeColor="text1" w:themeTint="F2"/>
                <w:lang w:eastAsia="lt-LT"/>
              </w:rPr>
              <w:t>1. Tarnybinė stotis turi būti komplektuojama su ne mažiau 4 vnt. GPU akseleratorių, kurių kiekvienas turi turėti:</w:t>
            </w:r>
          </w:p>
          <w:p w14:paraId="7C4A7751" w14:textId="77777777" w:rsidR="00922DC5" w:rsidRPr="00C60838" w:rsidRDefault="00922DC5" w:rsidP="007E08D9">
            <w:pPr>
              <w:pStyle w:val="ListParagraph"/>
              <w:numPr>
                <w:ilvl w:val="0"/>
                <w:numId w:val="4"/>
              </w:numPr>
              <w:spacing w:after="0" w:line="240" w:lineRule="auto"/>
              <w:jc w:val="both"/>
              <w:rPr>
                <w:rFonts w:ascii="Times New Roman" w:eastAsia="Times New Roman" w:hAnsi="Times New Roman" w:cs="Times New Roman"/>
                <w:color w:val="0D0D0D" w:themeColor="text1" w:themeTint="F2"/>
                <w:lang w:eastAsia="lt-LT"/>
              </w:rPr>
            </w:pPr>
            <w:r w:rsidRPr="00C60838">
              <w:rPr>
                <w:rFonts w:ascii="Times New Roman" w:eastAsia="Times New Roman" w:hAnsi="Times New Roman" w:cs="Times New Roman"/>
                <w:color w:val="0D0D0D" w:themeColor="text1" w:themeTint="F2"/>
                <w:lang w:eastAsia="lt-LT"/>
              </w:rPr>
              <w:t>Ne mažiau kaip 140GB atminties, palaikančios ne mažesnį negu 4,5TB/s pralaidumą.</w:t>
            </w:r>
          </w:p>
          <w:p w14:paraId="4FD047ED" w14:textId="77777777" w:rsidR="00922DC5" w:rsidRPr="00C60838" w:rsidRDefault="00922DC5" w:rsidP="007E08D9">
            <w:pPr>
              <w:pStyle w:val="ListParagraph"/>
              <w:numPr>
                <w:ilvl w:val="0"/>
                <w:numId w:val="4"/>
              </w:numPr>
              <w:spacing w:after="0" w:line="240" w:lineRule="auto"/>
              <w:jc w:val="both"/>
              <w:rPr>
                <w:rFonts w:ascii="Times New Roman" w:eastAsia="Times New Roman" w:hAnsi="Times New Roman" w:cs="Times New Roman"/>
                <w:color w:val="0D0D0D" w:themeColor="text1" w:themeTint="F2"/>
                <w:lang w:eastAsia="lt-LT"/>
              </w:rPr>
            </w:pPr>
            <w:r w:rsidRPr="00C60838">
              <w:rPr>
                <w:rFonts w:ascii="Times New Roman" w:eastAsia="Times New Roman" w:hAnsi="Times New Roman" w:cs="Times New Roman"/>
                <w:color w:val="0D0D0D" w:themeColor="text1" w:themeTint="F2"/>
                <w:lang w:eastAsia="lt-LT"/>
              </w:rPr>
              <w:t>Ne mažiau kaip 30TFLOP FP64 skaičiavimo galios ir ne mažiau kaip 60TFLOP FP32 skaičiavimo galios.</w:t>
            </w:r>
          </w:p>
          <w:p w14:paraId="04641F5A" w14:textId="77777777" w:rsidR="00922DC5" w:rsidRPr="00C60838" w:rsidRDefault="00922DC5" w:rsidP="007E08D9">
            <w:pPr>
              <w:pStyle w:val="ListParagraph"/>
              <w:numPr>
                <w:ilvl w:val="0"/>
                <w:numId w:val="4"/>
              </w:numPr>
              <w:spacing w:after="0" w:line="240" w:lineRule="auto"/>
              <w:jc w:val="both"/>
              <w:rPr>
                <w:rFonts w:ascii="Times New Roman" w:eastAsia="Times New Roman" w:hAnsi="Times New Roman" w:cs="Times New Roman"/>
                <w:color w:val="0D0D0D" w:themeColor="text1" w:themeTint="F2"/>
                <w:lang w:eastAsia="lt-LT"/>
              </w:rPr>
            </w:pPr>
            <w:r w:rsidRPr="00C60838">
              <w:rPr>
                <w:rFonts w:ascii="Times New Roman" w:eastAsia="Times New Roman" w:hAnsi="Times New Roman" w:cs="Times New Roman"/>
                <w:color w:val="0D0D0D" w:themeColor="text1" w:themeTint="F2"/>
                <w:lang w:eastAsia="lt-LT"/>
              </w:rPr>
              <w:t>Ne mažiau 7 vnt. NVDEC ir ne mažiau 7 vnt. JPEG arba lygiavertės technologijos dekoderius.</w:t>
            </w:r>
          </w:p>
          <w:p w14:paraId="1013616B" w14:textId="77777777" w:rsidR="00922DC5" w:rsidRPr="00C60838" w:rsidRDefault="00922DC5" w:rsidP="00362777">
            <w:pPr>
              <w:spacing w:after="0" w:line="240" w:lineRule="auto"/>
              <w:jc w:val="both"/>
              <w:rPr>
                <w:rFonts w:ascii="Times New Roman" w:eastAsia="Times New Roman" w:hAnsi="Times New Roman" w:cs="Times New Roman"/>
                <w:color w:val="0D0D0D" w:themeColor="text1" w:themeTint="F2"/>
                <w:lang w:eastAsia="lt-LT"/>
              </w:rPr>
            </w:pPr>
            <w:r w:rsidRPr="00C60838">
              <w:rPr>
                <w:rFonts w:ascii="Times New Roman" w:eastAsia="Times New Roman" w:hAnsi="Times New Roman" w:cs="Times New Roman"/>
                <w:color w:val="0D0D0D" w:themeColor="text1" w:themeTint="F2"/>
                <w:lang w:eastAsia="lt-LT"/>
              </w:rPr>
              <w:t xml:space="preserve">2. Turi būti galimybė išskirti GPU atminties resursus tiek į atskirus GPU (fiziškai atskirti GPU), tiek į skirtingas jų kombinacijas (angl. </w:t>
            </w:r>
            <w:proofErr w:type="spellStart"/>
            <w:r w:rsidRPr="00C60838">
              <w:rPr>
                <w:rFonts w:ascii="Times New Roman" w:eastAsia="Times New Roman" w:hAnsi="Times New Roman" w:cs="Times New Roman"/>
                <w:color w:val="0D0D0D" w:themeColor="text1" w:themeTint="F2"/>
                <w:lang w:eastAsia="lt-LT"/>
              </w:rPr>
              <w:t>Multi-Instance</w:t>
            </w:r>
            <w:proofErr w:type="spellEnd"/>
            <w:r w:rsidRPr="00C60838">
              <w:rPr>
                <w:rFonts w:ascii="Times New Roman" w:eastAsia="Times New Roman" w:hAnsi="Times New Roman" w:cs="Times New Roman"/>
                <w:color w:val="0D0D0D" w:themeColor="text1" w:themeTint="F2"/>
                <w:lang w:eastAsia="lt-LT"/>
              </w:rPr>
              <w:t xml:space="preserve"> GPU). Skirtingų kombinacijų galimas kiekis viename GPU – ne mažiau 7 vnt.</w:t>
            </w:r>
          </w:p>
          <w:p w14:paraId="528CEF4E" w14:textId="7CF89E65" w:rsidR="00922DC5" w:rsidRPr="00C60838" w:rsidRDefault="00922DC5" w:rsidP="00362777">
            <w:pPr>
              <w:spacing w:after="0" w:line="240" w:lineRule="auto"/>
              <w:jc w:val="both"/>
              <w:rPr>
                <w:rFonts w:ascii="Times New Roman" w:eastAsia="Times New Roman" w:hAnsi="Times New Roman" w:cs="Times New Roman"/>
                <w:color w:val="0D0D0D" w:themeColor="text1" w:themeTint="F2"/>
                <w:lang w:eastAsia="lt-LT"/>
              </w:rPr>
            </w:pPr>
            <w:r w:rsidRPr="00C60838">
              <w:rPr>
                <w:rFonts w:ascii="Times New Roman" w:eastAsia="Times New Roman" w:hAnsi="Times New Roman" w:cs="Times New Roman"/>
                <w:color w:val="0D0D0D" w:themeColor="text1" w:themeTint="F2"/>
                <w:lang w:eastAsia="lt-LT"/>
              </w:rPr>
              <w:t xml:space="preserve">3. GPU akseleratoriai tarnybinėje stotyje turi būti apjungti į dvi grupes po 2 vnt. naudojant ne lėtesnę kaip 900GB/s dvikryptę (angl. </w:t>
            </w:r>
            <w:proofErr w:type="spellStart"/>
            <w:r w:rsidRPr="00C60838">
              <w:rPr>
                <w:rFonts w:ascii="Times New Roman" w:eastAsia="Times New Roman" w:hAnsi="Times New Roman" w:cs="Times New Roman"/>
                <w:color w:val="0D0D0D" w:themeColor="text1" w:themeTint="F2"/>
                <w:lang w:eastAsia="lt-LT"/>
              </w:rPr>
              <w:t>bi-direction</w:t>
            </w:r>
            <w:proofErr w:type="spellEnd"/>
            <w:r w:rsidRPr="00C60838">
              <w:rPr>
                <w:rFonts w:ascii="Times New Roman" w:eastAsia="Times New Roman" w:hAnsi="Times New Roman" w:cs="Times New Roman"/>
                <w:color w:val="0D0D0D" w:themeColor="text1" w:themeTint="F2"/>
                <w:lang w:eastAsia="lt-LT"/>
              </w:rPr>
              <w:t>) sąsają.</w:t>
            </w:r>
          </w:p>
          <w:p w14:paraId="03C56E56" w14:textId="77777777" w:rsidR="00922DC5" w:rsidRPr="00C60838" w:rsidRDefault="00922DC5" w:rsidP="00362777">
            <w:pPr>
              <w:spacing w:after="0" w:line="240" w:lineRule="auto"/>
              <w:jc w:val="both"/>
              <w:rPr>
                <w:rFonts w:ascii="Times New Roman" w:eastAsia="Times New Roman" w:hAnsi="Times New Roman" w:cs="Times New Roman"/>
                <w:color w:val="0D0D0D" w:themeColor="text1" w:themeTint="F2"/>
                <w:lang w:eastAsia="lt-LT"/>
              </w:rPr>
            </w:pPr>
            <w:r w:rsidRPr="00C60838">
              <w:rPr>
                <w:rFonts w:ascii="Times New Roman" w:eastAsia="Times New Roman" w:hAnsi="Times New Roman" w:cs="Times New Roman"/>
                <w:color w:val="0D0D0D" w:themeColor="text1" w:themeTint="F2"/>
                <w:lang w:eastAsia="lt-LT"/>
              </w:rPr>
              <w:t xml:space="preserve">4. Kiekvienas komplektuojamas GPU akseleratorius turi turėti programinės įrangos paketą, kuris leistų priskirti GPU resursus virtualioms mašinoms ar konteineriams naudojant C-serijos arba lygiaverčius profilius. Virtualios aplinkos GPU valdiklis (angl. </w:t>
            </w:r>
            <w:proofErr w:type="spellStart"/>
            <w:r w:rsidRPr="00C60838">
              <w:rPr>
                <w:rFonts w:ascii="Times New Roman" w:eastAsia="Times New Roman" w:hAnsi="Times New Roman" w:cs="Times New Roman"/>
                <w:color w:val="0D0D0D" w:themeColor="text1" w:themeTint="F2"/>
                <w:lang w:eastAsia="lt-LT"/>
              </w:rPr>
              <w:t>Virtual</w:t>
            </w:r>
            <w:proofErr w:type="spellEnd"/>
            <w:r w:rsidRPr="00C60838">
              <w:rPr>
                <w:rFonts w:ascii="Times New Roman" w:eastAsia="Times New Roman" w:hAnsi="Times New Roman" w:cs="Times New Roman"/>
                <w:color w:val="0D0D0D" w:themeColor="text1" w:themeTint="F2"/>
                <w:lang w:eastAsia="lt-LT"/>
              </w:rPr>
              <w:t xml:space="preserve"> GPU Manager) kartu su </w:t>
            </w:r>
            <w:proofErr w:type="spellStart"/>
            <w:r w:rsidRPr="00C60838">
              <w:rPr>
                <w:rFonts w:ascii="Times New Roman" w:eastAsia="Times New Roman" w:hAnsi="Times New Roman" w:cs="Times New Roman"/>
                <w:color w:val="0D0D0D" w:themeColor="text1" w:themeTint="F2"/>
                <w:lang w:eastAsia="lt-LT"/>
              </w:rPr>
              <w:t>draiveriais</w:t>
            </w:r>
            <w:proofErr w:type="spellEnd"/>
            <w:r w:rsidRPr="00C60838">
              <w:rPr>
                <w:rFonts w:ascii="Times New Roman" w:eastAsia="Times New Roman" w:hAnsi="Times New Roman" w:cs="Times New Roman"/>
                <w:color w:val="0D0D0D" w:themeColor="text1" w:themeTint="F2"/>
                <w:lang w:eastAsia="lt-LT"/>
              </w:rPr>
              <w:t xml:space="preserve"> turi būti pasiekiamas iš GPU gamintojo katalogo visą tarnybinės stoties garantijos laikotarpį.</w:t>
            </w:r>
          </w:p>
          <w:p w14:paraId="09A4F52C" w14:textId="77777777" w:rsidR="00922DC5" w:rsidRPr="00C60838" w:rsidRDefault="00922DC5" w:rsidP="00362777">
            <w:pPr>
              <w:spacing w:after="0" w:line="240" w:lineRule="auto"/>
              <w:jc w:val="both"/>
              <w:rPr>
                <w:rFonts w:ascii="Times New Roman" w:eastAsia="Times New Roman" w:hAnsi="Times New Roman" w:cs="Times New Roman"/>
                <w:color w:val="0D0D0D" w:themeColor="text1" w:themeTint="F2"/>
                <w:lang w:eastAsia="lt-LT"/>
              </w:rPr>
            </w:pPr>
            <w:r w:rsidRPr="00C60838">
              <w:rPr>
                <w:rFonts w:ascii="Times New Roman" w:eastAsia="Times New Roman" w:hAnsi="Times New Roman" w:cs="Times New Roman"/>
                <w:color w:val="0D0D0D" w:themeColor="text1" w:themeTint="F2"/>
                <w:lang w:eastAsia="lt-LT"/>
              </w:rPr>
              <w:t>5. Tarnybinė stotis turi būti kvalifikuota (</w:t>
            </w:r>
            <w:proofErr w:type="spellStart"/>
            <w:r w:rsidRPr="00C60838">
              <w:rPr>
                <w:rFonts w:ascii="Times New Roman" w:eastAsia="Times New Roman" w:hAnsi="Times New Roman" w:cs="Times New Roman"/>
                <w:color w:val="0D0D0D" w:themeColor="text1" w:themeTint="F2"/>
                <w:lang w:eastAsia="lt-LT"/>
              </w:rPr>
              <w:t>angl</w:t>
            </w:r>
            <w:proofErr w:type="spellEnd"/>
            <w:r w:rsidRPr="00C60838">
              <w:rPr>
                <w:rFonts w:ascii="Times New Roman" w:eastAsia="Times New Roman" w:hAnsi="Times New Roman" w:cs="Times New Roman"/>
                <w:color w:val="0D0D0D" w:themeColor="text1" w:themeTint="F2"/>
                <w:lang w:eastAsia="lt-LT"/>
              </w:rPr>
              <w:t xml:space="preserve"> </w:t>
            </w:r>
            <w:proofErr w:type="spellStart"/>
            <w:r w:rsidRPr="00C60838">
              <w:rPr>
                <w:rFonts w:ascii="Times New Roman" w:eastAsia="Times New Roman" w:hAnsi="Times New Roman" w:cs="Times New Roman"/>
                <w:color w:val="0D0D0D" w:themeColor="text1" w:themeTint="F2"/>
                <w:lang w:eastAsia="lt-LT"/>
              </w:rPr>
              <w:t>Qualified</w:t>
            </w:r>
            <w:proofErr w:type="spellEnd"/>
            <w:r w:rsidRPr="00C60838">
              <w:rPr>
                <w:rFonts w:ascii="Times New Roman" w:eastAsia="Times New Roman" w:hAnsi="Times New Roman" w:cs="Times New Roman"/>
                <w:color w:val="0D0D0D" w:themeColor="text1" w:themeTint="F2"/>
                <w:lang w:eastAsia="lt-LT"/>
              </w:rPr>
              <w:t xml:space="preserve">) arba sertifikuota (angl. </w:t>
            </w:r>
            <w:proofErr w:type="spellStart"/>
            <w:r w:rsidRPr="00C60838">
              <w:rPr>
                <w:rFonts w:ascii="Times New Roman" w:eastAsia="Times New Roman" w:hAnsi="Times New Roman" w:cs="Times New Roman"/>
                <w:color w:val="0D0D0D" w:themeColor="text1" w:themeTint="F2"/>
                <w:lang w:eastAsia="lt-LT"/>
              </w:rPr>
              <w:t>Certified</w:t>
            </w:r>
            <w:proofErr w:type="spellEnd"/>
            <w:r w:rsidRPr="00C60838">
              <w:rPr>
                <w:rFonts w:ascii="Times New Roman" w:eastAsia="Times New Roman" w:hAnsi="Times New Roman" w:cs="Times New Roman"/>
                <w:color w:val="0D0D0D" w:themeColor="text1" w:themeTint="F2"/>
                <w:lang w:eastAsia="lt-LT"/>
              </w:rPr>
              <w:t>) siūlomų GPU akseleratorių gamintojo darbui su 4 vnt. komplektuojamų GPU akseleratorių ir 2 vnt. komplektuojamų procesorių. Turi būti pateikiama nuoroda į GPU akseleratorių gamintojo svetainę, kurioje nurodytas konkretus tarnybinės stoties modelis, GPU akseleratorių modelis bei procesorių šeima.</w:t>
            </w:r>
          </w:p>
          <w:p w14:paraId="48269B67" w14:textId="00F0B0CD" w:rsidR="00922DC5" w:rsidRPr="00C60838" w:rsidRDefault="00922DC5" w:rsidP="00362777">
            <w:pPr>
              <w:spacing w:after="0" w:line="240" w:lineRule="auto"/>
              <w:jc w:val="both"/>
              <w:rPr>
                <w:rFonts w:ascii="Times New Roman" w:eastAsia="Times New Roman" w:hAnsi="Times New Roman" w:cs="Times New Roman"/>
                <w:color w:val="0D0D0D" w:themeColor="text1" w:themeTint="F2"/>
                <w:lang w:eastAsia="lt-LT"/>
              </w:rPr>
            </w:pPr>
            <w:r w:rsidRPr="00C60838">
              <w:rPr>
                <w:rFonts w:ascii="Times New Roman" w:eastAsia="Times New Roman" w:hAnsi="Times New Roman" w:cs="Times New Roman"/>
                <w:color w:val="0D0D0D" w:themeColor="text1" w:themeTint="F2"/>
                <w:lang w:eastAsia="lt-LT"/>
              </w:rPr>
              <w:t>6. Tarnybinė stotis turi būti kvalifikuota (</w:t>
            </w:r>
            <w:proofErr w:type="spellStart"/>
            <w:r w:rsidRPr="00C60838">
              <w:rPr>
                <w:rFonts w:ascii="Times New Roman" w:eastAsia="Times New Roman" w:hAnsi="Times New Roman" w:cs="Times New Roman"/>
                <w:color w:val="0D0D0D" w:themeColor="text1" w:themeTint="F2"/>
                <w:lang w:eastAsia="lt-LT"/>
              </w:rPr>
              <w:t>angl</w:t>
            </w:r>
            <w:proofErr w:type="spellEnd"/>
            <w:r w:rsidRPr="00C60838">
              <w:rPr>
                <w:rFonts w:ascii="Times New Roman" w:eastAsia="Times New Roman" w:hAnsi="Times New Roman" w:cs="Times New Roman"/>
                <w:color w:val="0D0D0D" w:themeColor="text1" w:themeTint="F2"/>
                <w:lang w:eastAsia="lt-LT"/>
              </w:rPr>
              <w:t xml:space="preserve"> </w:t>
            </w:r>
            <w:proofErr w:type="spellStart"/>
            <w:r w:rsidRPr="00C60838">
              <w:rPr>
                <w:rFonts w:ascii="Times New Roman" w:eastAsia="Times New Roman" w:hAnsi="Times New Roman" w:cs="Times New Roman"/>
                <w:color w:val="0D0D0D" w:themeColor="text1" w:themeTint="F2"/>
                <w:lang w:eastAsia="lt-LT"/>
              </w:rPr>
              <w:t>Qualified</w:t>
            </w:r>
            <w:proofErr w:type="spellEnd"/>
            <w:r w:rsidRPr="00C60838">
              <w:rPr>
                <w:rFonts w:ascii="Times New Roman" w:eastAsia="Times New Roman" w:hAnsi="Times New Roman" w:cs="Times New Roman"/>
                <w:color w:val="0D0D0D" w:themeColor="text1" w:themeTint="F2"/>
                <w:lang w:eastAsia="lt-LT"/>
              </w:rPr>
              <w:t xml:space="preserve">) arba sertifikuota (angl. </w:t>
            </w:r>
            <w:proofErr w:type="spellStart"/>
            <w:r w:rsidRPr="00C60838">
              <w:rPr>
                <w:rFonts w:ascii="Times New Roman" w:eastAsia="Times New Roman" w:hAnsi="Times New Roman" w:cs="Times New Roman"/>
                <w:color w:val="0D0D0D" w:themeColor="text1" w:themeTint="F2"/>
                <w:lang w:eastAsia="lt-LT"/>
              </w:rPr>
              <w:t>Certified</w:t>
            </w:r>
            <w:proofErr w:type="spellEnd"/>
            <w:r w:rsidRPr="00C60838">
              <w:rPr>
                <w:rFonts w:ascii="Times New Roman" w:eastAsia="Times New Roman" w:hAnsi="Times New Roman" w:cs="Times New Roman"/>
                <w:color w:val="0D0D0D" w:themeColor="text1" w:themeTint="F2"/>
                <w:lang w:eastAsia="lt-LT"/>
              </w:rPr>
              <w:t>) siūlomų GPU akseleratorių gamintojo darbui su 8 vnt. komplektuojamų GPU akseleratorių ir 2 vnt. komplektuojamų procesorių. Turi būti pateikiama nuoroda į GPU akseleratorių gamintojo svetainę, kurioje nurodytas konkretus tarnybinės stoties modelis, GPU akseleratorių modelis bei procesorių šeima.</w:t>
            </w:r>
          </w:p>
        </w:tc>
      </w:tr>
      <w:tr w:rsidR="00922DC5" w:rsidRPr="00C60838" w14:paraId="03EED12C" w14:textId="77777777" w:rsidTr="00922DC5">
        <w:trPr>
          <w:trHeight w:val="100"/>
        </w:trPr>
        <w:tc>
          <w:tcPr>
            <w:tcW w:w="1017" w:type="dxa"/>
            <w:tcBorders>
              <w:top w:val="nil"/>
              <w:left w:val="single" w:sz="4" w:space="0" w:color="auto"/>
              <w:bottom w:val="single" w:sz="4" w:space="0" w:color="auto"/>
              <w:right w:val="single" w:sz="4" w:space="0" w:color="auto"/>
            </w:tcBorders>
            <w:hideMark/>
          </w:tcPr>
          <w:p w14:paraId="542D9FA0" w14:textId="77777777" w:rsidR="00922DC5" w:rsidRPr="00C60838" w:rsidRDefault="00922DC5" w:rsidP="00822394">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hideMark/>
          </w:tcPr>
          <w:p w14:paraId="7551A63F" w14:textId="13BAC45A" w:rsidR="00922DC5" w:rsidRPr="00C60838" w:rsidRDefault="00922DC5" w:rsidP="00822394">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Tarnybinės stoties plečiamumas:</w:t>
            </w:r>
          </w:p>
        </w:tc>
        <w:tc>
          <w:tcPr>
            <w:tcW w:w="7938" w:type="dxa"/>
            <w:tcBorders>
              <w:top w:val="nil"/>
              <w:left w:val="nil"/>
              <w:bottom w:val="single" w:sz="4" w:space="0" w:color="auto"/>
              <w:right w:val="single" w:sz="4" w:space="0" w:color="auto"/>
            </w:tcBorders>
            <w:hideMark/>
          </w:tcPr>
          <w:p w14:paraId="69216C96" w14:textId="1C0AF03B" w:rsidR="00922DC5" w:rsidRPr="00C60838" w:rsidRDefault="00922DC5" w:rsidP="00822394">
            <w:pPr>
              <w:spacing w:after="0" w:line="240" w:lineRule="auto"/>
              <w:jc w:val="both"/>
              <w:rPr>
                <w:rFonts w:ascii="Times New Roman" w:eastAsia="Times New Roman" w:hAnsi="Times New Roman" w:cs="Times New Roman"/>
                <w:color w:val="000000"/>
                <w:highlight w:val="yellow"/>
                <w:lang w:eastAsia="lt-LT"/>
              </w:rPr>
            </w:pPr>
            <w:r w:rsidRPr="00C60838">
              <w:rPr>
                <w:rFonts w:ascii="Times New Roman" w:eastAsia="Times New Roman" w:hAnsi="Times New Roman" w:cs="Times New Roman"/>
                <w:color w:val="000000"/>
                <w:lang w:eastAsia="lt-LT"/>
              </w:rPr>
              <w:t>Turi būti galimybė išplėsti tarnybinę stoti keturiais papildomais (analogiškais siūlomiems) GPU akseleratoriais be papildomų tarnybinės stoties komponentų (</w:t>
            </w:r>
            <w:proofErr w:type="spellStart"/>
            <w:r w:rsidRPr="00C60838">
              <w:rPr>
                <w:rFonts w:ascii="Times New Roman" w:eastAsia="Times New Roman" w:hAnsi="Times New Roman" w:cs="Times New Roman"/>
                <w:color w:val="000000"/>
                <w:lang w:eastAsia="lt-LT"/>
              </w:rPr>
              <w:t>backplane</w:t>
            </w:r>
            <w:proofErr w:type="spellEnd"/>
            <w:r w:rsidRPr="00C60838">
              <w:rPr>
                <w:rFonts w:ascii="Times New Roman" w:eastAsia="Times New Roman" w:hAnsi="Times New Roman" w:cs="Times New Roman"/>
                <w:color w:val="000000"/>
                <w:lang w:eastAsia="lt-LT"/>
              </w:rPr>
              <w:t xml:space="preserve">, aušinimo sistema, maitinimo šaltiniai) modernizavimo pridedant tik GPU akseleratorius ir GPU akseleratoriaus apjungimus nurodytus pirkimo sąlygų 11 punkte, 3 papunktyje.. </w:t>
            </w:r>
          </w:p>
        </w:tc>
      </w:tr>
      <w:tr w:rsidR="00922DC5" w:rsidRPr="00C60838" w14:paraId="0EDBF4A5" w14:textId="77777777" w:rsidTr="00922DC5">
        <w:trPr>
          <w:trHeight w:val="100"/>
        </w:trPr>
        <w:tc>
          <w:tcPr>
            <w:tcW w:w="1017" w:type="dxa"/>
            <w:tcBorders>
              <w:top w:val="nil"/>
              <w:left w:val="single" w:sz="4" w:space="0" w:color="auto"/>
              <w:bottom w:val="single" w:sz="4" w:space="0" w:color="auto"/>
              <w:right w:val="single" w:sz="4" w:space="0" w:color="auto"/>
            </w:tcBorders>
            <w:hideMark/>
          </w:tcPr>
          <w:p w14:paraId="1CB97E56" w14:textId="77777777" w:rsidR="00922DC5" w:rsidRPr="00C60838" w:rsidRDefault="00922DC5" w:rsidP="008B4D36">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hideMark/>
          </w:tcPr>
          <w:p w14:paraId="13306EB4" w14:textId="0249B32C" w:rsidR="00922DC5" w:rsidRPr="00C60838" w:rsidRDefault="00922DC5" w:rsidP="00822394">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LAN adapteris 1:</w:t>
            </w:r>
          </w:p>
        </w:tc>
        <w:tc>
          <w:tcPr>
            <w:tcW w:w="7938" w:type="dxa"/>
            <w:tcBorders>
              <w:top w:val="nil"/>
              <w:left w:val="nil"/>
              <w:bottom w:val="single" w:sz="4" w:space="0" w:color="auto"/>
              <w:right w:val="single" w:sz="4" w:space="0" w:color="auto"/>
            </w:tcBorders>
            <w:hideMark/>
          </w:tcPr>
          <w:p w14:paraId="4413BCFB" w14:textId="77777777" w:rsidR="00922DC5" w:rsidRPr="00C60838" w:rsidRDefault="00922DC5" w:rsidP="00822394">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Ne mažiau kaip 4 vnt. 25GbE SFP28 tipo prievadų, realizuotų per du atskirus tinklo adapterius. Tinklo plokštės turi palaikyti žemiau įvardintus arba lygiaverčius protokolus:</w:t>
            </w:r>
          </w:p>
          <w:p w14:paraId="4445B340" w14:textId="6FDCFCA6" w:rsidR="00922DC5" w:rsidRPr="00C60838" w:rsidRDefault="00922DC5" w:rsidP="008B4D36">
            <w:pPr>
              <w:pStyle w:val="ListParagraph"/>
              <w:numPr>
                <w:ilvl w:val="0"/>
                <w:numId w:val="6"/>
              </w:numPr>
              <w:tabs>
                <w:tab w:val="left" w:pos="509"/>
              </w:tabs>
              <w:spacing w:after="0" w:line="276" w:lineRule="auto"/>
              <w:ind w:left="32" w:firstLine="0"/>
              <w:jc w:val="both"/>
              <w:rPr>
                <w:rFonts w:ascii="Times New Roman" w:hAnsi="Times New Roman" w:cs="Times New Roman"/>
              </w:rPr>
            </w:pPr>
            <w:r w:rsidRPr="00C60838">
              <w:rPr>
                <w:rFonts w:ascii="Times New Roman" w:hAnsi="Times New Roman" w:cs="Times New Roman"/>
              </w:rPr>
              <w:t xml:space="preserve">RDMA </w:t>
            </w:r>
            <w:proofErr w:type="spellStart"/>
            <w:r w:rsidRPr="00C60838">
              <w:rPr>
                <w:rFonts w:ascii="Times New Roman" w:hAnsi="Times New Roman" w:cs="Times New Roman"/>
              </w:rPr>
              <w:t>over</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Converged</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Ethernet</w:t>
            </w:r>
            <w:proofErr w:type="spellEnd"/>
            <w:r w:rsidRPr="00C60838">
              <w:rPr>
                <w:rFonts w:ascii="Times New Roman" w:hAnsi="Times New Roman" w:cs="Times New Roman"/>
              </w:rPr>
              <w:t xml:space="preserve"> (RoCEv2);</w:t>
            </w:r>
          </w:p>
          <w:p w14:paraId="40FA7A1D" w14:textId="77777777" w:rsidR="00922DC5" w:rsidRPr="00C60838" w:rsidRDefault="00922DC5" w:rsidP="008B4D36">
            <w:pPr>
              <w:pStyle w:val="ListParagraph"/>
              <w:numPr>
                <w:ilvl w:val="0"/>
                <w:numId w:val="6"/>
              </w:numPr>
              <w:tabs>
                <w:tab w:val="left" w:pos="509"/>
              </w:tabs>
              <w:spacing w:after="0" w:line="276" w:lineRule="auto"/>
              <w:ind w:left="32" w:firstLine="0"/>
              <w:jc w:val="both"/>
              <w:rPr>
                <w:rFonts w:ascii="Times New Roman" w:hAnsi="Times New Roman" w:cs="Times New Roman"/>
              </w:rPr>
            </w:pPr>
            <w:r w:rsidRPr="00C60838">
              <w:rPr>
                <w:rFonts w:ascii="Times New Roman" w:hAnsi="Times New Roman" w:cs="Times New Roman"/>
              </w:rPr>
              <w:t xml:space="preserve">TCP/UDP, </w:t>
            </w:r>
            <w:proofErr w:type="spellStart"/>
            <w:r w:rsidRPr="00C60838">
              <w:rPr>
                <w:rFonts w:ascii="Times New Roman" w:hAnsi="Times New Roman" w:cs="Times New Roman"/>
              </w:rPr>
              <w:t>VxLAN</w:t>
            </w:r>
            <w:proofErr w:type="spellEnd"/>
            <w:r w:rsidRPr="00C60838">
              <w:rPr>
                <w:rFonts w:ascii="Times New Roman" w:hAnsi="Times New Roman" w:cs="Times New Roman"/>
              </w:rPr>
              <w:t>, NVGRE, GENEVE;</w:t>
            </w:r>
          </w:p>
          <w:p w14:paraId="642B7889" w14:textId="77777777" w:rsidR="00922DC5" w:rsidRPr="00C60838" w:rsidRDefault="00922DC5" w:rsidP="008B4D36">
            <w:pPr>
              <w:pStyle w:val="ListParagraph"/>
              <w:numPr>
                <w:ilvl w:val="0"/>
                <w:numId w:val="6"/>
              </w:numPr>
              <w:tabs>
                <w:tab w:val="left" w:pos="509"/>
              </w:tabs>
              <w:spacing w:after="0" w:line="276" w:lineRule="auto"/>
              <w:ind w:left="32" w:firstLine="0"/>
              <w:jc w:val="both"/>
              <w:rPr>
                <w:rFonts w:ascii="Times New Roman" w:hAnsi="Times New Roman" w:cs="Times New Roman"/>
              </w:rPr>
            </w:pPr>
            <w:proofErr w:type="spellStart"/>
            <w:r w:rsidRPr="00C60838">
              <w:rPr>
                <w:rFonts w:ascii="Times New Roman" w:hAnsi="Times New Roman" w:cs="Times New Roman"/>
              </w:rPr>
              <w:t>iSER</w:t>
            </w:r>
            <w:proofErr w:type="spellEnd"/>
            <w:r w:rsidRPr="00C60838">
              <w:rPr>
                <w:rFonts w:ascii="Times New Roman" w:hAnsi="Times New Roman" w:cs="Times New Roman"/>
              </w:rPr>
              <w:t xml:space="preserve">, NFS </w:t>
            </w:r>
            <w:proofErr w:type="spellStart"/>
            <w:r w:rsidRPr="00C60838">
              <w:rPr>
                <w:rFonts w:ascii="Times New Roman" w:hAnsi="Times New Roman" w:cs="Times New Roman"/>
              </w:rPr>
              <w:t>over</w:t>
            </w:r>
            <w:proofErr w:type="spellEnd"/>
            <w:r w:rsidRPr="00C60838">
              <w:rPr>
                <w:rFonts w:ascii="Times New Roman" w:hAnsi="Times New Roman" w:cs="Times New Roman"/>
              </w:rPr>
              <w:t xml:space="preserve"> RDMA, SMB </w:t>
            </w:r>
            <w:proofErr w:type="spellStart"/>
            <w:r w:rsidRPr="00C60838">
              <w:rPr>
                <w:rFonts w:ascii="Times New Roman" w:hAnsi="Times New Roman" w:cs="Times New Roman"/>
              </w:rPr>
              <w:t>Direct</w:t>
            </w:r>
            <w:proofErr w:type="spellEnd"/>
            <w:r w:rsidRPr="00C60838">
              <w:rPr>
                <w:rFonts w:ascii="Times New Roman" w:hAnsi="Times New Roman" w:cs="Times New Roman"/>
              </w:rPr>
              <w:t>.</w:t>
            </w:r>
          </w:p>
          <w:p w14:paraId="30E50186" w14:textId="56B3B1EE" w:rsidR="00922DC5" w:rsidRPr="00C60838" w:rsidRDefault="00922DC5" w:rsidP="00822394">
            <w:pPr>
              <w:spacing w:after="0" w:line="240" w:lineRule="auto"/>
              <w:jc w:val="both"/>
              <w:rPr>
                <w:rFonts w:ascii="Times New Roman" w:eastAsia="Times New Roman" w:hAnsi="Times New Roman" w:cs="Times New Roman"/>
                <w:color w:val="000000"/>
                <w:lang w:eastAsia="lt-LT"/>
              </w:rPr>
            </w:pPr>
            <w:r w:rsidRPr="00C60838">
              <w:rPr>
                <w:rFonts w:ascii="Times New Roman" w:hAnsi="Times New Roman" w:cs="Times New Roman"/>
              </w:rPr>
              <w:t>Plokštės turi būti subalansuotos procesorių atžvilgiu. Komplektacijoje turi būti pateikiami SFP28 moduliai, pritaikomi numatomiems optiniams "</w:t>
            </w:r>
            <w:proofErr w:type="spellStart"/>
            <w:r w:rsidRPr="00C60838">
              <w:rPr>
                <w:rFonts w:ascii="Times New Roman" w:hAnsi="Times New Roman" w:cs="Times New Roman"/>
              </w:rPr>
              <w:t>Multi</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Mode</w:t>
            </w:r>
            <w:proofErr w:type="spellEnd"/>
            <w:r w:rsidRPr="00C60838">
              <w:rPr>
                <w:rFonts w:ascii="Times New Roman" w:hAnsi="Times New Roman" w:cs="Times New Roman"/>
              </w:rPr>
              <w:t>" kabeliams su LC tipo jungtimis ir reikiamo ilgio bei tipo kabeliai, skirti siūlomos įrangos prijungimui prie tinklo įrangos.</w:t>
            </w:r>
          </w:p>
        </w:tc>
      </w:tr>
      <w:tr w:rsidR="00922DC5" w:rsidRPr="00C60838" w14:paraId="3368C4B9" w14:textId="77777777" w:rsidTr="00922DC5">
        <w:trPr>
          <w:trHeight w:val="100"/>
        </w:trPr>
        <w:tc>
          <w:tcPr>
            <w:tcW w:w="1017" w:type="dxa"/>
            <w:tcBorders>
              <w:top w:val="nil"/>
              <w:left w:val="single" w:sz="4" w:space="0" w:color="auto"/>
              <w:bottom w:val="single" w:sz="4" w:space="0" w:color="auto"/>
              <w:right w:val="single" w:sz="4" w:space="0" w:color="auto"/>
            </w:tcBorders>
            <w:hideMark/>
          </w:tcPr>
          <w:p w14:paraId="7EF322EF"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hideMark/>
          </w:tcPr>
          <w:p w14:paraId="50901D3D" w14:textId="123E53EA"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LAN adapteris 2:</w:t>
            </w:r>
          </w:p>
        </w:tc>
        <w:tc>
          <w:tcPr>
            <w:tcW w:w="7938" w:type="dxa"/>
            <w:tcBorders>
              <w:top w:val="nil"/>
              <w:left w:val="nil"/>
              <w:bottom w:val="single" w:sz="4" w:space="0" w:color="auto"/>
              <w:right w:val="single" w:sz="4" w:space="0" w:color="auto"/>
            </w:tcBorders>
            <w:hideMark/>
          </w:tcPr>
          <w:p w14:paraId="24722EE6" w14:textId="11241054" w:rsidR="00922DC5" w:rsidRPr="00C60838" w:rsidRDefault="00922DC5" w:rsidP="008B4D36">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Ne mažiau kaip 2 vnt. 100GbE greitaveikos prievadų.</w:t>
            </w:r>
          </w:p>
          <w:p w14:paraId="4B7DE17B" w14:textId="77777777" w:rsidR="00922DC5" w:rsidRPr="00C60838" w:rsidRDefault="00922DC5" w:rsidP="00630EE4">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Tinklo plokštės turi palaikyti žemiau įvardintus arba lygiaverčius protokolus:</w:t>
            </w:r>
          </w:p>
          <w:p w14:paraId="374000CE" w14:textId="11D3B577" w:rsidR="00922DC5" w:rsidRPr="00C60838" w:rsidRDefault="00922DC5" w:rsidP="00630EE4">
            <w:pPr>
              <w:pStyle w:val="ListParagraph"/>
              <w:numPr>
                <w:ilvl w:val="0"/>
                <w:numId w:val="6"/>
              </w:numPr>
              <w:tabs>
                <w:tab w:val="left" w:pos="509"/>
              </w:tabs>
              <w:spacing w:after="0" w:line="276" w:lineRule="auto"/>
              <w:ind w:left="32" w:firstLine="0"/>
              <w:jc w:val="both"/>
              <w:rPr>
                <w:rFonts w:ascii="Times New Roman" w:hAnsi="Times New Roman" w:cs="Times New Roman"/>
              </w:rPr>
            </w:pPr>
            <w:r w:rsidRPr="00C60838">
              <w:rPr>
                <w:rFonts w:ascii="Times New Roman" w:hAnsi="Times New Roman" w:cs="Times New Roman"/>
              </w:rPr>
              <w:t xml:space="preserve">RDMA </w:t>
            </w:r>
            <w:proofErr w:type="spellStart"/>
            <w:r w:rsidRPr="00C60838">
              <w:rPr>
                <w:rFonts w:ascii="Times New Roman" w:hAnsi="Times New Roman" w:cs="Times New Roman"/>
              </w:rPr>
              <w:t>over</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Converged</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Ethernet</w:t>
            </w:r>
            <w:proofErr w:type="spellEnd"/>
            <w:r w:rsidRPr="00C60838">
              <w:rPr>
                <w:rFonts w:ascii="Times New Roman" w:hAnsi="Times New Roman" w:cs="Times New Roman"/>
              </w:rPr>
              <w:t xml:space="preserve"> (RoCEv2);</w:t>
            </w:r>
          </w:p>
          <w:p w14:paraId="2D6B9F80" w14:textId="77777777" w:rsidR="00922DC5" w:rsidRPr="00C60838" w:rsidRDefault="00922DC5" w:rsidP="00630EE4">
            <w:pPr>
              <w:pStyle w:val="ListParagraph"/>
              <w:numPr>
                <w:ilvl w:val="0"/>
                <w:numId w:val="6"/>
              </w:numPr>
              <w:tabs>
                <w:tab w:val="left" w:pos="509"/>
              </w:tabs>
              <w:spacing w:after="0" w:line="276" w:lineRule="auto"/>
              <w:ind w:left="32" w:firstLine="0"/>
              <w:jc w:val="both"/>
              <w:rPr>
                <w:rFonts w:ascii="Times New Roman" w:hAnsi="Times New Roman" w:cs="Times New Roman"/>
              </w:rPr>
            </w:pPr>
            <w:r w:rsidRPr="00C60838">
              <w:rPr>
                <w:rFonts w:ascii="Times New Roman" w:hAnsi="Times New Roman" w:cs="Times New Roman"/>
              </w:rPr>
              <w:t xml:space="preserve">TCP/UDP, </w:t>
            </w:r>
            <w:proofErr w:type="spellStart"/>
            <w:r w:rsidRPr="00C60838">
              <w:rPr>
                <w:rFonts w:ascii="Times New Roman" w:hAnsi="Times New Roman" w:cs="Times New Roman"/>
              </w:rPr>
              <w:t>VxLAN</w:t>
            </w:r>
            <w:proofErr w:type="spellEnd"/>
            <w:r w:rsidRPr="00C60838">
              <w:rPr>
                <w:rFonts w:ascii="Times New Roman" w:hAnsi="Times New Roman" w:cs="Times New Roman"/>
              </w:rPr>
              <w:t>, NVGRE, GENEVE;</w:t>
            </w:r>
          </w:p>
          <w:p w14:paraId="016A445D" w14:textId="09D7EB5A" w:rsidR="00922DC5" w:rsidRPr="00C60838" w:rsidRDefault="00922DC5" w:rsidP="00630EE4">
            <w:pPr>
              <w:spacing w:after="0" w:line="240" w:lineRule="auto"/>
              <w:jc w:val="both"/>
              <w:rPr>
                <w:rFonts w:ascii="Times New Roman" w:eastAsia="Times New Roman" w:hAnsi="Times New Roman" w:cs="Times New Roman"/>
                <w:color w:val="000000"/>
                <w:lang w:eastAsia="lt-LT"/>
              </w:rPr>
            </w:pPr>
            <w:r w:rsidRPr="00C60838">
              <w:rPr>
                <w:rFonts w:ascii="Times New Roman" w:hAnsi="Times New Roman" w:cs="Times New Roman"/>
              </w:rPr>
              <w:t>Plokštės turi būti subalansuotos procesorių atžvilgiu. Komplektacijoje turi būti pateikiami DAC (</w:t>
            </w:r>
            <w:proofErr w:type="spellStart"/>
            <w:r w:rsidRPr="00C60838">
              <w:rPr>
                <w:rFonts w:ascii="Times New Roman" w:hAnsi="Times New Roman" w:cs="Times New Roman"/>
              </w:rPr>
              <w:t>Direct</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Attach</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Copper</w:t>
            </w:r>
            <w:proofErr w:type="spellEnd"/>
            <w:r w:rsidRPr="00C60838">
              <w:rPr>
                <w:rFonts w:ascii="Times New Roman" w:hAnsi="Times New Roman" w:cs="Times New Roman"/>
              </w:rPr>
              <w:t>) tipo kabeliai, skirti tiesioginiam serverių sujungimui 100GbE greičiu. Kabelių ilgis – ne mažiau kaip 5 m. Kabeliai turi būti suderinami su siūlomomis tinklo plokštėmis.</w:t>
            </w:r>
          </w:p>
        </w:tc>
      </w:tr>
      <w:tr w:rsidR="00922DC5" w:rsidRPr="00C60838" w14:paraId="38CA234D" w14:textId="77777777" w:rsidTr="00922DC5">
        <w:trPr>
          <w:trHeight w:val="396"/>
        </w:trPr>
        <w:tc>
          <w:tcPr>
            <w:tcW w:w="1017" w:type="dxa"/>
            <w:tcBorders>
              <w:top w:val="nil"/>
              <w:left w:val="single" w:sz="4" w:space="0" w:color="auto"/>
              <w:bottom w:val="single" w:sz="4" w:space="0" w:color="auto"/>
              <w:right w:val="single" w:sz="4" w:space="0" w:color="auto"/>
            </w:tcBorders>
          </w:tcPr>
          <w:p w14:paraId="3C4A7523"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tcPr>
          <w:p w14:paraId="0F7CA266" w14:textId="00B0369E"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hAnsi="Times New Roman" w:cs="Times New Roman"/>
              </w:rPr>
              <w:t xml:space="preserve">FC SAN adapteris išorinei </w:t>
            </w:r>
            <w:r w:rsidRPr="00C60838">
              <w:rPr>
                <w:rFonts w:ascii="Times New Roman" w:hAnsi="Times New Roman" w:cs="Times New Roman"/>
              </w:rPr>
              <w:lastRenderedPageBreak/>
              <w:t>duomenų saugyklai prijungti</w:t>
            </w:r>
          </w:p>
        </w:tc>
        <w:tc>
          <w:tcPr>
            <w:tcW w:w="7938" w:type="dxa"/>
            <w:tcBorders>
              <w:top w:val="nil"/>
              <w:left w:val="nil"/>
              <w:bottom w:val="single" w:sz="4" w:space="0" w:color="auto"/>
              <w:right w:val="single" w:sz="4" w:space="0" w:color="auto"/>
            </w:tcBorders>
          </w:tcPr>
          <w:p w14:paraId="3B6EDEFF" w14:textId="6C5BC8F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hAnsi="Times New Roman" w:cs="Times New Roman"/>
              </w:rPr>
              <w:lastRenderedPageBreak/>
              <w:t xml:space="preserve">Ne mažiau kaip 2 vnt. 32 </w:t>
            </w:r>
            <w:proofErr w:type="spellStart"/>
            <w:r w:rsidRPr="00C60838">
              <w:rPr>
                <w:rFonts w:ascii="Times New Roman" w:hAnsi="Times New Roman" w:cs="Times New Roman"/>
              </w:rPr>
              <w:t>Gbps</w:t>
            </w:r>
            <w:proofErr w:type="spellEnd"/>
            <w:r w:rsidRPr="00C60838">
              <w:rPr>
                <w:rFonts w:ascii="Times New Roman" w:hAnsi="Times New Roman" w:cs="Times New Roman"/>
              </w:rPr>
              <w:t xml:space="preserve"> FC SAN sąsajų, realizuotų atskirų </w:t>
            </w:r>
            <w:proofErr w:type="spellStart"/>
            <w:r w:rsidRPr="00C60838">
              <w:rPr>
                <w:rFonts w:ascii="Times New Roman" w:hAnsi="Times New Roman" w:cs="Times New Roman"/>
              </w:rPr>
              <w:t>PCIe</w:t>
            </w:r>
            <w:proofErr w:type="spellEnd"/>
            <w:r w:rsidRPr="00C60838">
              <w:rPr>
                <w:rFonts w:ascii="Times New Roman" w:hAnsi="Times New Roman" w:cs="Times New Roman"/>
              </w:rPr>
              <w:t xml:space="preserve"> plokščių pagalba arba vienoje plokštėje, jei naudojama </w:t>
            </w:r>
            <w:proofErr w:type="spellStart"/>
            <w:r w:rsidRPr="00C60838">
              <w:rPr>
                <w:rFonts w:ascii="Times New Roman" w:hAnsi="Times New Roman" w:cs="Times New Roman"/>
              </w:rPr>
              <w:t>dual</w:t>
            </w:r>
            <w:proofErr w:type="spellEnd"/>
            <w:r w:rsidRPr="00C60838">
              <w:rPr>
                <w:rFonts w:ascii="Times New Roman" w:hAnsi="Times New Roman" w:cs="Times New Roman"/>
              </w:rPr>
              <w:t xml:space="preserve"> ASIC architektūra. </w:t>
            </w:r>
            <w:r w:rsidRPr="00C60838">
              <w:rPr>
                <w:rFonts w:ascii="Times New Roman" w:hAnsi="Times New Roman" w:cs="Times New Roman"/>
                <w:bCs/>
              </w:rPr>
              <w:t xml:space="preserve">Komplektacijoje turi būti </w:t>
            </w:r>
            <w:r w:rsidRPr="00C60838">
              <w:rPr>
                <w:rFonts w:ascii="Times New Roman" w:hAnsi="Times New Roman" w:cs="Times New Roman"/>
                <w:bCs/>
              </w:rPr>
              <w:lastRenderedPageBreak/>
              <w:t xml:space="preserve">pateikiami SFP+ moduliai, </w:t>
            </w:r>
            <w:r w:rsidRPr="00C60838">
              <w:rPr>
                <w:rFonts w:ascii="Times New Roman" w:hAnsi="Times New Roman" w:cs="Times New Roman"/>
              </w:rPr>
              <w:t>pritaikomi numatomiems optiniams "</w:t>
            </w:r>
            <w:proofErr w:type="spellStart"/>
            <w:r w:rsidRPr="00C60838">
              <w:rPr>
                <w:rFonts w:ascii="Times New Roman" w:hAnsi="Times New Roman" w:cs="Times New Roman"/>
              </w:rPr>
              <w:t>Multi</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Mode</w:t>
            </w:r>
            <w:proofErr w:type="spellEnd"/>
            <w:r w:rsidRPr="00C60838">
              <w:rPr>
                <w:rFonts w:ascii="Times New Roman" w:hAnsi="Times New Roman" w:cs="Times New Roman"/>
              </w:rPr>
              <w:t>" kabeliams su LC tipo jungtimis ir reikiamo ilgio bei tipo kabeliai, skirti siūlomos įrangos prijungimui prie tinklo įrangos.</w:t>
            </w:r>
          </w:p>
        </w:tc>
      </w:tr>
      <w:tr w:rsidR="00922DC5" w:rsidRPr="00C60838" w14:paraId="72AE673B" w14:textId="77777777" w:rsidTr="00922DC5">
        <w:trPr>
          <w:trHeight w:val="396"/>
        </w:trPr>
        <w:tc>
          <w:tcPr>
            <w:tcW w:w="1017" w:type="dxa"/>
            <w:tcBorders>
              <w:top w:val="nil"/>
              <w:left w:val="single" w:sz="4" w:space="0" w:color="auto"/>
              <w:bottom w:val="single" w:sz="4" w:space="0" w:color="auto"/>
              <w:right w:val="single" w:sz="4" w:space="0" w:color="auto"/>
            </w:tcBorders>
            <w:hideMark/>
          </w:tcPr>
          <w:p w14:paraId="554FBA88"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hideMark/>
          </w:tcPr>
          <w:p w14:paraId="6EB3DEA0"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Kitos išorinės jungtys</w:t>
            </w:r>
          </w:p>
        </w:tc>
        <w:tc>
          <w:tcPr>
            <w:tcW w:w="7938" w:type="dxa"/>
            <w:tcBorders>
              <w:top w:val="nil"/>
              <w:left w:val="nil"/>
              <w:bottom w:val="single" w:sz="4" w:space="0" w:color="auto"/>
              <w:right w:val="single" w:sz="4" w:space="0" w:color="auto"/>
            </w:tcBorders>
            <w:hideMark/>
          </w:tcPr>
          <w:p w14:paraId="05709D8F"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Tarnybinė stotis turi nemažiau kaip: </w:t>
            </w:r>
          </w:p>
          <w:p w14:paraId="4C592CF9" w14:textId="77777777" w:rsidR="00922DC5" w:rsidRPr="00C60838" w:rsidRDefault="00922DC5" w:rsidP="007E08D9">
            <w:pPr>
              <w:pStyle w:val="ListParagraph"/>
              <w:numPr>
                <w:ilvl w:val="0"/>
                <w:numId w:val="2"/>
              </w:num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3 x USB (nemažiau kaip 1 priekinėje dalyje ir 2 galinėje tarnybinės stoties gale. Bent dvi jungtys turi būti USB 3.1.</w:t>
            </w:r>
          </w:p>
          <w:p w14:paraId="09D665BE" w14:textId="7AAC8BFC" w:rsidR="00922DC5" w:rsidRPr="00C60838" w:rsidRDefault="00922DC5" w:rsidP="00362777">
            <w:pPr>
              <w:pStyle w:val="ListParagraph"/>
              <w:numPr>
                <w:ilvl w:val="0"/>
                <w:numId w:val="2"/>
              </w:num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1 x integruota VGA jungtis</w:t>
            </w:r>
          </w:p>
        </w:tc>
      </w:tr>
      <w:tr w:rsidR="00922DC5" w:rsidRPr="00C60838" w14:paraId="0F612B4B" w14:textId="77777777" w:rsidTr="00922DC5">
        <w:trPr>
          <w:trHeight w:val="396"/>
        </w:trPr>
        <w:tc>
          <w:tcPr>
            <w:tcW w:w="1017" w:type="dxa"/>
            <w:tcBorders>
              <w:top w:val="nil"/>
              <w:left w:val="single" w:sz="4" w:space="0" w:color="auto"/>
              <w:bottom w:val="single" w:sz="4" w:space="0" w:color="auto"/>
              <w:right w:val="single" w:sz="4" w:space="0" w:color="auto"/>
            </w:tcBorders>
            <w:hideMark/>
          </w:tcPr>
          <w:p w14:paraId="27BB2ABD"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hideMark/>
          </w:tcPr>
          <w:p w14:paraId="52634DAE"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proofErr w:type="spellStart"/>
            <w:r w:rsidRPr="00C60838">
              <w:rPr>
                <w:rFonts w:ascii="Times New Roman" w:eastAsia="Times New Roman" w:hAnsi="Times New Roman" w:cs="Times New Roman"/>
                <w:color w:val="000000"/>
                <w:lang w:eastAsia="lt-LT"/>
              </w:rPr>
              <w:t>Video</w:t>
            </w:r>
            <w:proofErr w:type="spellEnd"/>
            <w:r w:rsidRPr="00C60838">
              <w:rPr>
                <w:rFonts w:ascii="Times New Roman" w:eastAsia="Times New Roman" w:hAnsi="Times New Roman" w:cs="Times New Roman"/>
                <w:color w:val="000000"/>
                <w:lang w:eastAsia="lt-LT"/>
              </w:rPr>
              <w:t xml:space="preserve"> kontroleris</w:t>
            </w:r>
          </w:p>
        </w:tc>
        <w:tc>
          <w:tcPr>
            <w:tcW w:w="7938" w:type="dxa"/>
            <w:tcBorders>
              <w:top w:val="nil"/>
              <w:left w:val="nil"/>
              <w:bottom w:val="single" w:sz="4" w:space="0" w:color="auto"/>
              <w:right w:val="single" w:sz="4" w:space="0" w:color="auto"/>
            </w:tcBorders>
            <w:hideMark/>
          </w:tcPr>
          <w:p w14:paraId="46A7EED1"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Turi būti integruotas, palaikantis ne mažiau kaip </w:t>
            </w:r>
            <w:proofErr w:type="spellStart"/>
            <w:r w:rsidRPr="00C60838">
              <w:rPr>
                <w:rFonts w:ascii="Times New Roman" w:eastAsia="Times New Roman" w:hAnsi="Times New Roman" w:cs="Times New Roman"/>
                <w:color w:val="000000"/>
                <w:lang w:eastAsia="lt-LT"/>
              </w:rPr>
              <w:t>Full</w:t>
            </w:r>
            <w:proofErr w:type="spellEnd"/>
            <w:r w:rsidRPr="00C60838">
              <w:rPr>
                <w:rFonts w:ascii="Times New Roman" w:eastAsia="Times New Roman" w:hAnsi="Times New Roman" w:cs="Times New Roman"/>
                <w:color w:val="000000"/>
                <w:lang w:eastAsia="lt-LT"/>
              </w:rPr>
              <w:t xml:space="preserve"> HD rezoliuciją.</w:t>
            </w:r>
          </w:p>
        </w:tc>
      </w:tr>
      <w:tr w:rsidR="00922DC5" w:rsidRPr="00C60838" w14:paraId="1374D4A6" w14:textId="77777777" w:rsidTr="00922DC5">
        <w:trPr>
          <w:trHeight w:val="739"/>
        </w:trPr>
        <w:tc>
          <w:tcPr>
            <w:tcW w:w="1017" w:type="dxa"/>
            <w:tcBorders>
              <w:top w:val="nil"/>
              <w:left w:val="single" w:sz="4" w:space="0" w:color="auto"/>
              <w:bottom w:val="single" w:sz="4" w:space="0" w:color="auto"/>
              <w:right w:val="single" w:sz="4" w:space="0" w:color="auto"/>
            </w:tcBorders>
            <w:hideMark/>
          </w:tcPr>
          <w:p w14:paraId="1DC68995"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hideMark/>
          </w:tcPr>
          <w:p w14:paraId="6498C87B"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Maitinimo šaltiniai</w:t>
            </w:r>
          </w:p>
        </w:tc>
        <w:tc>
          <w:tcPr>
            <w:tcW w:w="7938" w:type="dxa"/>
            <w:tcBorders>
              <w:top w:val="nil"/>
              <w:left w:val="nil"/>
              <w:bottom w:val="single" w:sz="4" w:space="0" w:color="auto"/>
              <w:right w:val="single" w:sz="4" w:space="0" w:color="auto"/>
            </w:tcBorders>
            <w:hideMark/>
          </w:tcPr>
          <w:p w14:paraId="47B98A2A"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Ne mažiau kaip aštuoni nepriklausomi „karšto keitimo“ (</w:t>
            </w:r>
            <w:proofErr w:type="spellStart"/>
            <w:r w:rsidRPr="00C60838">
              <w:rPr>
                <w:rFonts w:ascii="Times New Roman" w:eastAsia="Times New Roman" w:hAnsi="Times New Roman" w:cs="Times New Roman"/>
                <w:color w:val="000000"/>
                <w:lang w:eastAsia="lt-LT"/>
              </w:rPr>
              <w:t>angl.</w:t>
            </w:r>
            <w:r w:rsidRPr="00C60838">
              <w:rPr>
                <w:rFonts w:ascii="Times New Roman" w:eastAsia="Times New Roman" w:hAnsi="Times New Roman" w:cs="Times New Roman"/>
                <w:i/>
                <w:iCs/>
                <w:color w:val="000000"/>
                <w:lang w:eastAsia="lt-LT"/>
              </w:rPr>
              <w:t>Hot-plug</w:t>
            </w:r>
            <w:proofErr w:type="spellEnd"/>
            <w:r w:rsidRPr="00C60838">
              <w:rPr>
                <w:rFonts w:ascii="Times New Roman" w:eastAsia="Times New Roman" w:hAnsi="Times New Roman" w:cs="Times New Roman"/>
                <w:i/>
                <w:iCs/>
                <w:color w:val="000000"/>
                <w:lang w:eastAsia="lt-LT"/>
              </w:rPr>
              <w:t>)</w:t>
            </w:r>
            <w:r w:rsidRPr="00C60838">
              <w:rPr>
                <w:rFonts w:ascii="Times New Roman" w:eastAsia="Times New Roman" w:hAnsi="Times New Roman" w:cs="Times New Roman"/>
                <w:color w:val="000000"/>
                <w:lang w:eastAsia="lt-LT"/>
              </w:rPr>
              <w:t xml:space="preserve"> ~230 V 50 Hz maitinimo šaltiniai, pakankamos galios komplektuojamos tarnybinės stoties darbui. Maitinimo šaltiniai turi būti išskirstyti į CPU ir GPU zonas užtikrinant N+N patikimumą atskirose zonose, t. y. tarnybinė stotis privalo veikti pilnu pajėgumu net ir praradus pusę maitinimo šaltinių CPU ir/ar GPU zonoje.</w:t>
            </w:r>
          </w:p>
          <w:p w14:paraId="54500F18" w14:textId="37B78A38"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Maitinimo šaltinių kiekis ir galingumas turi būti pakankamas esant maksimaliam darbinės stoties apkrovimui (2 CPU procesoriai ir 8 GPU akseleratoriai). </w:t>
            </w:r>
          </w:p>
          <w:p w14:paraId="1E5FE197" w14:textId="3E17392A"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Maitinimo šaltiniai turi būti ne prastesnės negu </w:t>
            </w:r>
            <w:proofErr w:type="spellStart"/>
            <w:r w:rsidRPr="00C60838">
              <w:rPr>
                <w:rFonts w:ascii="Times New Roman" w:eastAsia="Times New Roman" w:hAnsi="Times New Roman" w:cs="Times New Roman"/>
                <w:color w:val="000000"/>
                <w:lang w:eastAsia="lt-LT"/>
              </w:rPr>
              <w:t>Titanium</w:t>
            </w:r>
            <w:proofErr w:type="spellEnd"/>
            <w:r w:rsidRPr="00C60838">
              <w:rPr>
                <w:rFonts w:ascii="Times New Roman" w:eastAsia="Times New Roman" w:hAnsi="Times New Roman" w:cs="Times New Roman"/>
                <w:color w:val="000000"/>
                <w:lang w:eastAsia="lt-LT"/>
              </w:rPr>
              <w:t xml:space="preserve"> (nemažiau nei 96%) efektyvumo klasės.</w:t>
            </w:r>
          </w:p>
          <w:p w14:paraId="03CC7718" w14:textId="4454A48C"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Vieno maitinimo šaltinio maksimali galia turi būti ne mažesnė negu 2400 W.</w:t>
            </w:r>
          </w:p>
          <w:p w14:paraId="4DB7EB5C"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Kiekvienas maitinimo šaltinis turi būti komplektuojamas su ne trumpesniais negu 0,5m ilgio C19/C20 elektros kabeliais.</w:t>
            </w:r>
          </w:p>
          <w:p w14:paraId="5F5E1779" w14:textId="6EBFDFDD"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Kartu su pasiūlymu pateikti tarnybinės stoties elektros suvartojimo ataskaitą esant maksimaliam tarnybinės stoties apkrovimui (su aštuoniais GPU akseleratoriais).</w:t>
            </w:r>
          </w:p>
        </w:tc>
      </w:tr>
      <w:tr w:rsidR="00922DC5" w:rsidRPr="00C60838" w14:paraId="06863814" w14:textId="77777777" w:rsidTr="00922DC5">
        <w:trPr>
          <w:trHeight w:val="372"/>
        </w:trPr>
        <w:tc>
          <w:tcPr>
            <w:tcW w:w="1017" w:type="dxa"/>
            <w:tcBorders>
              <w:top w:val="nil"/>
              <w:left w:val="single" w:sz="4" w:space="0" w:color="auto"/>
              <w:bottom w:val="single" w:sz="4" w:space="0" w:color="auto"/>
              <w:right w:val="single" w:sz="4" w:space="0" w:color="auto"/>
            </w:tcBorders>
            <w:hideMark/>
          </w:tcPr>
          <w:p w14:paraId="040EAAE4"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bookmarkStart w:id="2" w:name="OLE_LINK16"/>
          </w:p>
        </w:tc>
        <w:tc>
          <w:tcPr>
            <w:tcW w:w="1808" w:type="dxa"/>
            <w:tcBorders>
              <w:top w:val="nil"/>
              <w:left w:val="nil"/>
              <w:bottom w:val="single" w:sz="4" w:space="0" w:color="auto"/>
              <w:right w:val="single" w:sz="4" w:space="0" w:color="auto"/>
            </w:tcBorders>
            <w:hideMark/>
          </w:tcPr>
          <w:p w14:paraId="41BEA45A"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Aušinimas</w:t>
            </w:r>
          </w:p>
        </w:tc>
        <w:tc>
          <w:tcPr>
            <w:tcW w:w="7938" w:type="dxa"/>
            <w:tcBorders>
              <w:top w:val="nil"/>
              <w:left w:val="nil"/>
              <w:bottom w:val="single" w:sz="4" w:space="0" w:color="auto"/>
              <w:right w:val="single" w:sz="4" w:space="0" w:color="auto"/>
            </w:tcBorders>
            <w:hideMark/>
          </w:tcPr>
          <w:p w14:paraId="49B3DB06"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Dubliuoti aušinimo moduliai, ne mažiau nei gamintojo numatyta rezervavimui užtikrinti, „karšto keitimo“ („</w:t>
            </w:r>
            <w:proofErr w:type="spellStart"/>
            <w:r w:rsidRPr="00C60838">
              <w:rPr>
                <w:rFonts w:ascii="Times New Roman" w:eastAsia="Times New Roman" w:hAnsi="Times New Roman" w:cs="Times New Roman"/>
                <w:color w:val="000000"/>
                <w:lang w:eastAsia="lt-LT"/>
              </w:rPr>
              <w:t>Hot-plug</w:t>
            </w:r>
            <w:proofErr w:type="spellEnd"/>
            <w:r w:rsidRPr="00C60838">
              <w:rPr>
                <w:rFonts w:ascii="Times New Roman" w:eastAsia="Times New Roman" w:hAnsi="Times New Roman" w:cs="Times New Roman"/>
                <w:color w:val="000000"/>
                <w:lang w:eastAsia="lt-LT"/>
              </w:rPr>
              <w:t>“) tipo.</w:t>
            </w:r>
          </w:p>
        </w:tc>
      </w:tr>
      <w:bookmarkEnd w:id="2"/>
      <w:tr w:rsidR="00922DC5" w:rsidRPr="00C60838" w14:paraId="7A16D53E" w14:textId="77777777" w:rsidTr="00922DC5">
        <w:trPr>
          <w:trHeight w:val="2132"/>
        </w:trPr>
        <w:tc>
          <w:tcPr>
            <w:tcW w:w="1017" w:type="dxa"/>
            <w:tcBorders>
              <w:top w:val="nil"/>
              <w:left w:val="single" w:sz="4" w:space="0" w:color="auto"/>
              <w:bottom w:val="single" w:sz="4" w:space="0" w:color="auto"/>
              <w:right w:val="single" w:sz="4" w:space="0" w:color="auto"/>
            </w:tcBorders>
            <w:hideMark/>
          </w:tcPr>
          <w:p w14:paraId="6621FE4D"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single" w:sz="4" w:space="0" w:color="auto"/>
              <w:bottom w:val="single" w:sz="4" w:space="0" w:color="auto"/>
              <w:right w:val="single" w:sz="4" w:space="0" w:color="auto"/>
            </w:tcBorders>
            <w:hideMark/>
          </w:tcPr>
          <w:p w14:paraId="4125C22A"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Valdymo sistema</w:t>
            </w:r>
          </w:p>
        </w:tc>
        <w:tc>
          <w:tcPr>
            <w:tcW w:w="7938" w:type="dxa"/>
            <w:tcBorders>
              <w:top w:val="nil"/>
              <w:left w:val="nil"/>
              <w:bottom w:val="single" w:sz="4" w:space="0" w:color="auto"/>
              <w:right w:val="single" w:sz="4" w:space="0" w:color="auto"/>
            </w:tcBorders>
            <w:hideMark/>
          </w:tcPr>
          <w:p w14:paraId="60969834" w14:textId="671C598A"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Dedikuotas valdymo kontroleris (neužimantis PCI lizdo), nepriklausantis nuo OS, turintis dedikuotą valdymo tinklo jungtį 10/100/1000 </w:t>
            </w:r>
            <w:proofErr w:type="spellStart"/>
            <w:r w:rsidRPr="00C60838">
              <w:rPr>
                <w:rFonts w:ascii="Times New Roman" w:eastAsia="Times New Roman" w:hAnsi="Times New Roman" w:cs="Times New Roman"/>
                <w:color w:val="000000"/>
                <w:lang w:eastAsia="lt-LT"/>
              </w:rPr>
              <w:t>baseT</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Ethernet</w:t>
            </w:r>
            <w:proofErr w:type="spellEnd"/>
            <w:r w:rsidRPr="00C60838">
              <w:rPr>
                <w:rFonts w:ascii="Times New Roman" w:eastAsia="Times New Roman" w:hAnsi="Times New Roman" w:cs="Times New Roman"/>
                <w:color w:val="000000"/>
                <w:lang w:eastAsia="lt-LT"/>
              </w:rPr>
              <w:t xml:space="preserve"> RJ-45 bei galimybę prisijungti per USB jungtį iš tarnybinės stoties priekio. </w:t>
            </w:r>
            <w:proofErr w:type="spellStart"/>
            <w:r w:rsidRPr="00C60838">
              <w:rPr>
                <w:rFonts w:ascii="Times New Roman" w:eastAsia="Times New Roman" w:hAnsi="Times New Roman" w:cs="Times New Roman"/>
                <w:color w:val="000000"/>
                <w:lang w:eastAsia="lt-LT"/>
              </w:rPr>
              <w:t>Ethernet</w:t>
            </w:r>
            <w:proofErr w:type="spellEnd"/>
            <w:r w:rsidRPr="00C60838">
              <w:rPr>
                <w:rFonts w:ascii="Times New Roman" w:eastAsia="Times New Roman" w:hAnsi="Times New Roman" w:cs="Times New Roman"/>
                <w:color w:val="000000"/>
                <w:lang w:eastAsia="lt-LT"/>
              </w:rPr>
              <w:t xml:space="preserve"> ryšys turi būti apsaugotas ne silpnesniu nei 128 bitų raktu (SSL). </w:t>
            </w:r>
          </w:p>
          <w:p w14:paraId="0C59DFA8"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Valdymo kontroleris turi gauti ir registruoti pranešimus apie procesoriaus, atminties, diskų valdiklio, diskų, vaizdo plokščių, tinklo plokščių, optinių modulių ir kitų tarnybinės stoties dalių darbo parametrų nukrypimus nuo normos. </w:t>
            </w:r>
          </w:p>
          <w:p w14:paraId="6EE5DE8F"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Turi palaikyti automatinio informavimo apie sistemos sutrikimus siuntimą elektroniniu paštu. Valdymo kontroleris turi stebėti bei palaikyti tarnybinės stoties komponentų  sisteminio kodo (</w:t>
            </w:r>
            <w:proofErr w:type="spellStart"/>
            <w:r w:rsidRPr="00C60838">
              <w:rPr>
                <w:rFonts w:ascii="Times New Roman" w:eastAsia="Times New Roman" w:hAnsi="Times New Roman" w:cs="Times New Roman"/>
                <w:color w:val="000000"/>
                <w:lang w:eastAsia="lt-LT"/>
              </w:rPr>
              <w:t>firmware</w:t>
            </w:r>
            <w:proofErr w:type="spellEnd"/>
            <w:r w:rsidRPr="00C60838">
              <w:rPr>
                <w:rFonts w:ascii="Times New Roman" w:eastAsia="Times New Roman" w:hAnsi="Times New Roman" w:cs="Times New Roman"/>
                <w:color w:val="000000"/>
                <w:lang w:eastAsia="lt-LT"/>
              </w:rPr>
              <w:t xml:space="preserve">)  atnaujinimus. </w:t>
            </w:r>
          </w:p>
          <w:p w14:paraId="03980C70"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Turi būti „KVM </w:t>
            </w:r>
            <w:proofErr w:type="spellStart"/>
            <w:r w:rsidRPr="00C60838">
              <w:rPr>
                <w:rFonts w:ascii="Times New Roman" w:eastAsia="Times New Roman" w:hAnsi="Times New Roman" w:cs="Times New Roman"/>
                <w:color w:val="000000"/>
                <w:lang w:eastAsia="lt-LT"/>
              </w:rPr>
              <w:t>over</w:t>
            </w:r>
            <w:proofErr w:type="spellEnd"/>
            <w:r w:rsidRPr="00C60838">
              <w:rPr>
                <w:rFonts w:ascii="Times New Roman" w:eastAsia="Times New Roman" w:hAnsi="Times New Roman" w:cs="Times New Roman"/>
                <w:color w:val="000000"/>
                <w:lang w:eastAsia="lt-LT"/>
              </w:rPr>
              <w:t xml:space="preserve"> IP“ funkcionalumas (grafinė nepriklausoma nuo operacinės sistemos sąsaja, virtuali grafinė konsolė, virtualių CD-ROM įrenginių valdymas).</w:t>
            </w:r>
          </w:p>
          <w:p w14:paraId="7B21DB28"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HTML 5 arba lygiavertė vartotojo sąsaja tiek vartotojo aplinkai, tiek virtualiai konsolei.</w:t>
            </w:r>
          </w:p>
          <w:p w14:paraId="5CE18FC1"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Sistemos </w:t>
            </w:r>
            <w:proofErr w:type="spellStart"/>
            <w:r w:rsidRPr="00C60838">
              <w:rPr>
                <w:rFonts w:ascii="Times New Roman" w:eastAsia="Times New Roman" w:hAnsi="Times New Roman" w:cs="Times New Roman"/>
                <w:color w:val="000000"/>
                <w:lang w:eastAsia="lt-LT"/>
              </w:rPr>
              <w:t>mikrokodo</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firmware</w:t>
            </w:r>
            <w:proofErr w:type="spellEnd"/>
            <w:r w:rsidRPr="00C60838">
              <w:rPr>
                <w:rFonts w:ascii="Times New Roman" w:eastAsia="Times New Roman" w:hAnsi="Times New Roman" w:cs="Times New Roman"/>
                <w:color w:val="000000"/>
                <w:lang w:eastAsia="lt-LT"/>
              </w:rPr>
              <w:t>“) atnaujinimai turi būti apsaugoti kriptografiniu parašu.</w:t>
            </w:r>
          </w:p>
          <w:p w14:paraId="5454D37A" w14:textId="0F7F0949"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Turi palaikyti nuotolinį tarnybinės stoties išjungimą.</w:t>
            </w:r>
          </w:p>
          <w:p w14:paraId="5541CC88"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Turi palaikyti pilną sistemos nustatymų, bei sisteminio kodo atnaujinimų užrakinimą nuo neautorizuotų veiksmų, nepriklausomai nuo vartotojų teisių.</w:t>
            </w:r>
          </w:p>
          <w:p w14:paraId="585055BF"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Programinė valdymo įranga, įgalinanti atlikti visų infrastruktūros  komponentų stebėjimą, įskaitant tarnybines stotis ir jų talpyklų, duomenų saugyklas bei tinklo komutatorius.</w:t>
            </w:r>
          </w:p>
          <w:p w14:paraId="32D34A87"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Turi stebėti, valdyti bei atnaujinti tarnybines stotis. </w:t>
            </w:r>
          </w:p>
          <w:p w14:paraId="6EDEE3C6"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Turi palaikyti greitą tarnybinių stočių instaliavimą panaudojant šablonus.</w:t>
            </w:r>
          </w:p>
          <w:p w14:paraId="77D50EC0"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Automatizuoto SSL sertifikatų instaliavimo ir atnaujinimo palaikymas.</w:t>
            </w:r>
          </w:p>
          <w:p w14:paraId="43A3C446"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proofErr w:type="spellStart"/>
            <w:r w:rsidRPr="00C60838">
              <w:rPr>
                <w:rFonts w:ascii="Times New Roman" w:eastAsia="Times New Roman" w:hAnsi="Times New Roman" w:cs="Times New Roman"/>
                <w:color w:val="000000"/>
                <w:lang w:eastAsia="lt-LT"/>
              </w:rPr>
              <w:t>Telemetrinio</w:t>
            </w:r>
            <w:proofErr w:type="spellEnd"/>
            <w:r w:rsidRPr="00C60838">
              <w:rPr>
                <w:rFonts w:ascii="Times New Roman" w:eastAsia="Times New Roman" w:hAnsi="Times New Roman" w:cs="Times New Roman"/>
                <w:color w:val="000000"/>
                <w:lang w:eastAsia="lt-LT"/>
              </w:rPr>
              <w:t xml:space="preserve"> visų stebimų tarnybinės stoties parametrų srauto pateikimas realiu laiku.</w:t>
            </w:r>
          </w:p>
          <w:p w14:paraId="7CAD9A40"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Kietųjų diskų SMART duomenų pateikimas. </w:t>
            </w:r>
          </w:p>
          <w:p w14:paraId="2B038DE0"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Grafinių vaizdo plokščių inventorizacija bei stebėjimas.</w:t>
            </w:r>
          </w:p>
          <w:p w14:paraId="4266912F"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SFP optinių modulių inventorizacija bei stebėjimas</w:t>
            </w:r>
            <w:r w:rsidRPr="00C60838">
              <w:rPr>
                <w:rFonts w:ascii="Times New Roman" w:eastAsia="Times New Roman" w:hAnsi="Times New Roman" w:cs="Times New Roman"/>
                <w:color w:val="000000"/>
                <w:lang w:eastAsia="lt-LT"/>
              </w:rPr>
              <w:br/>
              <w:t>Tarnybinės stoties neveiklumo aptikimas („</w:t>
            </w:r>
            <w:proofErr w:type="spellStart"/>
            <w:r w:rsidRPr="00C60838">
              <w:rPr>
                <w:rFonts w:ascii="Times New Roman" w:eastAsia="Times New Roman" w:hAnsi="Times New Roman" w:cs="Times New Roman"/>
                <w:color w:val="000000"/>
                <w:lang w:eastAsia="lt-LT"/>
              </w:rPr>
              <w:t>idle</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server</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detection</w:t>
            </w:r>
            <w:proofErr w:type="spellEnd"/>
            <w:r w:rsidRPr="00C60838">
              <w:rPr>
                <w:rFonts w:ascii="Times New Roman" w:eastAsia="Times New Roman" w:hAnsi="Times New Roman" w:cs="Times New Roman"/>
                <w:color w:val="000000"/>
                <w:lang w:eastAsia="lt-LT"/>
              </w:rPr>
              <w:t xml:space="preserve">“). </w:t>
            </w:r>
          </w:p>
          <w:p w14:paraId="73DC8480"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Perspėjimas apie USB laikmenos prijungimą,</w:t>
            </w:r>
          </w:p>
        </w:tc>
      </w:tr>
      <w:tr w:rsidR="00922DC5" w:rsidRPr="00C60838" w14:paraId="45B3A91A" w14:textId="77777777" w:rsidTr="00922DC5">
        <w:trPr>
          <w:trHeight w:val="594"/>
        </w:trPr>
        <w:tc>
          <w:tcPr>
            <w:tcW w:w="1017" w:type="dxa"/>
            <w:tcBorders>
              <w:top w:val="nil"/>
              <w:left w:val="single" w:sz="4" w:space="0" w:color="auto"/>
              <w:bottom w:val="single" w:sz="4" w:space="0" w:color="auto"/>
              <w:right w:val="single" w:sz="4" w:space="0" w:color="auto"/>
            </w:tcBorders>
          </w:tcPr>
          <w:p w14:paraId="58FFB0D2"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tcPr>
          <w:p w14:paraId="642F4785" w14:textId="77777777" w:rsidR="00922DC5" w:rsidRPr="00C60838" w:rsidRDefault="00922DC5" w:rsidP="00362777">
            <w:pPr>
              <w:spacing w:after="0" w:line="240" w:lineRule="auto"/>
              <w:jc w:val="center"/>
              <w:rPr>
                <w:rFonts w:ascii="Times New Roman" w:eastAsia="Times New Roman" w:hAnsi="Times New Roman" w:cs="Times New Roman"/>
                <w:color w:val="000000"/>
                <w:highlight w:val="yellow"/>
                <w:lang w:eastAsia="lt-LT"/>
              </w:rPr>
            </w:pPr>
            <w:r w:rsidRPr="00C60838">
              <w:rPr>
                <w:rFonts w:ascii="Times New Roman" w:eastAsia="Times New Roman" w:hAnsi="Times New Roman" w:cs="Times New Roman"/>
                <w:color w:val="000000"/>
                <w:lang w:eastAsia="lt-LT"/>
              </w:rPr>
              <w:t xml:space="preserve">Monitoringo, valdymo ir </w:t>
            </w:r>
            <w:r w:rsidRPr="00C60838">
              <w:rPr>
                <w:rFonts w:ascii="Times New Roman" w:eastAsia="Times New Roman" w:hAnsi="Times New Roman" w:cs="Times New Roman"/>
                <w:color w:val="000000"/>
                <w:lang w:eastAsia="lt-LT"/>
              </w:rPr>
              <w:lastRenderedPageBreak/>
              <w:t>administravimo programinė įranga</w:t>
            </w:r>
          </w:p>
        </w:tc>
        <w:tc>
          <w:tcPr>
            <w:tcW w:w="7938" w:type="dxa"/>
            <w:tcBorders>
              <w:top w:val="nil"/>
              <w:left w:val="nil"/>
              <w:bottom w:val="single" w:sz="4" w:space="0" w:color="auto"/>
              <w:right w:val="single" w:sz="4" w:space="0" w:color="auto"/>
            </w:tcBorders>
          </w:tcPr>
          <w:p w14:paraId="04D7B45A" w14:textId="463BEA9B"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lastRenderedPageBreak/>
              <w:t>Siūloma tarnybinė stotis turi būti pilnai suderinamos su kliento naudojamomis programinėmis valdymo įrangomis „</w:t>
            </w:r>
            <w:proofErr w:type="spellStart"/>
            <w:r w:rsidRPr="00C60838">
              <w:rPr>
                <w:rFonts w:ascii="Times New Roman" w:eastAsia="Times New Roman" w:hAnsi="Times New Roman" w:cs="Times New Roman"/>
                <w:color w:val="000000"/>
                <w:lang w:eastAsia="lt-LT"/>
              </w:rPr>
              <w:t>Open</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Manage</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Enterprise</w:t>
            </w:r>
            <w:proofErr w:type="spellEnd"/>
            <w:r w:rsidRPr="00C60838">
              <w:rPr>
                <w:rFonts w:ascii="Times New Roman" w:eastAsia="Times New Roman" w:hAnsi="Times New Roman" w:cs="Times New Roman"/>
                <w:color w:val="000000"/>
                <w:lang w:eastAsia="lt-LT"/>
              </w:rPr>
              <w:t xml:space="preserve">“ arba „HPE </w:t>
            </w:r>
            <w:proofErr w:type="spellStart"/>
            <w:r w:rsidRPr="00C60838">
              <w:rPr>
                <w:rFonts w:ascii="Times New Roman" w:eastAsia="Times New Roman" w:hAnsi="Times New Roman" w:cs="Times New Roman"/>
                <w:color w:val="000000"/>
                <w:lang w:eastAsia="lt-LT"/>
              </w:rPr>
              <w:t>Oneview</w:t>
            </w:r>
            <w:proofErr w:type="spellEnd"/>
            <w:r w:rsidRPr="00C60838">
              <w:rPr>
                <w:rFonts w:ascii="Times New Roman" w:eastAsia="Times New Roman" w:hAnsi="Times New Roman" w:cs="Times New Roman"/>
                <w:color w:val="000000"/>
                <w:lang w:eastAsia="lt-LT"/>
              </w:rPr>
              <w:t xml:space="preserve">“ bei </w:t>
            </w:r>
            <w:r w:rsidRPr="00C60838">
              <w:rPr>
                <w:rFonts w:ascii="Times New Roman" w:eastAsia="Times New Roman" w:hAnsi="Times New Roman" w:cs="Times New Roman"/>
                <w:color w:val="000000"/>
                <w:lang w:eastAsia="lt-LT"/>
              </w:rPr>
              <w:lastRenderedPageBreak/>
              <w:t>pilnai integruotis su esamos infrastruktūros centralizuotu administravimu, turi būti pateiktos tam būtinos licencijos.</w:t>
            </w:r>
          </w:p>
          <w:p w14:paraId="316CDCD8" w14:textId="7A5925A6"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Programinė įranga turi integruotis į </w:t>
            </w:r>
            <w:proofErr w:type="spellStart"/>
            <w:r w:rsidRPr="00C60838">
              <w:rPr>
                <w:rFonts w:ascii="Times New Roman" w:eastAsia="Times New Roman" w:hAnsi="Times New Roman" w:cs="Times New Roman"/>
                <w:color w:val="000000"/>
                <w:lang w:eastAsia="lt-LT"/>
              </w:rPr>
              <w:t>VMware</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vCenter</w:t>
            </w:r>
            <w:proofErr w:type="spellEnd"/>
            <w:r w:rsidRPr="00C60838">
              <w:rPr>
                <w:rFonts w:ascii="Times New Roman" w:eastAsia="Times New Roman" w:hAnsi="Times New Roman" w:cs="Times New Roman"/>
                <w:color w:val="000000"/>
                <w:lang w:eastAsia="lt-LT"/>
              </w:rPr>
              <w:t>, turi stebėti, valdyti bei centralizuotai atnaujinti visas tarnybines stotis, palaikyti greitą tarnybinių stočių instaliavimą panaudojant šablonus.</w:t>
            </w:r>
          </w:p>
          <w:p w14:paraId="01DD3AD3" w14:textId="2355CCDC"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Siūloma tarnybinė stotis turi būti pilnai suderinamos su kliento naudojama stebėjimo (monitoringo)  programine  įranga Dell </w:t>
            </w:r>
            <w:proofErr w:type="spellStart"/>
            <w:r w:rsidRPr="00C60838">
              <w:rPr>
                <w:rFonts w:ascii="Times New Roman" w:eastAsia="Times New Roman" w:hAnsi="Times New Roman" w:cs="Times New Roman"/>
                <w:color w:val="000000"/>
                <w:lang w:eastAsia="lt-LT"/>
              </w:rPr>
              <w:t>CloudIQ</w:t>
            </w:r>
            <w:proofErr w:type="spellEnd"/>
            <w:r w:rsidRPr="00C60838">
              <w:rPr>
                <w:rFonts w:ascii="Times New Roman" w:eastAsia="Times New Roman" w:hAnsi="Times New Roman" w:cs="Times New Roman"/>
                <w:color w:val="000000"/>
                <w:lang w:eastAsia="lt-LT"/>
              </w:rPr>
              <w:t xml:space="preserve">, arba HPE </w:t>
            </w:r>
            <w:proofErr w:type="spellStart"/>
            <w:r w:rsidRPr="00C60838">
              <w:rPr>
                <w:rFonts w:ascii="Times New Roman" w:eastAsia="Times New Roman" w:hAnsi="Times New Roman" w:cs="Times New Roman"/>
                <w:color w:val="000000"/>
                <w:lang w:eastAsia="lt-LT"/>
              </w:rPr>
              <w:t>Greenlake</w:t>
            </w:r>
            <w:proofErr w:type="spellEnd"/>
            <w:r w:rsidRPr="00C60838">
              <w:rPr>
                <w:rFonts w:ascii="Times New Roman" w:eastAsia="Times New Roman" w:hAnsi="Times New Roman" w:cs="Times New Roman"/>
                <w:color w:val="000000"/>
                <w:lang w:eastAsia="lt-LT"/>
              </w:rPr>
              <w:t xml:space="preserve"> ir turi būti pateiktos tam būtinos licencijos.</w:t>
            </w:r>
          </w:p>
          <w:p w14:paraId="1D216B95" w14:textId="7E0485C4"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Duomenys turi būti pateikiami grafiškai, įvairiais pjūviais (pagal laiko periodą, įrangos elementus).</w:t>
            </w:r>
          </w:p>
          <w:p w14:paraId="3BDCD237" w14:textId="321EF16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Stebėjimo ir analizės duomenys turi būti matomi ir pakeitimai atliekami naudojant interneto naršyklę.  </w:t>
            </w:r>
          </w:p>
        </w:tc>
      </w:tr>
      <w:tr w:rsidR="00922DC5" w:rsidRPr="00C60838" w14:paraId="7152EAB4" w14:textId="77777777" w:rsidTr="00922DC5">
        <w:trPr>
          <w:trHeight w:val="594"/>
        </w:trPr>
        <w:tc>
          <w:tcPr>
            <w:tcW w:w="1017" w:type="dxa"/>
            <w:tcBorders>
              <w:top w:val="nil"/>
              <w:left w:val="single" w:sz="4" w:space="0" w:color="auto"/>
              <w:bottom w:val="single" w:sz="4" w:space="0" w:color="auto"/>
              <w:right w:val="single" w:sz="4" w:space="0" w:color="auto"/>
            </w:tcBorders>
          </w:tcPr>
          <w:p w14:paraId="186B31A0"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bookmarkStart w:id="3" w:name="_Hlk224827043"/>
          </w:p>
        </w:tc>
        <w:tc>
          <w:tcPr>
            <w:tcW w:w="1808" w:type="dxa"/>
            <w:tcBorders>
              <w:top w:val="nil"/>
              <w:left w:val="nil"/>
              <w:bottom w:val="single" w:sz="4" w:space="0" w:color="auto"/>
              <w:right w:val="single" w:sz="4" w:space="0" w:color="auto"/>
            </w:tcBorders>
          </w:tcPr>
          <w:p w14:paraId="635B7F2B"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Kiti reikalavimai</w:t>
            </w:r>
          </w:p>
        </w:tc>
        <w:tc>
          <w:tcPr>
            <w:tcW w:w="7938" w:type="dxa"/>
            <w:tcBorders>
              <w:top w:val="nil"/>
              <w:left w:val="nil"/>
              <w:bottom w:val="single" w:sz="4" w:space="0" w:color="auto"/>
              <w:right w:val="single" w:sz="4" w:space="0" w:color="auto"/>
            </w:tcBorders>
          </w:tcPr>
          <w:p w14:paraId="482A8FBA"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Tiekėjas turi būti siūlomos techninės ir programinės įrangos gamintojo autorizuotas (įgaliotas partneris), turintis teisę parduoti siūlomą techninę ir programinę įrangą.</w:t>
            </w:r>
          </w:p>
          <w:p w14:paraId="4CDC0CFA"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Tiekėjas kartu su pasiūlymu turi pateikti Tarnybinės stoties gamintojo išduotą autorizacijos dokumentą (ar kitas lygiavertis dokumentas), skirtą Perkančiajai organizacijai, patvirtinantį, kad siūloma įranga yra nauja ir pilnai atitinka šioje techninėje specifikacijoje nustatytus reikalavimus.</w:t>
            </w:r>
          </w:p>
          <w:p w14:paraId="30EAADEF"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Tiekėjas atskirame priede turi pateikti visų komplektuojančių dalių sąrašą ir produktų kodus (angl. </w:t>
            </w:r>
            <w:proofErr w:type="spellStart"/>
            <w:r w:rsidRPr="00C60838">
              <w:rPr>
                <w:rFonts w:ascii="Times New Roman" w:eastAsia="Times New Roman" w:hAnsi="Times New Roman" w:cs="Times New Roman"/>
                <w:color w:val="000000"/>
                <w:lang w:eastAsia="lt-LT"/>
              </w:rPr>
              <w:t>part</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numbers</w:t>
            </w:r>
            <w:proofErr w:type="spellEnd"/>
            <w:r w:rsidRPr="00C60838">
              <w:rPr>
                <w:rFonts w:ascii="Times New Roman" w:eastAsia="Times New Roman" w:hAnsi="Times New Roman" w:cs="Times New Roman"/>
                <w:color w:val="000000"/>
                <w:lang w:eastAsia="lt-LT"/>
              </w:rPr>
              <w:t>) bei trumpą jų aprašymą kartu su pasiūlymu. Šis sąrašas turi būti patvirtintas tarnybinės stoties gamintojo.</w:t>
            </w:r>
          </w:p>
        </w:tc>
      </w:tr>
      <w:bookmarkEnd w:id="3"/>
      <w:tr w:rsidR="00922DC5" w:rsidRPr="00C60838" w14:paraId="5429951E" w14:textId="77777777" w:rsidTr="00922DC5">
        <w:trPr>
          <w:trHeight w:val="594"/>
        </w:trPr>
        <w:tc>
          <w:tcPr>
            <w:tcW w:w="1017" w:type="dxa"/>
            <w:tcBorders>
              <w:top w:val="nil"/>
              <w:left w:val="single" w:sz="4" w:space="0" w:color="auto"/>
              <w:bottom w:val="single" w:sz="4" w:space="0" w:color="auto"/>
              <w:right w:val="single" w:sz="4" w:space="0" w:color="auto"/>
            </w:tcBorders>
          </w:tcPr>
          <w:p w14:paraId="1502F65A"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nil"/>
              <w:left w:val="nil"/>
              <w:bottom w:val="single" w:sz="4" w:space="0" w:color="auto"/>
              <w:right w:val="single" w:sz="4" w:space="0" w:color="auto"/>
            </w:tcBorders>
          </w:tcPr>
          <w:p w14:paraId="2DB19105"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Pristatymas ir diegimas</w:t>
            </w:r>
          </w:p>
        </w:tc>
        <w:tc>
          <w:tcPr>
            <w:tcW w:w="7938" w:type="dxa"/>
            <w:tcBorders>
              <w:top w:val="nil"/>
              <w:left w:val="nil"/>
              <w:bottom w:val="single" w:sz="4" w:space="0" w:color="auto"/>
              <w:right w:val="single" w:sz="4" w:space="0" w:color="auto"/>
            </w:tcBorders>
          </w:tcPr>
          <w:p w14:paraId="10153ABF" w14:textId="7828FDD9"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Tiekėjas turės pristatyti ir įdiegti siūlomą tarnybinę stotį ne vėliau kaip per 120 (šimtas dvidešimt) kalendorinių dienų.</w:t>
            </w:r>
          </w:p>
          <w:p w14:paraId="197B6145"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Pristatymo adresas Vilniaus mieste bus patikslintas sutarties sudarymo metu.</w:t>
            </w:r>
          </w:p>
          <w:p w14:paraId="2D4F4A2B"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Diegimo metu Tiekėjas turės:</w:t>
            </w:r>
          </w:p>
          <w:p w14:paraId="55DD0CA4" w14:textId="77777777" w:rsidR="00922DC5" w:rsidRPr="00C60838" w:rsidRDefault="00922DC5" w:rsidP="007E08D9">
            <w:pPr>
              <w:pStyle w:val="ListParagraph"/>
              <w:numPr>
                <w:ilvl w:val="0"/>
                <w:numId w:val="5"/>
              </w:num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Parengti ir suderinti fizinę jungimo schemą, bei </w:t>
            </w:r>
            <w:proofErr w:type="spellStart"/>
            <w:r w:rsidRPr="00C60838">
              <w:rPr>
                <w:rFonts w:ascii="Times New Roman" w:eastAsia="Times New Roman" w:hAnsi="Times New Roman" w:cs="Times New Roman"/>
                <w:color w:val="000000"/>
                <w:lang w:eastAsia="lt-LT"/>
              </w:rPr>
              <w:t>konfigūracinius</w:t>
            </w:r>
            <w:proofErr w:type="spellEnd"/>
            <w:r w:rsidRPr="00C60838">
              <w:rPr>
                <w:rFonts w:ascii="Times New Roman" w:eastAsia="Times New Roman" w:hAnsi="Times New Roman" w:cs="Times New Roman"/>
                <w:color w:val="000000"/>
                <w:lang w:eastAsia="lt-LT"/>
              </w:rPr>
              <w:t xml:space="preserve"> įrangos parametrus (tokius kaip OS, IP adresai, tinklo kortų jungimas ir konfigūracija ir kt.). Pagal suderintas schemas tiekėjas privalės sumontuoti, </w:t>
            </w:r>
            <w:proofErr w:type="spellStart"/>
            <w:r w:rsidRPr="00C60838">
              <w:rPr>
                <w:rFonts w:ascii="Times New Roman" w:eastAsia="Times New Roman" w:hAnsi="Times New Roman" w:cs="Times New Roman"/>
                <w:color w:val="000000"/>
                <w:lang w:eastAsia="lt-LT"/>
              </w:rPr>
              <w:t>sukabeliuoti</w:t>
            </w:r>
            <w:proofErr w:type="spellEnd"/>
            <w:r w:rsidRPr="00C60838">
              <w:rPr>
                <w:rFonts w:ascii="Times New Roman" w:eastAsia="Times New Roman" w:hAnsi="Times New Roman" w:cs="Times New Roman"/>
                <w:color w:val="000000"/>
                <w:lang w:eastAsia="lt-LT"/>
              </w:rPr>
              <w:t xml:space="preserve"> ir sužymėti visą įrangą ir kabelius.</w:t>
            </w:r>
          </w:p>
          <w:p w14:paraId="179E306A" w14:textId="77777777" w:rsidR="00922DC5" w:rsidRPr="00C60838" w:rsidRDefault="00922DC5" w:rsidP="007E08D9">
            <w:pPr>
              <w:pStyle w:val="ListParagraph"/>
              <w:numPr>
                <w:ilvl w:val="0"/>
                <w:numId w:val="5"/>
              </w:num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Priregistruoti perkančiosios organizacijos nurodytą elektroninio pašto adresą (bus nurodytas prieš pradedant darbus) siūlomo GPU gamintojo informacinėje sistemoje kurioje turės būti matomos visos kartu įsigytos licencijos. Licencijos turės būti priskirtos įsigytai Platformai ir aktyvuotos serveryje.</w:t>
            </w:r>
          </w:p>
          <w:p w14:paraId="2AB41618" w14:textId="174283C1" w:rsidR="00922DC5" w:rsidRPr="00C60838" w:rsidRDefault="00922DC5" w:rsidP="007E08D9">
            <w:pPr>
              <w:pStyle w:val="ListParagraph"/>
              <w:numPr>
                <w:ilvl w:val="0"/>
                <w:numId w:val="5"/>
              </w:num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Pademonstruoti, kad serveriui yra „matomas“ GPU, kad yra prieiga prie gamintojo informacinės sistemos iš kurios galima tiesiogiai siųstis reikiamą programinę įrangą ir kad pateiktos licencijos yra aktyvuotos.</w:t>
            </w:r>
          </w:p>
          <w:p w14:paraId="59C06A6A" w14:textId="77777777" w:rsidR="00922DC5" w:rsidRPr="00C60838" w:rsidRDefault="00922DC5" w:rsidP="007E08D9">
            <w:pPr>
              <w:pStyle w:val="ListParagraph"/>
              <w:numPr>
                <w:ilvl w:val="0"/>
                <w:numId w:val="5"/>
              </w:num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Parengti visą atliktos konfigūracijos techninę dokumentaciją.</w:t>
            </w:r>
          </w:p>
        </w:tc>
      </w:tr>
      <w:tr w:rsidR="00922DC5" w:rsidRPr="00C60838" w14:paraId="25368CDB" w14:textId="77777777" w:rsidTr="00922DC5">
        <w:trPr>
          <w:trHeight w:val="1386"/>
        </w:trPr>
        <w:tc>
          <w:tcPr>
            <w:tcW w:w="1017" w:type="dxa"/>
            <w:vMerge w:val="restart"/>
            <w:tcBorders>
              <w:top w:val="nil"/>
              <w:left w:val="single" w:sz="4" w:space="0" w:color="auto"/>
              <w:bottom w:val="single" w:sz="4" w:space="0" w:color="auto"/>
              <w:right w:val="single" w:sz="4" w:space="0" w:color="auto"/>
            </w:tcBorders>
            <w:hideMark/>
          </w:tcPr>
          <w:p w14:paraId="5A4A75C4"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vMerge w:val="restart"/>
            <w:tcBorders>
              <w:top w:val="nil"/>
              <w:left w:val="single" w:sz="4" w:space="0" w:color="auto"/>
              <w:bottom w:val="single" w:sz="4" w:space="0" w:color="auto"/>
              <w:right w:val="single" w:sz="4" w:space="0" w:color="auto"/>
            </w:tcBorders>
            <w:hideMark/>
          </w:tcPr>
          <w:p w14:paraId="7594C02F" w14:textId="77777777"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Garantinė techninė priežiūra</w:t>
            </w:r>
          </w:p>
        </w:tc>
        <w:tc>
          <w:tcPr>
            <w:tcW w:w="7938" w:type="dxa"/>
            <w:tcBorders>
              <w:top w:val="nil"/>
              <w:left w:val="nil"/>
              <w:bottom w:val="single" w:sz="4" w:space="0" w:color="auto"/>
              <w:right w:val="single" w:sz="4" w:space="0" w:color="auto"/>
            </w:tcBorders>
            <w:hideMark/>
          </w:tcPr>
          <w:p w14:paraId="669DBF10"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Ne mažesnė kaip 36 mėnesių trukmės garantija. </w:t>
            </w:r>
          </w:p>
          <w:p w14:paraId="4CB7A98B" w14:textId="55457052"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Garantinė priežiūra turi būti teikiama 24 valandas per parą, 7 dienas per savaitę (24x7) įrangos naudojimo vietoje.</w:t>
            </w:r>
          </w:p>
          <w:p w14:paraId="3CF02671" w14:textId="38BC05AC"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Gamintojo garantuojamas nemokamas dalių tiekimas ir nemokami remonto darbai procesorių, atminties, diskų, GPU adapterių, maitinimo šaltinių, aušinimo modulių pakeitimas, jei įvyko išankstinis įspėjimas apie galimą jų gedimą („</w:t>
            </w:r>
            <w:proofErr w:type="spellStart"/>
            <w:r w:rsidRPr="00C60838">
              <w:rPr>
                <w:rFonts w:ascii="Times New Roman" w:eastAsia="Times New Roman" w:hAnsi="Times New Roman" w:cs="Times New Roman"/>
                <w:color w:val="000000"/>
                <w:lang w:eastAsia="lt-LT"/>
              </w:rPr>
              <w:t>prefailure</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warranty</w:t>
            </w:r>
            <w:proofErr w:type="spellEnd"/>
            <w:r w:rsidRPr="00C60838">
              <w:rPr>
                <w:rFonts w:ascii="Times New Roman" w:eastAsia="Times New Roman" w:hAnsi="Times New Roman" w:cs="Times New Roman"/>
                <w:color w:val="000000"/>
                <w:lang w:eastAsia="lt-LT"/>
              </w:rPr>
              <w:t xml:space="preserve">“). </w:t>
            </w:r>
          </w:p>
          <w:p w14:paraId="63FF9AEF"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Tarnybinės stoties diskams turi būti taikoma diskų negrąžinimo garantija.</w:t>
            </w:r>
          </w:p>
          <w:p w14:paraId="5FE7B384"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Turi būti galimybė pratęsti garantiją ne mažiau kaip iki 7 metų išlaikant visas aukščiau paminėtas sąlygas. </w:t>
            </w:r>
          </w:p>
          <w:p w14:paraId="28105310" w14:textId="77777777" w:rsidR="00922DC5" w:rsidRPr="00C60838" w:rsidRDefault="00922DC5" w:rsidP="00B74857">
            <w:pPr>
              <w:spacing w:after="0"/>
              <w:jc w:val="both"/>
              <w:rPr>
                <w:rFonts w:ascii="Times New Roman" w:hAnsi="Times New Roman" w:cs="Times New Roman"/>
              </w:rPr>
            </w:pPr>
            <w:r w:rsidRPr="00C60838">
              <w:rPr>
                <w:rFonts w:ascii="Times New Roman" w:hAnsi="Times New Roman" w:cs="Times New Roman"/>
              </w:rPr>
              <w:t>Garantinė priežiūra turi būti atliekama paties įrangos gamintojo arba jo autorizuoto aptarnavimo atstovo.</w:t>
            </w:r>
          </w:p>
          <w:p w14:paraId="322A98D8" w14:textId="154F5EB6" w:rsidR="00922DC5" w:rsidRPr="00C60838" w:rsidRDefault="00922DC5" w:rsidP="00B74857">
            <w:pPr>
              <w:spacing w:after="0" w:line="240" w:lineRule="auto"/>
              <w:jc w:val="both"/>
              <w:rPr>
                <w:rFonts w:ascii="Times New Roman" w:eastAsia="Times New Roman" w:hAnsi="Times New Roman" w:cs="Times New Roman"/>
                <w:color w:val="000000"/>
                <w:lang w:eastAsia="lt-LT"/>
              </w:rPr>
            </w:pPr>
            <w:r w:rsidRPr="00C60838">
              <w:rPr>
                <w:rFonts w:ascii="Times New Roman" w:hAnsi="Times New Roman" w:cs="Times New Roman"/>
              </w:rPr>
              <w:t>Garantijos laikotarpio metu įrangos būsena turi būti nuolat stebima iš gamintojo techninio centro (tiekėjui sukonfigūravus stebėjimą pagal Perkančiosios organizacijos leidimą).</w:t>
            </w:r>
          </w:p>
          <w:p w14:paraId="56DEAFFC"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Visi aukščiau  išvardinti reikalavimai privalo būti garantuojami tarnybinės stoties gamintojo. Būtina pateikti nuorodą į gamintojo internetinę svetainę, kuri įgalina produkto kodo ir serijinio numerio pagalba patikrinti suteiktą gamintojo garantiją.</w:t>
            </w:r>
          </w:p>
          <w:p w14:paraId="38123901"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Turi būti užtikrinta galimybė gamintojo svetainėje pagal serijinį numerį pasitikrinti tarnybinės stoties garantijos galiojimą bei lygį, taip pat tarnybinės stoties konfigūraciją.</w:t>
            </w:r>
          </w:p>
          <w:p w14:paraId="2E21A8C4"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p>
        </w:tc>
      </w:tr>
      <w:tr w:rsidR="00922DC5" w:rsidRPr="00C60838" w14:paraId="60F897B0" w14:textId="77777777" w:rsidTr="00922DC5">
        <w:trPr>
          <w:trHeight w:val="872"/>
        </w:trPr>
        <w:tc>
          <w:tcPr>
            <w:tcW w:w="1017" w:type="dxa"/>
            <w:vMerge/>
            <w:tcBorders>
              <w:top w:val="nil"/>
              <w:left w:val="single" w:sz="4" w:space="0" w:color="auto"/>
              <w:bottom w:val="single" w:sz="4" w:space="0" w:color="auto"/>
              <w:right w:val="single" w:sz="4" w:space="0" w:color="auto"/>
            </w:tcBorders>
            <w:vAlign w:val="center"/>
            <w:hideMark/>
          </w:tcPr>
          <w:p w14:paraId="38C663F5" w14:textId="77777777" w:rsidR="00922DC5" w:rsidRPr="00C60838" w:rsidRDefault="00922DC5" w:rsidP="007E08D9">
            <w:pPr>
              <w:pStyle w:val="ListParagraph"/>
              <w:numPr>
                <w:ilvl w:val="0"/>
                <w:numId w:val="3"/>
              </w:numPr>
              <w:spacing w:after="0" w:line="240" w:lineRule="auto"/>
              <w:jc w:val="both"/>
              <w:rPr>
                <w:rFonts w:ascii="Times New Roman" w:eastAsia="Times New Roman" w:hAnsi="Times New Roman" w:cs="Times New Roman"/>
                <w:color w:val="000000"/>
                <w:lang w:eastAsia="lt-LT"/>
              </w:rPr>
            </w:pPr>
          </w:p>
        </w:tc>
        <w:tc>
          <w:tcPr>
            <w:tcW w:w="1808" w:type="dxa"/>
            <w:vMerge/>
            <w:tcBorders>
              <w:top w:val="nil"/>
              <w:left w:val="single" w:sz="4" w:space="0" w:color="auto"/>
              <w:bottom w:val="single" w:sz="4" w:space="0" w:color="auto"/>
              <w:right w:val="single" w:sz="4" w:space="0" w:color="auto"/>
            </w:tcBorders>
            <w:vAlign w:val="center"/>
            <w:hideMark/>
          </w:tcPr>
          <w:p w14:paraId="2DF582E6" w14:textId="77777777" w:rsidR="00922DC5" w:rsidRPr="00C60838" w:rsidRDefault="00922DC5" w:rsidP="00362777">
            <w:pPr>
              <w:spacing w:after="0" w:line="240" w:lineRule="auto"/>
              <w:rPr>
                <w:rFonts w:ascii="Times New Roman" w:eastAsia="Times New Roman" w:hAnsi="Times New Roman" w:cs="Times New Roman"/>
                <w:color w:val="000000"/>
                <w:lang w:eastAsia="lt-LT"/>
              </w:rPr>
            </w:pPr>
          </w:p>
        </w:tc>
        <w:tc>
          <w:tcPr>
            <w:tcW w:w="7938" w:type="dxa"/>
            <w:tcBorders>
              <w:top w:val="single" w:sz="4" w:space="0" w:color="auto"/>
              <w:left w:val="nil"/>
              <w:bottom w:val="single" w:sz="4" w:space="0" w:color="auto"/>
              <w:right w:val="single" w:sz="4" w:space="0" w:color="auto"/>
            </w:tcBorders>
            <w:hideMark/>
          </w:tcPr>
          <w:p w14:paraId="3EAB83AD" w14:textId="77777777" w:rsidR="00922DC5" w:rsidRPr="00C60838" w:rsidRDefault="00922DC5" w:rsidP="00362777">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Užsakovui paliekama teisė pareikalauti pažymos iš įrangos gamintojo, kad tiekėjo siūloma įranga visiškai atitinka techninius bei garantinius reikalavimus.</w:t>
            </w:r>
          </w:p>
        </w:tc>
      </w:tr>
      <w:tr w:rsidR="00922DC5" w:rsidRPr="00C60838" w14:paraId="2DECEF48" w14:textId="77777777" w:rsidTr="00922DC5">
        <w:trPr>
          <w:trHeight w:val="4277"/>
        </w:trPr>
        <w:tc>
          <w:tcPr>
            <w:tcW w:w="1017" w:type="dxa"/>
            <w:tcBorders>
              <w:top w:val="single" w:sz="4" w:space="0" w:color="auto"/>
              <w:left w:val="single" w:sz="4" w:space="0" w:color="auto"/>
              <w:bottom w:val="single" w:sz="4" w:space="0" w:color="auto"/>
              <w:right w:val="single" w:sz="4" w:space="0" w:color="auto"/>
            </w:tcBorders>
            <w:hideMark/>
          </w:tcPr>
          <w:p w14:paraId="2B97FD9F" w14:textId="77777777" w:rsidR="00922DC5" w:rsidRPr="00C60838" w:rsidRDefault="00922DC5" w:rsidP="0088296C">
            <w:pPr>
              <w:pStyle w:val="ListParagraph"/>
              <w:numPr>
                <w:ilvl w:val="0"/>
                <w:numId w:val="3"/>
              </w:numPr>
              <w:spacing w:after="0" w:line="240" w:lineRule="auto"/>
              <w:jc w:val="center"/>
              <w:rPr>
                <w:rFonts w:ascii="Times New Roman" w:eastAsia="Times New Roman" w:hAnsi="Times New Roman" w:cs="Times New Roman"/>
                <w:color w:val="000000"/>
                <w:lang w:eastAsia="lt-LT"/>
              </w:rPr>
            </w:pPr>
          </w:p>
        </w:tc>
        <w:tc>
          <w:tcPr>
            <w:tcW w:w="1808" w:type="dxa"/>
            <w:tcBorders>
              <w:top w:val="single" w:sz="4" w:space="0" w:color="auto"/>
              <w:left w:val="single" w:sz="4" w:space="0" w:color="auto"/>
              <w:bottom w:val="single" w:sz="4" w:space="0" w:color="auto"/>
              <w:right w:val="single" w:sz="4" w:space="0" w:color="auto"/>
            </w:tcBorders>
            <w:hideMark/>
          </w:tcPr>
          <w:p w14:paraId="00E97A6F" w14:textId="77777777" w:rsidR="00922DC5" w:rsidRPr="00C60838" w:rsidRDefault="00922DC5" w:rsidP="0088296C">
            <w:pPr>
              <w:spacing w:after="0" w:line="240" w:lineRule="auto"/>
              <w:jc w:val="center"/>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Surinkimo reikalavimai</w:t>
            </w:r>
          </w:p>
        </w:tc>
        <w:tc>
          <w:tcPr>
            <w:tcW w:w="7938" w:type="dxa"/>
            <w:tcBorders>
              <w:top w:val="single" w:sz="4" w:space="0" w:color="auto"/>
              <w:left w:val="nil"/>
              <w:bottom w:val="single" w:sz="4" w:space="0" w:color="auto"/>
              <w:right w:val="single" w:sz="4" w:space="0" w:color="auto"/>
            </w:tcBorders>
            <w:hideMark/>
          </w:tcPr>
          <w:p w14:paraId="180A943F" w14:textId="77777777" w:rsidR="00922DC5" w:rsidRPr="00C60838" w:rsidRDefault="00922DC5" w:rsidP="0088296C">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 xml:space="preserve">Siūloma tarnybinė stotis turi būti nauja ir anksčiau nenaudota ar </w:t>
            </w:r>
            <w:proofErr w:type="spellStart"/>
            <w:r w:rsidRPr="00C60838">
              <w:rPr>
                <w:rFonts w:ascii="Times New Roman" w:eastAsia="Times New Roman" w:hAnsi="Times New Roman" w:cs="Times New Roman"/>
                <w:color w:val="000000"/>
                <w:lang w:eastAsia="lt-LT"/>
              </w:rPr>
              <w:t>gamykliškai</w:t>
            </w:r>
            <w:proofErr w:type="spellEnd"/>
            <w:r w:rsidRPr="00C60838">
              <w:rPr>
                <w:rFonts w:ascii="Times New Roman" w:eastAsia="Times New Roman" w:hAnsi="Times New Roman" w:cs="Times New Roman"/>
                <w:color w:val="000000"/>
                <w:lang w:eastAsia="lt-LT"/>
              </w:rPr>
              <w:t xml:space="preserve"> atnaujinta (angl. </w:t>
            </w:r>
            <w:proofErr w:type="spellStart"/>
            <w:r w:rsidRPr="00C60838">
              <w:rPr>
                <w:rFonts w:ascii="Times New Roman" w:eastAsia="Times New Roman" w:hAnsi="Times New Roman" w:cs="Times New Roman"/>
                <w:color w:val="000000"/>
                <w:lang w:eastAsia="lt-LT"/>
              </w:rPr>
              <w:t>Renewed</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Refurbished</w:t>
            </w:r>
            <w:proofErr w:type="spellEnd"/>
            <w:r w:rsidRPr="00C60838">
              <w:rPr>
                <w:rFonts w:ascii="Times New Roman" w:eastAsia="Times New Roman" w:hAnsi="Times New Roman" w:cs="Times New Roman"/>
                <w:color w:val="000000"/>
                <w:lang w:eastAsia="lt-LT"/>
              </w:rPr>
              <w:t xml:space="preserve">, </w:t>
            </w:r>
            <w:proofErr w:type="spellStart"/>
            <w:r w:rsidRPr="00C60838">
              <w:rPr>
                <w:rFonts w:ascii="Times New Roman" w:eastAsia="Times New Roman" w:hAnsi="Times New Roman" w:cs="Times New Roman"/>
                <w:color w:val="000000"/>
                <w:lang w:eastAsia="lt-LT"/>
              </w:rPr>
              <w:t>Remarketed</w:t>
            </w:r>
            <w:proofErr w:type="spellEnd"/>
            <w:r w:rsidRPr="00C60838">
              <w:rPr>
                <w:rFonts w:ascii="Times New Roman" w:eastAsia="Times New Roman" w:hAnsi="Times New Roman" w:cs="Times New Roman"/>
                <w:color w:val="000000"/>
                <w:lang w:eastAsia="lt-LT"/>
              </w:rPr>
              <w:t xml:space="preserve">). </w:t>
            </w:r>
          </w:p>
          <w:p w14:paraId="68E5F6E6" w14:textId="77777777" w:rsidR="00922DC5" w:rsidRPr="00C60838" w:rsidRDefault="00922DC5" w:rsidP="0088296C">
            <w:pPr>
              <w:spacing w:after="0" w:line="240" w:lineRule="auto"/>
              <w:jc w:val="both"/>
              <w:rPr>
                <w:rFonts w:ascii="Times New Roman" w:eastAsia="Times New Roman" w:hAnsi="Times New Roman" w:cs="Times New Roman"/>
                <w:color w:val="000000"/>
                <w:lang w:eastAsia="lt-LT"/>
              </w:rPr>
            </w:pPr>
            <w:r w:rsidRPr="00C60838">
              <w:rPr>
                <w:rFonts w:ascii="Times New Roman" w:eastAsia="Times New Roman" w:hAnsi="Times New Roman" w:cs="Times New Roman"/>
                <w:color w:val="000000"/>
                <w:lang w:eastAsia="lt-LT"/>
              </w:rPr>
              <w:t>Visos komplektuojamos įrenginio dalys privalo būti komplektuojamos įrenginio gamintojo ir pažymėtos gamintojo gamykliniais kodais.</w:t>
            </w:r>
          </w:p>
          <w:p w14:paraId="593DBBDE" w14:textId="77777777" w:rsidR="00922DC5" w:rsidRPr="00C60838" w:rsidRDefault="00922DC5" w:rsidP="0088296C">
            <w:pPr>
              <w:spacing w:after="0" w:line="240" w:lineRule="auto"/>
              <w:jc w:val="both"/>
              <w:rPr>
                <w:rFonts w:ascii="Times New Roman" w:eastAsia="Times New Roman" w:hAnsi="Times New Roman" w:cs="Times New Roman"/>
                <w:color w:val="000000"/>
                <w:lang w:eastAsia="lt-LT"/>
              </w:rPr>
            </w:pPr>
            <w:r w:rsidRPr="00C60838">
              <w:rPr>
                <w:rFonts w:ascii="Times New Roman" w:hAnsi="Times New Roman" w:cs="Times New Roman"/>
              </w:rPr>
              <w:t>Stotį sudarantys komponentai (procesoriai, atmintis, GPU adapteriai, valdikliai, diskai ir kt.) turi būti suderinti tarpusavyje, pagaminti vieno gamintojo arba kelių gamintojų, tačiau turi būti pateiktas tarnybinės stoties gamintojo patvirtinimas dėl komponentų tarpusavio suderinamumo.</w:t>
            </w:r>
          </w:p>
        </w:tc>
      </w:tr>
      <w:tr w:rsidR="00922DC5" w:rsidRPr="00C60838" w14:paraId="794731C4" w14:textId="77777777" w:rsidTr="00922DC5">
        <w:trPr>
          <w:trHeight w:val="2611"/>
        </w:trPr>
        <w:tc>
          <w:tcPr>
            <w:tcW w:w="1017" w:type="dxa"/>
            <w:tcBorders>
              <w:top w:val="single" w:sz="4" w:space="0" w:color="auto"/>
              <w:left w:val="single" w:sz="4" w:space="0" w:color="auto"/>
              <w:bottom w:val="single" w:sz="4" w:space="0" w:color="auto"/>
              <w:right w:val="single" w:sz="4" w:space="0" w:color="auto"/>
            </w:tcBorders>
            <w:hideMark/>
          </w:tcPr>
          <w:p w14:paraId="3BE01826" w14:textId="77777777" w:rsidR="00922DC5" w:rsidRPr="00C60838" w:rsidRDefault="00922DC5" w:rsidP="007E08D9">
            <w:pPr>
              <w:pStyle w:val="ListParagraph"/>
              <w:numPr>
                <w:ilvl w:val="0"/>
                <w:numId w:val="3"/>
              </w:numPr>
              <w:spacing w:after="0" w:line="240" w:lineRule="auto"/>
              <w:jc w:val="center"/>
              <w:rPr>
                <w:rFonts w:ascii="Times New Roman" w:eastAsia="Times New Roman" w:hAnsi="Times New Roman" w:cs="Times New Roman"/>
                <w:color w:val="000000"/>
                <w:lang w:eastAsia="lt-LT"/>
              </w:rPr>
            </w:pPr>
            <w:bookmarkStart w:id="4" w:name="OLE_LINK18"/>
          </w:p>
        </w:tc>
        <w:tc>
          <w:tcPr>
            <w:tcW w:w="1808" w:type="dxa"/>
            <w:tcBorders>
              <w:top w:val="single" w:sz="4" w:space="0" w:color="auto"/>
              <w:left w:val="single" w:sz="4" w:space="0" w:color="auto"/>
              <w:bottom w:val="single" w:sz="4" w:space="0" w:color="auto"/>
              <w:right w:val="single" w:sz="4" w:space="0" w:color="auto"/>
            </w:tcBorders>
            <w:hideMark/>
          </w:tcPr>
          <w:p w14:paraId="1F0B4226" w14:textId="549198A9" w:rsidR="00922DC5" w:rsidRPr="00C60838" w:rsidRDefault="00922DC5" w:rsidP="00362777">
            <w:pPr>
              <w:spacing w:after="0" w:line="240" w:lineRule="auto"/>
              <w:jc w:val="center"/>
              <w:rPr>
                <w:rFonts w:ascii="Times New Roman" w:eastAsia="Times New Roman" w:hAnsi="Times New Roman" w:cs="Times New Roman"/>
                <w:color w:val="000000"/>
                <w:lang w:eastAsia="lt-LT"/>
              </w:rPr>
            </w:pPr>
            <w:bookmarkStart w:id="5" w:name="OLE_LINK19"/>
            <w:r w:rsidRPr="00C60838">
              <w:rPr>
                <w:rFonts w:ascii="Times New Roman" w:hAnsi="Times New Roman" w:cs="Times New Roman"/>
                <w:bCs/>
              </w:rPr>
              <w:t xml:space="preserve">Suderinamumas su operacinėmis sistemomis ir </w:t>
            </w:r>
            <w:proofErr w:type="spellStart"/>
            <w:r w:rsidRPr="00C60838">
              <w:rPr>
                <w:rFonts w:ascii="Times New Roman" w:hAnsi="Times New Roman" w:cs="Times New Roman"/>
                <w:bCs/>
              </w:rPr>
              <w:t>virtualizavimo</w:t>
            </w:r>
            <w:proofErr w:type="spellEnd"/>
            <w:r w:rsidRPr="00C60838">
              <w:rPr>
                <w:rFonts w:ascii="Times New Roman" w:hAnsi="Times New Roman" w:cs="Times New Roman"/>
                <w:bCs/>
              </w:rPr>
              <w:t xml:space="preserve"> platformomis</w:t>
            </w:r>
            <w:bookmarkEnd w:id="5"/>
          </w:p>
        </w:tc>
        <w:tc>
          <w:tcPr>
            <w:tcW w:w="7938" w:type="dxa"/>
            <w:tcBorders>
              <w:top w:val="single" w:sz="4" w:space="0" w:color="auto"/>
              <w:left w:val="nil"/>
              <w:bottom w:val="single" w:sz="4" w:space="0" w:color="auto"/>
              <w:right w:val="single" w:sz="4" w:space="0" w:color="auto"/>
            </w:tcBorders>
            <w:hideMark/>
          </w:tcPr>
          <w:p w14:paraId="7CDD9B68" w14:textId="77777777" w:rsidR="00922DC5" w:rsidRPr="00C60838" w:rsidRDefault="00922DC5" w:rsidP="00BE659A">
            <w:pPr>
              <w:spacing w:after="0"/>
              <w:jc w:val="both"/>
              <w:rPr>
                <w:rFonts w:ascii="Times New Roman" w:hAnsi="Times New Roman" w:cs="Times New Roman"/>
              </w:rPr>
            </w:pPr>
            <w:r w:rsidRPr="00C60838">
              <w:rPr>
                <w:rFonts w:ascii="Times New Roman" w:hAnsi="Times New Roman" w:cs="Times New Roman"/>
              </w:rPr>
              <w:t>Tarnybinė stotis turi būti sertifikuota darbui su ne senesnėmis kaip šiomis (arba lygiavertėmis) platformų versijomis:</w:t>
            </w:r>
          </w:p>
          <w:p w14:paraId="5C9FDA0B" w14:textId="226F6F59" w:rsidR="00922DC5" w:rsidRPr="00C60838" w:rsidRDefault="00922DC5" w:rsidP="00BE659A">
            <w:pPr>
              <w:spacing w:after="0"/>
              <w:jc w:val="both"/>
              <w:rPr>
                <w:rFonts w:ascii="Times New Roman" w:hAnsi="Times New Roman" w:cs="Times New Roman"/>
              </w:rPr>
            </w:pPr>
            <w:r w:rsidRPr="00C60838">
              <w:rPr>
                <w:rFonts w:ascii="Times New Roman" w:hAnsi="Times New Roman" w:cs="Times New Roman"/>
              </w:rPr>
              <w:t>Windows Server 2025 arba naujesnė;</w:t>
            </w:r>
          </w:p>
          <w:p w14:paraId="7B7CBC2C" w14:textId="296997FC" w:rsidR="00922DC5" w:rsidRPr="00C60838" w:rsidRDefault="00922DC5" w:rsidP="00BE659A">
            <w:pPr>
              <w:spacing w:after="0"/>
              <w:jc w:val="both"/>
              <w:rPr>
                <w:rFonts w:ascii="Times New Roman" w:hAnsi="Times New Roman" w:cs="Times New Roman"/>
              </w:rPr>
            </w:pPr>
            <w:proofErr w:type="spellStart"/>
            <w:r w:rsidRPr="00C60838">
              <w:rPr>
                <w:rFonts w:ascii="Times New Roman" w:hAnsi="Times New Roman" w:cs="Times New Roman"/>
              </w:rPr>
              <w:t>VMware</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ESXi</w:t>
            </w:r>
            <w:proofErr w:type="spellEnd"/>
            <w:r w:rsidRPr="00C60838">
              <w:rPr>
                <w:rFonts w:ascii="Times New Roman" w:hAnsi="Times New Roman" w:cs="Times New Roman"/>
              </w:rPr>
              <w:t xml:space="preserve"> 8.x ir naujesnė palaikoma versija;</w:t>
            </w:r>
          </w:p>
          <w:p w14:paraId="0DF56534" w14:textId="7B4BDE90" w:rsidR="00922DC5" w:rsidRPr="00C60838" w:rsidRDefault="00922DC5" w:rsidP="00BE659A">
            <w:pPr>
              <w:spacing w:after="0" w:line="240" w:lineRule="auto"/>
              <w:jc w:val="both"/>
              <w:rPr>
                <w:rFonts w:ascii="Times New Roman" w:eastAsia="Times New Roman" w:hAnsi="Times New Roman" w:cs="Times New Roman"/>
                <w:color w:val="000000"/>
                <w:lang w:eastAsia="lt-LT"/>
              </w:rPr>
            </w:pPr>
            <w:proofErr w:type="spellStart"/>
            <w:r w:rsidRPr="00C60838">
              <w:rPr>
                <w:rFonts w:ascii="Times New Roman" w:hAnsi="Times New Roman" w:cs="Times New Roman"/>
              </w:rPr>
              <w:t>Red</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Hat</w:t>
            </w:r>
            <w:proofErr w:type="spellEnd"/>
            <w:r w:rsidRPr="00C60838">
              <w:rPr>
                <w:rFonts w:ascii="Times New Roman" w:hAnsi="Times New Roman" w:cs="Times New Roman"/>
              </w:rPr>
              <w:t xml:space="preserve"> </w:t>
            </w:r>
            <w:proofErr w:type="spellStart"/>
            <w:r w:rsidRPr="00C60838">
              <w:rPr>
                <w:rFonts w:ascii="Times New Roman" w:hAnsi="Times New Roman" w:cs="Times New Roman"/>
              </w:rPr>
              <w:t>Enterprise</w:t>
            </w:r>
            <w:proofErr w:type="spellEnd"/>
            <w:r w:rsidRPr="00C60838">
              <w:rPr>
                <w:rFonts w:ascii="Times New Roman" w:hAnsi="Times New Roman" w:cs="Times New Roman"/>
              </w:rPr>
              <w:t xml:space="preserve"> Linux 9.x arba naujesnė palaikoma versija.</w:t>
            </w:r>
          </w:p>
        </w:tc>
      </w:tr>
      <w:bookmarkEnd w:id="4"/>
    </w:tbl>
    <w:p w14:paraId="2114321B" w14:textId="77777777" w:rsidR="007E08D9" w:rsidRPr="00C60838" w:rsidRDefault="007E08D9" w:rsidP="007E08D9">
      <w:pPr>
        <w:spacing w:after="0"/>
        <w:rPr>
          <w:rFonts w:ascii="Times New Roman" w:hAnsi="Times New Roman" w:cs="Times New Roman"/>
          <w:color w:val="425563"/>
        </w:rPr>
      </w:pPr>
    </w:p>
    <w:p w14:paraId="411B4019" w14:textId="77777777" w:rsidR="00BF3575" w:rsidRPr="00C60838" w:rsidRDefault="00BF3575">
      <w:pPr>
        <w:rPr>
          <w:rFonts w:ascii="Times New Roman" w:hAnsi="Times New Roman" w:cs="Times New Roman"/>
        </w:rPr>
      </w:pPr>
    </w:p>
    <w:sectPr w:rsidR="00BF3575" w:rsidRPr="00C60838" w:rsidSect="007E08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234F" w14:textId="77777777" w:rsidR="00113B32" w:rsidRDefault="00113B32" w:rsidP="00936722">
      <w:pPr>
        <w:spacing w:after="0" w:line="240" w:lineRule="auto"/>
      </w:pPr>
      <w:r>
        <w:separator/>
      </w:r>
    </w:p>
  </w:endnote>
  <w:endnote w:type="continuationSeparator" w:id="0">
    <w:p w14:paraId="37640F13" w14:textId="77777777" w:rsidR="00113B32" w:rsidRDefault="00113B32" w:rsidP="00936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09F6" w14:textId="77777777" w:rsidR="00113B32" w:rsidRDefault="00113B32" w:rsidP="00936722">
      <w:pPr>
        <w:spacing w:after="0" w:line="240" w:lineRule="auto"/>
      </w:pPr>
      <w:r>
        <w:separator/>
      </w:r>
    </w:p>
  </w:footnote>
  <w:footnote w:type="continuationSeparator" w:id="0">
    <w:p w14:paraId="23E6D8D0" w14:textId="77777777" w:rsidR="00113B32" w:rsidRDefault="00113B32" w:rsidP="00936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C46"/>
    <w:multiLevelType w:val="hybridMultilevel"/>
    <w:tmpl w:val="59C6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1948"/>
    <w:multiLevelType w:val="hybridMultilevel"/>
    <w:tmpl w:val="4CB07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EE137D"/>
    <w:multiLevelType w:val="hybridMultilevel"/>
    <w:tmpl w:val="979EF7E2"/>
    <w:lvl w:ilvl="0" w:tplc="481CD6D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2E446E"/>
    <w:multiLevelType w:val="hybridMultilevel"/>
    <w:tmpl w:val="D362EFB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9796547"/>
    <w:multiLevelType w:val="hybridMultilevel"/>
    <w:tmpl w:val="4CFCF2B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047F91"/>
    <w:multiLevelType w:val="hybridMultilevel"/>
    <w:tmpl w:val="D62852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7341383">
    <w:abstractNumId w:val="0"/>
  </w:num>
  <w:num w:numId="2" w16cid:durableId="1255094459">
    <w:abstractNumId w:val="1"/>
  </w:num>
  <w:num w:numId="3" w16cid:durableId="338384800">
    <w:abstractNumId w:val="3"/>
  </w:num>
  <w:num w:numId="4" w16cid:durableId="54204976">
    <w:abstractNumId w:val="5"/>
  </w:num>
  <w:num w:numId="5" w16cid:durableId="1951427858">
    <w:abstractNumId w:val="4"/>
  </w:num>
  <w:num w:numId="6" w16cid:durableId="58048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D9"/>
    <w:rsid w:val="000006DC"/>
    <w:rsid w:val="00000D39"/>
    <w:rsid w:val="00003A26"/>
    <w:rsid w:val="000256A7"/>
    <w:rsid w:val="000403D9"/>
    <w:rsid w:val="000563FB"/>
    <w:rsid w:val="00063850"/>
    <w:rsid w:val="00064019"/>
    <w:rsid w:val="000763F1"/>
    <w:rsid w:val="00090A71"/>
    <w:rsid w:val="00095AA9"/>
    <w:rsid w:val="00096F1B"/>
    <w:rsid w:val="000A6138"/>
    <w:rsid w:val="000B79C1"/>
    <w:rsid w:val="000D306F"/>
    <w:rsid w:val="000D35C1"/>
    <w:rsid w:val="000E59B2"/>
    <w:rsid w:val="00100BEE"/>
    <w:rsid w:val="00113992"/>
    <w:rsid w:val="00113B32"/>
    <w:rsid w:val="00120E34"/>
    <w:rsid w:val="0015102B"/>
    <w:rsid w:val="001610BF"/>
    <w:rsid w:val="001B77E3"/>
    <w:rsid w:val="001C6AF6"/>
    <w:rsid w:val="001D516B"/>
    <w:rsid w:val="001E4FDF"/>
    <w:rsid w:val="001E7A03"/>
    <w:rsid w:val="001F2BA8"/>
    <w:rsid w:val="0022315C"/>
    <w:rsid w:val="00227900"/>
    <w:rsid w:val="00230F79"/>
    <w:rsid w:val="00244B68"/>
    <w:rsid w:val="00256528"/>
    <w:rsid w:val="00256FD3"/>
    <w:rsid w:val="0026691B"/>
    <w:rsid w:val="0027703B"/>
    <w:rsid w:val="002A4F84"/>
    <w:rsid w:val="002B643C"/>
    <w:rsid w:val="002E5B0F"/>
    <w:rsid w:val="002E6A2B"/>
    <w:rsid w:val="002F13D0"/>
    <w:rsid w:val="002F7587"/>
    <w:rsid w:val="00304DD3"/>
    <w:rsid w:val="00322E6B"/>
    <w:rsid w:val="00323287"/>
    <w:rsid w:val="0033006E"/>
    <w:rsid w:val="00337CDB"/>
    <w:rsid w:val="0035206D"/>
    <w:rsid w:val="0036441C"/>
    <w:rsid w:val="00365B1A"/>
    <w:rsid w:val="003808E1"/>
    <w:rsid w:val="003943C1"/>
    <w:rsid w:val="003C10C3"/>
    <w:rsid w:val="003C2B77"/>
    <w:rsid w:val="003D5CC0"/>
    <w:rsid w:val="003F1855"/>
    <w:rsid w:val="004311C1"/>
    <w:rsid w:val="00436FA1"/>
    <w:rsid w:val="00461927"/>
    <w:rsid w:val="00463987"/>
    <w:rsid w:val="00473EF1"/>
    <w:rsid w:val="004837F0"/>
    <w:rsid w:val="00485A63"/>
    <w:rsid w:val="00495CA4"/>
    <w:rsid w:val="004A1F24"/>
    <w:rsid w:val="004A2BDC"/>
    <w:rsid w:val="004A64DC"/>
    <w:rsid w:val="004B3A65"/>
    <w:rsid w:val="004D04C8"/>
    <w:rsid w:val="004D2D9E"/>
    <w:rsid w:val="004F1E2E"/>
    <w:rsid w:val="004F2E04"/>
    <w:rsid w:val="004F47C7"/>
    <w:rsid w:val="005017FF"/>
    <w:rsid w:val="00522892"/>
    <w:rsid w:val="00536495"/>
    <w:rsid w:val="005408D3"/>
    <w:rsid w:val="00562DF1"/>
    <w:rsid w:val="00571B56"/>
    <w:rsid w:val="0057318B"/>
    <w:rsid w:val="005806DC"/>
    <w:rsid w:val="00585FFF"/>
    <w:rsid w:val="005925A6"/>
    <w:rsid w:val="005A12A7"/>
    <w:rsid w:val="005D37CC"/>
    <w:rsid w:val="005E3383"/>
    <w:rsid w:val="005F4F52"/>
    <w:rsid w:val="00613417"/>
    <w:rsid w:val="00622A37"/>
    <w:rsid w:val="00630EE4"/>
    <w:rsid w:val="006B1925"/>
    <w:rsid w:val="006C114C"/>
    <w:rsid w:val="006F153F"/>
    <w:rsid w:val="00704C31"/>
    <w:rsid w:val="00723B78"/>
    <w:rsid w:val="00725666"/>
    <w:rsid w:val="007331E2"/>
    <w:rsid w:val="00751347"/>
    <w:rsid w:val="0079768C"/>
    <w:rsid w:val="007A3AA7"/>
    <w:rsid w:val="007C094F"/>
    <w:rsid w:val="007C789E"/>
    <w:rsid w:val="007D4F03"/>
    <w:rsid w:val="007D7686"/>
    <w:rsid w:val="007E08D9"/>
    <w:rsid w:val="007E5317"/>
    <w:rsid w:val="007F1529"/>
    <w:rsid w:val="007F24B4"/>
    <w:rsid w:val="00800CFE"/>
    <w:rsid w:val="008075A4"/>
    <w:rsid w:val="00807B6C"/>
    <w:rsid w:val="00811DEE"/>
    <w:rsid w:val="008235F6"/>
    <w:rsid w:val="00823AA9"/>
    <w:rsid w:val="00824694"/>
    <w:rsid w:val="008473A1"/>
    <w:rsid w:val="00847439"/>
    <w:rsid w:val="00863203"/>
    <w:rsid w:val="008714A5"/>
    <w:rsid w:val="0087310C"/>
    <w:rsid w:val="0087397E"/>
    <w:rsid w:val="00890575"/>
    <w:rsid w:val="008B4D36"/>
    <w:rsid w:val="008D2D44"/>
    <w:rsid w:val="008D5D3F"/>
    <w:rsid w:val="008D68FE"/>
    <w:rsid w:val="008E03DB"/>
    <w:rsid w:val="008F16D2"/>
    <w:rsid w:val="00922DC5"/>
    <w:rsid w:val="00923FCF"/>
    <w:rsid w:val="0093488D"/>
    <w:rsid w:val="00936722"/>
    <w:rsid w:val="00937091"/>
    <w:rsid w:val="00947E0C"/>
    <w:rsid w:val="009812DC"/>
    <w:rsid w:val="0099041B"/>
    <w:rsid w:val="009941EB"/>
    <w:rsid w:val="00994914"/>
    <w:rsid w:val="00994FCB"/>
    <w:rsid w:val="009A2E0D"/>
    <w:rsid w:val="009B5BFA"/>
    <w:rsid w:val="009C3E05"/>
    <w:rsid w:val="009C584E"/>
    <w:rsid w:val="00A32447"/>
    <w:rsid w:val="00A52571"/>
    <w:rsid w:val="00A57664"/>
    <w:rsid w:val="00A620C0"/>
    <w:rsid w:val="00A87BF3"/>
    <w:rsid w:val="00A932DB"/>
    <w:rsid w:val="00AB058A"/>
    <w:rsid w:val="00AC39D6"/>
    <w:rsid w:val="00AE4E9A"/>
    <w:rsid w:val="00B21C70"/>
    <w:rsid w:val="00B27C88"/>
    <w:rsid w:val="00B36B95"/>
    <w:rsid w:val="00B43910"/>
    <w:rsid w:val="00B60FF3"/>
    <w:rsid w:val="00B668BE"/>
    <w:rsid w:val="00B74857"/>
    <w:rsid w:val="00B77E9C"/>
    <w:rsid w:val="00B82534"/>
    <w:rsid w:val="00B84BE8"/>
    <w:rsid w:val="00B9037D"/>
    <w:rsid w:val="00BA08C2"/>
    <w:rsid w:val="00BA739C"/>
    <w:rsid w:val="00BC1EBE"/>
    <w:rsid w:val="00BC49DC"/>
    <w:rsid w:val="00BD3B54"/>
    <w:rsid w:val="00BE659A"/>
    <w:rsid w:val="00BF0861"/>
    <w:rsid w:val="00BF3575"/>
    <w:rsid w:val="00C05B3C"/>
    <w:rsid w:val="00C06414"/>
    <w:rsid w:val="00C06415"/>
    <w:rsid w:val="00C32EC2"/>
    <w:rsid w:val="00C33D58"/>
    <w:rsid w:val="00C37E1C"/>
    <w:rsid w:val="00C60838"/>
    <w:rsid w:val="00C80E1A"/>
    <w:rsid w:val="00C81F42"/>
    <w:rsid w:val="00CC259A"/>
    <w:rsid w:val="00CD4017"/>
    <w:rsid w:val="00CE5E1C"/>
    <w:rsid w:val="00CE74E7"/>
    <w:rsid w:val="00D0333C"/>
    <w:rsid w:val="00D06B6E"/>
    <w:rsid w:val="00D117ED"/>
    <w:rsid w:val="00D20169"/>
    <w:rsid w:val="00D222F0"/>
    <w:rsid w:val="00D25BD4"/>
    <w:rsid w:val="00D4075F"/>
    <w:rsid w:val="00D428FB"/>
    <w:rsid w:val="00D44030"/>
    <w:rsid w:val="00D56057"/>
    <w:rsid w:val="00D8627E"/>
    <w:rsid w:val="00D873B3"/>
    <w:rsid w:val="00D904A9"/>
    <w:rsid w:val="00D945AC"/>
    <w:rsid w:val="00DB3C6C"/>
    <w:rsid w:val="00DB419A"/>
    <w:rsid w:val="00DE5745"/>
    <w:rsid w:val="00DF1015"/>
    <w:rsid w:val="00E03964"/>
    <w:rsid w:val="00E1418F"/>
    <w:rsid w:val="00E30552"/>
    <w:rsid w:val="00E42511"/>
    <w:rsid w:val="00E51168"/>
    <w:rsid w:val="00E523DC"/>
    <w:rsid w:val="00E54D2C"/>
    <w:rsid w:val="00E616F2"/>
    <w:rsid w:val="00E66F50"/>
    <w:rsid w:val="00E93BF1"/>
    <w:rsid w:val="00EB26F2"/>
    <w:rsid w:val="00EB4AEF"/>
    <w:rsid w:val="00EC1575"/>
    <w:rsid w:val="00EE0564"/>
    <w:rsid w:val="00F04D02"/>
    <w:rsid w:val="00F103A4"/>
    <w:rsid w:val="00F3369F"/>
    <w:rsid w:val="00F47140"/>
    <w:rsid w:val="00F618DB"/>
    <w:rsid w:val="00F62BF2"/>
    <w:rsid w:val="00F77B60"/>
    <w:rsid w:val="00F86D86"/>
    <w:rsid w:val="00F87402"/>
    <w:rsid w:val="00F94824"/>
    <w:rsid w:val="00FB3EFC"/>
    <w:rsid w:val="00FD49B0"/>
    <w:rsid w:val="00FD61AD"/>
    <w:rsid w:val="00FF5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8286A"/>
  <w15:chartTrackingRefBased/>
  <w15:docId w15:val="{EA783456-C7CE-48BE-B7C6-859AA019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EE4"/>
    <w:pPr>
      <w:spacing w:line="259" w:lineRule="auto"/>
    </w:pPr>
    <w:rPr>
      <w:rFonts w:asciiTheme="minorHAnsi" w:hAnsiTheme="minorHAnsi" w:cstheme="minorBidi"/>
      <w:kern w:val="0"/>
      <w:sz w:val="22"/>
      <w:szCs w:val="22"/>
      <w:lang w:val="lt-LT"/>
      <w14:ligatures w14:val="none"/>
    </w:rPr>
  </w:style>
  <w:style w:type="paragraph" w:styleId="Heading1">
    <w:name w:val="heading 1"/>
    <w:basedOn w:val="Normal"/>
    <w:next w:val="Normal"/>
    <w:link w:val="Heading1Char"/>
    <w:uiPriority w:val="9"/>
    <w:qFormat/>
    <w:rsid w:val="007E0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8D9"/>
    <w:rPr>
      <w:rFonts w:asciiTheme="minorHAnsi" w:eastAsiaTheme="majorEastAsia" w:hAnsiTheme="minorHAnsi" w:cstheme="majorBidi"/>
      <w:color w:val="0F4761" w:themeColor="accent1" w:themeShade="BF"/>
      <w:kern w:val="0"/>
      <w:sz w:val="28"/>
      <w:szCs w:val="28"/>
      <w:lang w:val="lt-LT"/>
      <w14:ligatures w14:val="none"/>
    </w:rPr>
  </w:style>
  <w:style w:type="character" w:customStyle="1" w:styleId="Heading4Char">
    <w:name w:val="Heading 4 Char"/>
    <w:basedOn w:val="DefaultParagraphFont"/>
    <w:link w:val="Heading4"/>
    <w:uiPriority w:val="9"/>
    <w:semiHidden/>
    <w:rsid w:val="007E08D9"/>
    <w:rPr>
      <w:rFonts w:asciiTheme="minorHAnsi" w:eastAsiaTheme="majorEastAsia" w:hAnsiTheme="minorHAnsi" w:cstheme="majorBidi"/>
      <w:i/>
      <w:iCs/>
      <w:color w:val="0F4761" w:themeColor="accent1" w:themeShade="BF"/>
      <w:kern w:val="0"/>
      <w:sz w:val="22"/>
      <w:szCs w:val="22"/>
      <w:lang w:val="lt-LT"/>
      <w14:ligatures w14:val="none"/>
    </w:rPr>
  </w:style>
  <w:style w:type="character" w:customStyle="1" w:styleId="Heading5Char">
    <w:name w:val="Heading 5 Char"/>
    <w:basedOn w:val="DefaultParagraphFont"/>
    <w:link w:val="Heading5"/>
    <w:uiPriority w:val="9"/>
    <w:semiHidden/>
    <w:rsid w:val="007E08D9"/>
    <w:rPr>
      <w:rFonts w:asciiTheme="minorHAnsi" w:eastAsiaTheme="majorEastAsia" w:hAnsiTheme="minorHAnsi" w:cstheme="majorBidi"/>
      <w:color w:val="0F4761" w:themeColor="accent1" w:themeShade="BF"/>
      <w:kern w:val="0"/>
      <w:sz w:val="22"/>
      <w:szCs w:val="22"/>
      <w:lang w:val="lt-LT"/>
      <w14:ligatures w14:val="none"/>
    </w:rPr>
  </w:style>
  <w:style w:type="character" w:customStyle="1" w:styleId="Heading6Char">
    <w:name w:val="Heading 6 Char"/>
    <w:basedOn w:val="DefaultParagraphFont"/>
    <w:link w:val="Heading6"/>
    <w:uiPriority w:val="9"/>
    <w:semiHidden/>
    <w:rsid w:val="007E08D9"/>
    <w:rPr>
      <w:rFonts w:asciiTheme="minorHAnsi" w:eastAsiaTheme="majorEastAsia" w:hAnsiTheme="minorHAnsi" w:cstheme="majorBidi"/>
      <w:i/>
      <w:iCs/>
      <w:color w:val="595959" w:themeColor="text1" w:themeTint="A6"/>
      <w:kern w:val="0"/>
      <w:sz w:val="22"/>
      <w:szCs w:val="22"/>
      <w:lang w:val="lt-LT"/>
      <w14:ligatures w14:val="none"/>
    </w:rPr>
  </w:style>
  <w:style w:type="character" w:customStyle="1" w:styleId="Heading7Char">
    <w:name w:val="Heading 7 Char"/>
    <w:basedOn w:val="DefaultParagraphFont"/>
    <w:link w:val="Heading7"/>
    <w:uiPriority w:val="9"/>
    <w:semiHidden/>
    <w:rsid w:val="007E08D9"/>
    <w:rPr>
      <w:rFonts w:asciiTheme="minorHAnsi" w:eastAsiaTheme="majorEastAsia" w:hAnsiTheme="minorHAnsi" w:cstheme="majorBidi"/>
      <w:color w:val="595959" w:themeColor="text1" w:themeTint="A6"/>
      <w:kern w:val="0"/>
      <w:sz w:val="22"/>
      <w:szCs w:val="22"/>
      <w:lang w:val="lt-LT"/>
      <w14:ligatures w14:val="none"/>
    </w:rPr>
  </w:style>
  <w:style w:type="character" w:customStyle="1" w:styleId="Heading8Char">
    <w:name w:val="Heading 8 Char"/>
    <w:basedOn w:val="DefaultParagraphFont"/>
    <w:link w:val="Heading8"/>
    <w:uiPriority w:val="9"/>
    <w:semiHidden/>
    <w:rsid w:val="007E08D9"/>
    <w:rPr>
      <w:rFonts w:asciiTheme="minorHAnsi" w:eastAsiaTheme="majorEastAsia" w:hAnsiTheme="minorHAnsi" w:cstheme="majorBidi"/>
      <w:i/>
      <w:iCs/>
      <w:color w:val="272727" w:themeColor="text1" w:themeTint="D8"/>
      <w:kern w:val="0"/>
      <w:sz w:val="22"/>
      <w:szCs w:val="22"/>
      <w:lang w:val="lt-LT"/>
      <w14:ligatures w14:val="none"/>
    </w:rPr>
  </w:style>
  <w:style w:type="character" w:customStyle="1" w:styleId="Heading9Char">
    <w:name w:val="Heading 9 Char"/>
    <w:basedOn w:val="DefaultParagraphFont"/>
    <w:link w:val="Heading9"/>
    <w:uiPriority w:val="9"/>
    <w:semiHidden/>
    <w:rsid w:val="007E08D9"/>
    <w:rPr>
      <w:rFonts w:asciiTheme="minorHAnsi" w:eastAsiaTheme="majorEastAsia" w:hAnsiTheme="minorHAnsi" w:cstheme="majorBidi"/>
      <w:color w:val="272727" w:themeColor="text1" w:themeTint="D8"/>
      <w:kern w:val="0"/>
      <w:sz w:val="22"/>
      <w:szCs w:val="22"/>
      <w:lang w:val="lt-LT"/>
      <w14:ligatures w14:val="none"/>
    </w:rPr>
  </w:style>
  <w:style w:type="paragraph" w:styleId="Title">
    <w:name w:val="Title"/>
    <w:basedOn w:val="Normal"/>
    <w:next w:val="Normal"/>
    <w:link w:val="TitleChar"/>
    <w:uiPriority w:val="10"/>
    <w:qFormat/>
    <w:rsid w:val="007E0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8D9"/>
    <w:rPr>
      <w:rFonts w:asciiTheme="minorHAnsi" w:eastAsiaTheme="majorEastAsia" w:hAnsiTheme="minorHAnsi" w:cstheme="majorBidi"/>
      <w:color w:val="595959" w:themeColor="text1" w:themeTint="A6"/>
      <w:spacing w:val="15"/>
      <w:kern w:val="0"/>
      <w:sz w:val="28"/>
      <w:szCs w:val="28"/>
      <w:lang w:val="lt-LT"/>
      <w14:ligatures w14:val="none"/>
    </w:rPr>
  </w:style>
  <w:style w:type="paragraph" w:styleId="Quote">
    <w:name w:val="Quote"/>
    <w:basedOn w:val="Normal"/>
    <w:next w:val="Normal"/>
    <w:link w:val="QuoteChar"/>
    <w:uiPriority w:val="29"/>
    <w:qFormat/>
    <w:rsid w:val="007E08D9"/>
    <w:pPr>
      <w:spacing w:before="160"/>
      <w:jc w:val="center"/>
    </w:pPr>
    <w:rPr>
      <w:i/>
      <w:iCs/>
      <w:color w:val="404040" w:themeColor="text1" w:themeTint="BF"/>
    </w:rPr>
  </w:style>
  <w:style w:type="character" w:customStyle="1" w:styleId="QuoteChar">
    <w:name w:val="Quote Char"/>
    <w:basedOn w:val="DefaultParagraphFont"/>
    <w:link w:val="Quote"/>
    <w:uiPriority w:val="29"/>
    <w:rsid w:val="007E08D9"/>
    <w:rPr>
      <w:i/>
      <w:iCs/>
      <w:color w:val="404040" w:themeColor="text1" w:themeTint="BF"/>
    </w:rPr>
  </w:style>
  <w:style w:type="paragraph" w:styleId="ListParagraph">
    <w:name w:val="List Paragraph"/>
    <w:aliases w:val="Numbering,lp1,Bullet 1,Use Case List Paragraph,ERP-List Paragraph,List Paragraph1,List Paragraph11,List Paragraph Red,Bullet EY,List Paragraph2,List Paragraph21,Lentele,List Paragraph22,List Paragraph221,List not in Table,Bullet,Paragraph"/>
    <w:basedOn w:val="Normal"/>
    <w:link w:val="ListParagraphChar"/>
    <w:uiPriority w:val="34"/>
    <w:qFormat/>
    <w:rsid w:val="007E08D9"/>
    <w:pPr>
      <w:ind w:left="720"/>
      <w:contextualSpacing/>
    </w:pPr>
  </w:style>
  <w:style w:type="character" w:styleId="IntenseEmphasis">
    <w:name w:val="Intense Emphasis"/>
    <w:basedOn w:val="DefaultParagraphFont"/>
    <w:uiPriority w:val="21"/>
    <w:qFormat/>
    <w:rsid w:val="007E08D9"/>
    <w:rPr>
      <w:i/>
      <w:iCs/>
      <w:color w:val="0F4761" w:themeColor="accent1" w:themeShade="BF"/>
    </w:rPr>
  </w:style>
  <w:style w:type="paragraph" w:styleId="IntenseQuote">
    <w:name w:val="Intense Quote"/>
    <w:basedOn w:val="Normal"/>
    <w:next w:val="Normal"/>
    <w:link w:val="IntenseQuoteChar"/>
    <w:uiPriority w:val="30"/>
    <w:qFormat/>
    <w:rsid w:val="007E0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8D9"/>
    <w:rPr>
      <w:i/>
      <w:iCs/>
      <w:color w:val="0F4761" w:themeColor="accent1" w:themeShade="BF"/>
    </w:rPr>
  </w:style>
  <w:style w:type="character" w:styleId="IntenseReference">
    <w:name w:val="Intense Reference"/>
    <w:basedOn w:val="DefaultParagraphFont"/>
    <w:uiPriority w:val="32"/>
    <w:qFormat/>
    <w:rsid w:val="007E08D9"/>
    <w:rPr>
      <w:b/>
      <w:bCs/>
      <w:smallCaps/>
      <w:color w:val="0F4761" w:themeColor="accent1" w:themeShade="BF"/>
      <w:spacing w:val="5"/>
    </w:rPr>
  </w:style>
  <w:style w:type="character" w:styleId="Hyperlink">
    <w:name w:val="Hyperlink"/>
    <w:basedOn w:val="DefaultParagraphFont"/>
    <w:uiPriority w:val="99"/>
    <w:unhideWhenUsed/>
    <w:rsid w:val="007E08D9"/>
    <w:rPr>
      <w:color w:val="467886" w:themeColor="hyperlink"/>
      <w:u w:val="single"/>
    </w:rPr>
  </w:style>
  <w:style w:type="character" w:customStyle="1" w:styleId="ListParagraphChar">
    <w:name w:val="List Paragraph Char"/>
    <w:aliases w:val="Numbering Char,lp1 Char,Bullet 1 Char,Use Case List Paragraph Char,ERP-List Paragraph Char,List Paragraph1 Char,List Paragraph11 Char,List Paragraph Red Char,Bullet EY Char,List Paragraph2 Char,List Paragraph21 Char,Lentele Char"/>
    <w:link w:val="ListParagraph"/>
    <w:uiPriority w:val="34"/>
    <w:qFormat/>
    <w:locked/>
    <w:rsid w:val="007E08D9"/>
  </w:style>
  <w:style w:type="paragraph" w:styleId="Header">
    <w:name w:val="header"/>
    <w:basedOn w:val="Normal"/>
    <w:link w:val="HeaderChar"/>
    <w:uiPriority w:val="99"/>
    <w:unhideWhenUsed/>
    <w:rsid w:val="00936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722"/>
    <w:rPr>
      <w:rFonts w:asciiTheme="minorHAnsi" w:hAnsiTheme="minorHAnsi" w:cstheme="minorBidi"/>
      <w:kern w:val="0"/>
      <w:sz w:val="22"/>
      <w:szCs w:val="22"/>
      <w:lang w:val="lt-LT"/>
      <w14:ligatures w14:val="none"/>
    </w:rPr>
  </w:style>
  <w:style w:type="paragraph" w:styleId="Footer">
    <w:name w:val="footer"/>
    <w:basedOn w:val="Normal"/>
    <w:link w:val="FooterChar"/>
    <w:uiPriority w:val="99"/>
    <w:unhideWhenUsed/>
    <w:rsid w:val="00936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722"/>
    <w:rPr>
      <w:rFonts w:asciiTheme="minorHAnsi" w:hAnsiTheme="minorHAnsi" w:cstheme="minorBidi"/>
      <w:kern w:val="0"/>
      <w:sz w:val="22"/>
      <w:szCs w:val="22"/>
      <w:lang w:val="lt-LT"/>
      <w14:ligatures w14:val="none"/>
    </w:rPr>
  </w:style>
  <w:style w:type="character" w:styleId="CommentReference">
    <w:name w:val="annotation reference"/>
    <w:basedOn w:val="DefaultParagraphFont"/>
    <w:uiPriority w:val="99"/>
    <w:semiHidden/>
    <w:unhideWhenUsed/>
    <w:rsid w:val="00725666"/>
    <w:rPr>
      <w:sz w:val="16"/>
      <w:szCs w:val="16"/>
    </w:rPr>
  </w:style>
  <w:style w:type="paragraph" w:styleId="CommentText">
    <w:name w:val="annotation text"/>
    <w:basedOn w:val="Normal"/>
    <w:link w:val="CommentTextChar"/>
    <w:uiPriority w:val="99"/>
    <w:semiHidden/>
    <w:unhideWhenUsed/>
    <w:rsid w:val="00725666"/>
    <w:pPr>
      <w:spacing w:line="240" w:lineRule="auto"/>
    </w:pPr>
    <w:rPr>
      <w:sz w:val="20"/>
      <w:szCs w:val="20"/>
    </w:rPr>
  </w:style>
  <w:style w:type="character" w:customStyle="1" w:styleId="CommentTextChar">
    <w:name w:val="Comment Text Char"/>
    <w:basedOn w:val="DefaultParagraphFont"/>
    <w:link w:val="CommentText"/>
    <w:uiPriority w:val="99"/>
    <w:semiHidden/>
    <w:rsid w:val="00725666"/>
    <w:rPr>
      <w:rFonts w:asciiTheme="minorHAnsi" w:hAnsiTheme="minorHAnsi" w:cstheme="minorBidi"/>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725666"/>
    <w:rPr>
      <w:b/>
      <w:bCs/>
    </w:rPr>
  </w:style>
  <w:style w:type="character" w:customStyle="1" w:styleId="CommentSubjectChar">
    <w:name w:val="Comment Subject Char"/>
    <w:basedOn w:val="CommentTextChar"/>
    <w:link w:val="CommentSubject"/>
    <w:uiPriority w:val="99"/>
    <w:semiHidden/>
    <w:rsid w:val="00725666"/>
    <w:rPr>
      <w:rFonts w:asciiTheme="minorHAnsi" w:hAnsiTheme="minorHAnsi" w:cstheme="minorBidi"/>
      <w:b/>
      <w:bCs/>
      <w:kern w:val="0"/>
      <w:sz w:val="20"/>
      <w:szCs w:val="20"/>
      <w:lang w:val="lt-LT"/>
      <w14:ligatures w14:val="none"/>
    </w:rPr>
  </w:style>
  <w:style w:type="character" w:customStyle="1" w:styleId="item">
    <w:name w:val="item"/>
    <w:rsid w:val="00000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F4663-C243-4EE7-B7D6-1D6A37952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AB85A-8FB9-40D8-B22E-1A24B5B68591}">
  <ds:schemaRefs>
    <ds:schemaRef ds:uri="http://schemas.microsoft.com/sharepoint/v3/contenttype/forms"/>
  </ds:schemaRefs>
</ds:datastoreItem>
</file>

<file path=customXml/itemProps3.xml><?xml version="1.0" encoding="utf-8"?>
<ds:datastoreItem xmlns:ds="http://schemas.openxmlformats.org/officeDocument/2006/customXml" ds:itemID="{DB6EA5E1-27B0-4E40-AE7A-B9F9723EB241}">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F7F23A0C-77B4-4916-9AD9-5C36777C2DD4}">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1866</Words>
  <Characters>13350</Characters>
  <Application>Microsoft Office Word</Application>
  <DocSecurity>0</DocSecurity>
  <Lines>534</Lines>
  <Paragraphs>192</Paragraphs>
  <ScaleCrop>false</ScaleCrop>
  <Company/>
  <LinksUpToDate>false</LinksUpToDate>
  <CharactersWithSpaces>15024</CharactersWithSpaces>
  <SharedDoc>false</SharedDoc>
  <HLinks>
    <vt:vector size="6" baseType="variant">
      <vt:variant>
        <vt:i4>5111883</vt:i4>
      </vt:variant>
      <vt:variant>
        <vt:i4>0</vt:i4>
      </vt:variant>
      <vt:variant>
        <vt:i4>0</vt:i4>
      </vt:variant>
      <vt:variant>
        <vt:i4>5</vt:i4>
      </vt:variant>
      <vt:variant>
        <vt:lpwstr>http://www.spec.org/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Kabelinskienė</dc:creator>
  <cp:keywords/>
  <dc:description/>
  <cp:lastModifiedBy>Rima Kabelinskienė</cp:lastModifiedBy>
  <cp:revision>2</cp:revision>
  <dcterms:created xsi:type="dcterms:W3CDTF">2026-03-27T15:11:00Z</dcterms:created>
  <dcterms:modified xsi:type="dcterms:W3CDTF">2026-03-27T15:11:00Z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0x010100DA648B1A776C2F4E8137608B251F3E7E</vt:lpwstr>
  </property>
</Properties>
</file>