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860D91" w14:paraId="72E286B0" w14:textId="77777777" w:rsidTr="00860D91">
        <w:trPr>
          <w:jc w:val="right"/>
        </w:trPr>
        <w:tc>
          <w:tcPr>
            <w:tcW w:w="2977" w:type="dxa"/>
            <w:hideMark/>
          </w:tcPr>
          <w:p w14:paraId="39E3CAA9" w14:textId="77777777" w:rsidR="00860D91" w:rsidRPr="006E38F1" w:rsidRDefault="00860D91">
            <w:pPr>
              <w:widowControl w:val="0"/>
              <w:spacing w:line="276" w:lineRule="auto"/>
            </w:pPr>
            <w:r w:rsidRPr="006E38F1">
              <w:br w:type="page"/>
            </w:r>
            <w:r w:rsidRPr="006E38F1">
              <w:br w:type="page"/>
            </w:r>
            <w:r w:rsidRPr="006E38F1">
              <w:br w:type="page"/>
            </w:r>
            <w:r w:rsidRPr="006E38F1">
              <w:br w:type="page"/>
            </w:r>
            <w:r w:rsidRPr="006E38F1">
              <w:br w:type="page"/>
            </w:r>
            <w:r w:rsidRPr="006E38F1">
              <w:br w:type="page"/>
            </w:r>
            <w:r w:rsidRPr="006E38F1">
              <w:br w:type="page"/>
              <w:t>Konkurso sąlygų aprašo</w:t>
            </w:r>
          </w:p>
        </w:tc>
      </w:tr>
      <w:tr w:rsidR="00860D91" w14:paraId="3BDF2773" w14:textId="77777777" w:rsidTr="00860D91">
        <w:trPr>
          <w:jc w:val="right"/>
        </w:trPr>
        <w:tc>
          <w:tcPr>
            <w:tcW w:w="2977" w:type="dxa"/>
            <w:hideMark/>
          </w:tcPr>
          <w:p w14:paraId="77561135" w14:textId="4797E9F3" w:rsidR="00860D91" w:rsidRPr="006E38F1" w:rsidRDefault="00AC5FFA">
            <w:pPr>
              <w:widowControl w:val="0"/>
              <w:spacing w:line="276" w:lineRule="auto"/>
            </w:pPr>
            <w:r w:rsidRPr="006E38F1">
              <w:t>5</w:t>
            </w:r>
            <w:r w:rsidR="00860D91" w:rsidRPr="006E38F1">
              <w:t xml:space="preserve"> priedas</w:t>
            </w:r>
          </w:p>
        </w:tc>
      </w:tr>
    </w:tbl>
    <w:p w14:paraId="069B7E3E" w14:textId="77777777" w:rsidR="00860D91" w:rsidRDefault="00860D91" w:rsidP="00860D91">
      <w:pPr>
        <w:jc w:val="center"/>
        <w:rPr>
          <w:b/>
          <w:bCs/>
        </w:rPr>
      </w:pPr>
    </w:p>
    <w:p w14:paraId="3C1C3813" w14:textId="0E059115" w:rsidR="00860D91" w:rsidRDefault="00860D91" w:rsidP="00860D91">
      <w:pPr>
        <w:jc w:val="center"/>
        <w:rPr>
          <w:b/>
        </w:rPr>
      </w:pPr>
      <w:r>
        <w:rPr>
          <w:b/>
          <w:bCs/>
        </w:rPr>
        <w:t>SPECIALISTŲ, KURIE BUS ATSAKINGI UŽ SUTARTIES VYKDYMĄ, SĄRAŠAS</w:t>
      </w:r>
      <w:r>
        <w:rPr>
          <w:b/>
        </w:rPr>
        <w:t xml:space="preserve"> </w:t>
      </w:r>
    </w:p>
    <w:p w14:paraId="21A006B3" w14:textId="77777777" w:rsidR="00860D91" w:rsidRDefault="00860D91" w:rsidP="00860D91">
      <w:pPr>
        <w:jc w:val="center"/>
        <w:rPr>
          <w:b/>
          <w:bCs/>
        </w:rPr>
      </w:pPr>
    </w:p>
    <w:p w14:paraId="132DB3AF" w14:textId="77777777" w:rsidR="00860D91" w:rsidRDefault="00860D91" w:rsidP="00AC5FFA">
      <w:pPr>
        <w:ind w:right="-598" w:firstLine="709"/>
        <w:jc w:val="both"/>
        <w:rPr>
          <w:b/>
          <w:i/>
          <w:iCs/>
        </w:rPr>
      </w:pPr>
      <w:r>
        <w:rPr>
          <w:b/>
          <w:bCs/>
          <w:i/>
          <w:color w:val="000000"/>
        </w:rPr>
        <w:t xml:space="preserve">Pastaba. </w:t>
      </w:r>
      <w:r>
        <w:rPr>
          <w:b/>
          <w:i/>
          <w:iCs/>
        </w:rPr>
        <w:t xml:space="preserve">Vadovaujantis </w:t>
      </w:r>
      <w:r>
        <w:rPr>
          <w:b/>
          <w:bCs/>
          <w:i/>
          <w:iCs/>
        </w:rPr>
        <w:t>Viešųjų pirkimų tarnybos direktoriaus 2022 m. gruodžio 30 d. įsakymu Nr. 1S-240 patvirtintomis Pasiūlymo patikslinimo, papildymo ar paaiškinimo taisyklėmis</w:t>
      </w:r>
      <w:r>
        <w:rPr>
          <w:b/>
          <w:i/>
          <w:iCs/>
        </w:rPr>
        <w:t xml:space="preserve">, 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2E0F0E1" w14:textId="585D23C4" w:rsidR="00860D91" w:rsidRDefault="00860D91" w:rsidP="00AC5FFA">
      <w:pPr>
        <w:ind w:right="-598" w:firstLine="709"/>
        <w:jc w:val="both"/>
        <w:rPr>
          <w:i/>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tbl>
      <w:tblPr>
        <w:tblStyle w:val="Lentelstinklelis"/>
        <w:tblW w:w="14560" w:type="dxa"/>
        <w:tblInd w:w="0" w:type="dxa"/>
        <w:tblLook w:val="04A0" w:firstRow="1" w:lastRow="0" w:firstColumn="1" w:lastColumn="0" w:noHBand="0" w:noVBand="1"/>
      </w:tblPr>
      <w:tblGrid>
        <w:gridCol w:w="2972"/>
        <w:gridCol w:w="5528"/>
        <w:gridCol w:w="3402"/>
        <w:gridCol w:w="2658"/>
      </w:tblGrid>
      <w:tr w:rsidR="00AC5FFA" w:rsidRPr="00335746" w14:paraId="32CE4DCB" w14:textId="77777777" w:rsidTr="00101C43">
        <w:trPr>
          <w:trHeight w:val="2731"/>
        </w:trPr>
        <w:tc>
          <w:tcPr>
            <w:tcW w:w="2972" w:type="dxa"/>
            <w:shd w:val="clear" w:color="auto" w:fill="F2F2F2"/>
            <w:vAlign w:val="center"/>
          </w:tcPr>
          <w:p w14:paraId="7DECB203" w14:textId="77777777" w:rsidR="00AC5FFA" w:rsidRPr="00335746" w:rsidRDefault="00AC5FFA" w:rsidP="00F747DF">
            <w:pPr>
              <w:jc w:val="center"/>
              <w:rPr>
                <w:rFonts w:eastAsia="Calibri"/>
                <w:b/>
                <w:bCs/>
                <w:sz w:val="22"/>
                <w:szCs w:val="22"/>
              </w:rPr>
            </w:pPr>
            <w:r w:rsidRPr="00335746">
              <w:rPr>
                <w:rFonts w:eastAsia="Calibri"/>
                <w:b/>
                <w:bCs/>
                <w:sz w:val="22"/>
                <w:szCs w:val="22"/>
              </w:rPr>
              <w:t>Specialisto vardas ir pavardė</w:t>
            </w:r>
          </w:p>
        </w:tc>
        <w:tc>
          <w:tcPr>
            <w:tcW w:w="5528" w:type="dxa"/>
            <w:shd w:val="clear" w:color="auto" w:fill="F2F2F2"/>
            <w:vAlign w:val="center"/>
          </w:tcPr>
          <w:p w14:paraId="7C760D41" w14:textId="77777777" w:rsidR="00AC5FFA" w:rsidRPr="00335746" w:rsidRDefault="00AC5FFA" w:rsidP="00F747DF">
            <w:pPr>
              <w:jc w:val="center"/>
              <w:rPr>
                <w:rFonts w:eastAsia="Calibri"/>
                <w:b/>
                <w:bCs/>
                <w:sz w:val="22"/>
                <w:szCs w:val="22"/>
              </w:rPr>
            </w:pPr>
            <w:r w:rsidRPr="00335746">
              <w:rPr>
                <w:rFonts w:eastAsia="Calibri"/>
                <w:b/>
                <w:bCs/>
                <w:sz w:val="22"/>
                <w:szCs w:val="22"/>
              </w:rPr>
              <w:t>Specialisto pareigos vykdant sutartį</w:t>
            </w:r>
          </w:p>
        </w:tc>
        <w:tc>
          <w:tcPr>
            <w:tcW w:w="3402" w:type="dxa"/>
            <w:shd w:val="clear" w:color="auto" w:fill="F2F2F2"/>
          </w:tcPr>
          <w:p w14:paraId="7AD15D83" w14:textId="6820B66D" w:rsidR="00B7628B" w:rsidRPr="00AC5FFA" w:rsidRDefault="00AC5FFA" w:rsidP="00101C43">
            <w:pPr>
              <w:jc w:val="center"/>
              <w:rPr>
                <w:rFonts w:eastAsia="Calibri"/>
                <w:b/>
                <w:bCs/>
                <w:sz w:val="22"/>
                <w:szCs w:val="22"/>
              </w:rPr>
            </w:pPr>
            <w:r w:rsidRPr="00AC5FFA">
              <w:rPr>
                <w:rFonts w:eastAsia="Calibri"/>
                <w:b/>
                <w:bCs/>
                <w:sz w:val="22"/>
                <w:szCs w:val="22"/>
              </w:rPr>
              <w:t>Kokiu pagrindu specialistas yra pasitelkiamas:</w:t>
            </w:r>
          </w:p>
          <w:p w14:paraId="1A421698" w14:textId="4CFD5969" w:rsidR="00AC5FFA" w:rsidRDefault="00AC5FFA" w:rsidP="00B7628B">
            <w:pPr>
              <w:jc w:val="both"/>
              <w:rPr>
                <w:rFonts w:eastAsia="Calibri"/>
                <w:sz w:val="20"/>
                <w:szCs w:val="20"/>
              </w:rPr>
            </w:pPr>
            <w:r w:rsidRPr="00113E68">
              <w:rPr>
                <w:rFonts w:eastAsia="Calibri"/>
                <w:sz w:val="20"/>
                <w:szCs w:val="20"/>
              </w:rPr>
              <w:t>1) yra įdarbintas tiekėjo įmonėje;</w:t>
            </w:r>
          </w:p>
          <w:p w14:paraId="2E5BDD7F" w14:textId="77777777" w:rsidR="00B7628B" w:rsidRPr="00113E68" w:rsidRDefault="00B7628B" w:rsidP="00B7628B">
            <w:pPr>
              <w:jc w:val="both"/>
              <w:rPr>
                <w:rFonts w:eastAsia="Calibri"/>
                <w:sz w:val="20"/>
                <w:szCs w:val="20"/>
              </w:rPr>
            </w:pPr>
          </w:p>
          <w:p w14:paraId="435D9F03" w14:textId="1F024D5A" w:rsidR="00AC5FFA" w:rsidRDefault="00AC5FFA" w:rsidP="00B7628B">
            <w:pPr>
              <w:jc w:val="both"/>
              <w:rPr>
                <w:rFonts w:eastAsia="Calibri"/>
                <w:sz w:val="20"/>
                <w:szCs w:val="20"/>
              </w:rPr>
            </w:pPr>
            <w:r w:rsidRPr="00113E68">
              <w:rPr>
                <w:rFonts w:eastAsia="Calibri"/>
                <w:sz w:val="20"/>
                <w:szCs w:val="20"/>
              </w:rPr>
              <w:t>2) yra įdarbintas ūkio subjekto, kurio pajėgumais remiamasi, įmonėje;</w:t>
            </w:r>
          </w:p>
          <w:p w14:paraId="365E2B7F" w14:textId="77777777" w:rsidR="00B7628B" w:rsidRPr="00113E68" w:rsidRDefault="00B7628B" w:rsidP="00B7628B">
            <w:pPr>
              <w:jc w:val="both"/>
              <w:rPr>
                <w:rFonts w:eastAsia="Calibri"/>
                <w:sz w:val="20"/>
                <w:szCs w:val="20"/>
              </w:rPr>
            </w:pPr>
          </w:p>
          <w:p w14:paraId="3A1291C2" w14:textId="4C6B6976" w:rsidR="00AC5FFA" w:rsidRDefault="00AC5FFA" w:rsidP="00B7628B">
            <w:pPr>
              <w:jc w:val="both"/>
              <w:rPr>
                <w:rFonts w:eastAsia="Calibri"/>
                <w:sz w:val="20"/>
                <w:szCs w:val="20"/>
              </w:rPr>
            </w:pPr>
            <w:r w:rsidRPr="00113E68">
              <w:rPr>
                <w:rFonts w:eastAsia="Calibri"/>
                <w:sz w:val="20"/>
                <w:szCs w:val="20"/>
              </w:rPr>
              <w:t>3) yra planuojamas įdarbinti laimėjus konkursą (</w:t>
            </w:r>
            <w:proofErr w:type="spellStart"/>
            <w:r w:rsidRPr="00113E68">
              <w:rPr>
                <w:rFonts w:eastAsia="Calibri"/>
                <w:sz w:val="20"/>
                <w:szCs w:val="20"/>
              </w:rPr>
              <w:t>kvazisu</w:t>
            </w:r>
            <w:r w:rsidR="006D7B1F">
              <w:rPr>
                <w:rFonts w:eastAsia="Calibri"/>
                <w:sz w:val="20"/>
                <w:szCs w:val="20"/>
              </w:rPr>
              <w:t>bt</w:t>
            </w:r>
            <w:r w:rsidRPr="00113E68">
              <w:rPr>
                <w:rFonts w:eastAsia="Calibri"/>
                <w:sz w:val="20"/>
                <w:szCs w:val="20"/>
              </w:rPr>
              <w:t>iekėjas</w:t>
            </w:r>
            <w:proofErr w:type="spellEnd"/>
            <w:r w:rsidRPr="00113E68">
              <w:rPr>
                <w:rFonts w:eastAsia="Calibri"/>
                <w:sz w:val="20"/>
                <w:szCs w:val="20"/>
              </w:rPr>
              <w:t>);</w:t>
            </w:r>
          </w:p>
          <w:p w14:paraId="78832F07" w14:textId="77777777" w:rsidR="00B7628B" w:rsidRPr="00113E68" w:rsidRDefault="00B7628B" w:rsidP="00B7628B">
            <w:pPr>
              <w:jc w:val="both"/>
              <w:rPr>
                <w:rFonts w:eastAsia="Calibri"/>
                <w:sz w:val="20"/>
                <w:szCs w:val="20"/>
              </w:rPr>
            </w:pPr>
          </w:p>
          <w:p w14:paraId="57E773AB" w14:textId="093B1147" w:rsidR="00AC5FFA" w:rsidRPr="00335746" w:rsidRDefault="00AC5FFA" w:rsidP="00B7628B">
            <w:pPr>
              <w:jc w:val="both"/>
              <w:rPr>
                <w:rFonts w:eastAsia="Calibri"/>
                <w:b/>
                <w:bCs/>
                <w:sz w:val="20"/>
                <w:szCs w:val="20"/>
              </w:rPr>
            </w:pPr>
            <w:r w:rsidRPr="00113E68">
              <w:rPr>
                <w:rFonts w:eastAsia="Calibri"/>
                <w:sz w:val="20"/>
                <w:szCs w:val="20"/>
              </w:rPr>
              <w:t>4) yra pasitelkiamas kaip ūkio subjektas, kurio pajėgumais remiamasi</w:t>
            </w:r>
          </w:p>
        </w:tc>
        <w:tc>
          <w:tcPr>
            <w:tcW w:w="2658" w:type="dxa"/>
            <w:shd w:val="clear" w:color="auto" w:fill="F2F2F2"/>
          </w:tcPr>
          <w:p w14:paraId="008A1710" w14:textId="181E5A58" w:rsidR="00AC5FFA" w:rsidRPr="00AC5FFA" w:rsidRDefault="00AC5FFA" w:rsidP="00AC5FFA">
            <w:pPr>
              <w:jc w:val="center"/>
              <w:rPr>
                <w:rFonts w:eastAsia="Calibri"/>
                <w:b/>
                <w:bCs/>
                <w:sz w:val="22"/>
                <w:szCs w:val="22"/>
              </w:rPr>
            </w:pPr>
            <w:r w:rsidRPr="00AC5FFA">
              <w:rPr>
                <w:b/>
                <w:bCs/>
                <w:sz w:val="22"/>
                <w:szCs w:val="22"/>
              </w:rPr>
              <w:t>Specialisto kvalifikacijos atestato</w:t>
            </w:r>
            <w:r>
              <w:rPr>
                <w:b/>
                <w:bCs/>
                <w:sz w:val="22"/>
                <w:szCs w:val="22"/>
              </w:rPr>
              <w:t>,</w:t>
            </w:r>
            <w:r w:rsidRPr="00AC5FFA">
              <w:rPr>
                <w:b/>
                <w:bCs/>
                <w:sz w:val="22"/>
                <w:szCs w:val="22"/>
              </w:rPr>
              <w:t xml:space="preserve"> pažymėjimo numeris</w:t>
            </w:r>
          </w:p>
          <w:p w14:paraId="4CA36108" w14:textId="77777777" w:rsidR="00AC5FFA" w:rsidRPr="00113E68" w:rsidRDefault="00AC5FFA" w:rsidP="00113E68">
            <w:pPr>
              <w:jc w:val="both"/>
              <w:rPr>
                <w:rFonts w:eastAsia="Calibri"/>
                <w:b/>
                <w:bCs/>
                <w:sz w:val="22"/>
                <w:szCs w:val="22"/>
              </w:rPr>
            </w:pPr>
            <w:r w:rsidRPr="00113E68">
              <w:rPr>
                <w:rFonts w:eastAsia="Calibri"/>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AC5FFA" w:rsidRPr="00335746" w14:paraId="22A489C1" w14:textId="77777777" w:rsidTr="00AC5FFA">
        <w:trPr>
          <w:trHeight w:val="272"/>
        </w:trPr>
        <w:tc>
          <w:tcPr>
            <w:tcW w:w="2972" w:type="dxa"/>
            <w:vAlign w:val="center"/>
          </w:tcPr>
          <w:p w14:paraId="546D188D" w14:textId="77777777" w:rsidR="00AC5FFA" w:rsidRPr="00AF19F9" w:rsidRDefault="00AC5FFA" w:rsidP="00F747DF">
            <w:pPr>
              <w:jc w:val="both"/>
              <w:rPr>
                <w:rFonts w:eastAsia="Calibri"/>
                <w:sz w:val="22"/>
                <w:szCs w:val="22"/>
              </w:rPr>
            </w:pPr>
          </w:p>
        </w:tc>
        <w:tc>
          <w:tcPr>
            <w:tcW w:w="5528" w:type="dxa"/>
            <w:shd w:val="clear" w:color="auto" w:fill="auto"/>
          </w:tcPr>
          <w:p w14:paraId="7853B994" w14:textId="41772BEB" w:rsidR="00AC5FFA" w:rsidRPr="00AF19F9" w:rsidRDefault="00AC5FFA" w:rsidP="00590D06">
            <w:pPr>
              <w:tabs>
                <w:tab w:val="left" w:pos="32"/>
                <w:tab w:val="left" w:pos="316"/>
              </w:tabs>
              <w:ind w:left="32"/>
              <w:contextualSpacing/>
              <w:jc w:val="both"/>
              <w:rPr>
                <w:rFonts w:eastAsia="Calibri"/>
                <w:color w:val="000000"/>
                <w:sz w:val="22"/>
                <w:szCs w:val="22"/>
                <w:highlight w:val="yellow"/>
              </w:rPr>
            </w:pPr>
            <w:r w:rsidRPr="00AC5FFA">
              <w:rPr>
                <w:b/>
                <w:bCs/>
                <w:sz w:val="22"/>
                <w:szCs w:val="22"/>
              </w:rPr>
              <w:t xml:space="preserve">Kvalifikuotas teritorijų planavimo vadovas, </w:t>
            </w:r>
            <w:r w:rsidRPr="009E4BDE">
              <w:rPr>
                <w:sz w:val="22"/>
                <w:szCs w:val="22"/>
              </w:rPr>
              <w:t>turintis teisę vadovauti kompleksinio teritorijų planavimo dokumentų rengimui: vietovės lygmens bendriesiems planams</w:t>
            </w:r>
          </w:p>
        </w:tc>
        <w:tc>
          <w:tcPr>
            <w:tcW w:w="3402" w:type="dxa"/>
            <w:vAlign w:val="center"/>
          </w:tcPr>
          <w:p w14:paraId="7D9CF0FF" w14:textId="77777777" w:rsidR="00AC5FFA" w:rsidRPr="00335746" w:rsidRDefault="00AC5FFA" w:rsidP="00113E68">
            <w:pPr>
              <w:jc w:val="both"/>
              <w:rPr>
                <w:rFonts w:eastAsia="Calibri"/>
                <w:highlight w:val="yellow"/>
              </w:rPr>
            </w:pPr>
          </w:p>
        </w:tc>
        <w:tc>
          <w:tcPr>
            <w:tcW w:w="2658" w:type="dxa"/>
          </w:tcPr>
          <w:p w14:paraId="08D65C6D" w14:textId="77777777" w:rsidR="00AC5FFA" w:rsidRPr="00335746" w:rsidRDefault="00AC5FFA" w:rsidP="00F747DF">
            <w:pPr>
              <w:jc w:val="center"/>
              <w:rPr>
                <w:rFonts w:eastAsia="Calibri"/>
              </w:rPr>
            </w:pPr>
          </w:p>
        </w:tc>
      </w:tr>
      <w:tr w:rsidR="00AC5FFA" w:rsidRPr="00335746" w14:paraId="5642F19A" w14:textId="77777777" w:rsidTr="00AC5FFA">
        <w:trPr>
          <w:trHeight w:val="272"/>
        </w:trPr>
        <w:tc>
          <w:tcPr>
            <w:tcW w:w="2972" w:type="dxa"/>
            <w:vAlign w:val="center"/>
          </w:tcPr>
          <w:p w14:paraId="1D4587E2" w14:textId="77777777" w:rsidR="00AC5FFA" w:rsidRPr="00AF19F9" w:rsidRDefault="00AC5FFA" w:rsidP="00F747DF">
            <w:pPr>
              <w:jc w:val="both"/>
              <w:rPr>
                <w:rFonts w:eastAsia="Calibri"/>
                <w:sz w:val="22"/>
                <w:szCs w:val="22"/>
              </w:rPr>
            </w:pPr>
          </w:p>
        </w:tc>
        <w:tc>
          <w:tcPr>
            <w:tcW w:w="5528" w:type="dxa"/>
            <w:shd w:val="clear" w:color="auto" w:fill="auto"/>
          </w:tcPr>
          <w:p w14:paraId="0F7AA99E" w14:textId="78BEBC65" w:rsidR="00AC5FFA" w:rsidRPr="00AF19F9" w:rsidRDefault="00AC5FFA" w:rsidP="00590D06">
            <w:pPr>
              <w:tabs>
                <w:tab w:val="left" w:pos="32"/>
                <w:tab w:val="left" w:pos="316"/>
              </w:tabs>
              <w:ind w:left="32"/>
              <w:contextualSpacing/>
              <w:jc w:val="both"/>
              <w:rPr>
                <w:sz w:val="22"/>
                <w:szCs w:val="22"/>
                <w:highlight w:val="yellow"/>
              </w:rPr>
            </w:pPr>
            <w:r w:rsidRPr="00AC5FFA">
              <w:rPr>
                <w:b/>
                <w:bCs/>
                <w:sz w:val="22"/>
                <w:szCs w:val="22"/>
              </w:rPr>
              <w:t xml:space="preserve">Kvalifikuotas specialistas, </w:t>
            </w:r>
            <w:r w:rsidRPr="00AC5FFA">
              <w:rPr>
                <w:sz w:val="22"/>
                <w:szCs w:val="22"/>
              </w:rPr>
              <w:t>turintis teisę vadovauti specialiojo teritorijų planavimo dokumentų rengimui: vietovės lygmens inžinerinės infrastruktūros vystymo planai</w:t>
            </w:r>
          </w:p>
        </w:tc>
        <w:tc>
          <w:tcPr>
            <w:tcW w:w="3402" w:type="dxa"/>
            <w:vAlign w:val="center"/>
          </w:tcPr>
          <w:p w14:paraId="2CFABA0E" w14:textId="77777777" w:rsidR="00AC5FFA" w:rsidRPr="00335746" w:rsidRDefault="00AC5FFA" w:rsidP="00113E68">
            <w:pPr>
              <w:jc w:val="both"/>
              <w:rPr>
                <w:rFonts w:eastAsia="Calibri"/>
                <w:highlight w:val="yellow"/>
              </w:rPr>
            </w:pPr>
          </w:p>
        </w:tc>
        <w:tc>
          <w:tcPr>
            <w:tcW w:w="2658" w:type="dxa"/>
          </w:tcPr>
          <w:p w14:paraId="29C06DD9" w14:textId="77777777" w:rsidR="00AC5FFA" w:rsidRPr="00335746" w:rsidRDefault="00AC5FFA" w:rsidP="00F747DF">
            <w:pPr>
              <w:jc w:val="center"/>
              <w:rPr>
                <w:rFonts w:eastAsia="Calibri"/>
              </w:rPr>
            </w:pPr>
          </w:p>
        </w:tc>
      </w:tr>
      <w:tr w:rsidR="00AC5FFA" w:rsidRPr="00335746" w14:paraId="6F21A961" w14:textId="77777777" w:rsidTr="00AC5FFA">
        <w:trPr>
          <w:trHeight w:val="272"/>
        </w:trPr>
        <w:tc>
          <w:tcPr>
            <w:tcW w:w="2972" w:type="dxa"/>
            <w:vAlign w:val="center"/>
          </w:tcPr>
          <w:p w14:paraId="7E991188" w14:textId="77777777" w:rsidR="00AC5FFA" w:rsidRPr="00AF19F9" w:rsidRDefault="00AC5FFA" w:rsidP="00F747DF">
            <w:pPr>
              <w:jc w:val="both"/>
              <w:rPr>
                <w:rFonts w:eastAsia="Calibri"/>
                <w:sz w:val="22"/>
                <w:szCs w:val="22"/>
              </w:rPr>
            </w:pPr>
          </w:p>
        </w:tc>
        <w:tc>
          <w:tcPr>
            <w:tcW w:w="5528" w:type="dxa"/>
            <w:shd w:val="clear" w:color="auto" w:fill="auto"/>
          </w:tcPr>
          <w:p w14:paraId="0880FD07" w14:textId="77777777" w:rsidR="006D7B1F" w:rsidRPr="006D7B1F" w:rsidRDefault="006D7B1F" w:rsidP="006D7B1F">
            <w:pPr>
              <w:tabs>
                <w:tab w:val="left" w:pos="94"/>
                <w:tab w:val="left" w:pos="312"/>
              </w:tabs>
              <w:autoSpaceDE w:val="0"/>
              <w:autoSpaceDN w:val="0"/>
              <w:adjustRightInd w:val="0"/>
              <w:ind w:left="28"/>
              <w:contextualSpacing/>
              <w:jc w:val="both"/>
              <w:rPr>
                <w:sz w:val="22"/>
                <w:szCs w:val="22"/>
              </w:rPr>
            </w:pPr>
            <w:r w:rsidRPr="006D7B1F">
              <w:rPr>
                <w:b/>
                <w:bCs/>
                <w:sz w:val="22"/>
                <w:szCs w:val="22"/>
              </w:rPr>
              <w:t xml:space="preserve">Kvalifikuotas specialistas, </w:t>
            </w:r>
            <w:r w:rsidRPr="006D7B1F">
              <w:rPr>
                <w:sz w:val="22"/>
                <w:szCs w:val="22"/>
              </w:rPr>
              <w:t>turintis teisę vadovauti nekilnojamojo kultūros paveldo apsaugos specialiojo teritorijų planavimo dokumentų rengimui</w:t>
            </w:r>
          </w:p>
          <w:p w14:paraId="5777A50C" w14:textId="4858F961" w:rsidR="006D7B1F" w:rsidRPr="006D7B1F" w:rsidRDefault="006D7B1F" w:rsidP="006D7B1F">
            <w:pPr>
              <w:tabs>
                <w:tab w:val="left" w:pos="94"/>
                <w:tab w:val="left" w:pos="312"/>
              </w:tabs>
              <w:autoSpaceDE w:val="0"/>
              <w:autoSpaceDN w:val="0"/>
              <w:adjustRightInd w:val="0"/>
              <w:ind w:left="28"/>
              <w:contextualSpacing/>
              <w:jc w:val="both"/>
              <w:rPr>
                <w:sz w:val="22"/>
                <w:szCs w:val="22"/>
              </w:rPr>
            </w:pPr>
            <w:r w:rsidRPr="006D7B1F">
              <w:rPr>
                <w:sz w:val="22"/>
                <w:szCs w:val="22"/>
              </w:rPr>
              <w:t xml:space="preserve">arba turintis teisę </w:t>
            </w:r>
            <w:r w:rsidR="00A72C4E" w:rsidRPr="00A72C4E">
              <w:rPr>
                <w:sz w:val="22"/>
                <w:szCs w:val="22"/>
              </w:rPr>
              <w:t>eiti statinio projekto ir (ar) statinio projekto architektūrinės dalies vadovo pareigas, statinių rūšys: pastatai ir inžineriniai statiniai, statinių kategorija: ypatingieji statiniai, įskaitant statinius, esančius kultūros paveldo objekto teritorijoje, jo apsaugos zonoje ar kultūros paveldo vietovėje (išskyrus kultūros paveldo objektus ir kultūros paveldo statinius)</w:t>
            </w:r>
            <w:r w:rsidR="00B843EE">
              <w:rPr>
                <w:sz w:val="22"/>
                <w:szCs w:val="22"/>
              </w:rPr>
              <w:t>,</w:t>
            </w:r>
          </w:p>
          <w:p w14:paraId="5142913B" w14:textId="39B80698" w:rsidR="00AC5FFA" w:rsidRPr="00AF19F9" w:rsidRDefault="006D7B1F" w:rsidP="006D7B1F">
            <w:pPr>
              <w:tabs>
                <w:tab w:val="left" w:pos="94"/>
                <w:tab w:val="left" w:pos="312"/>
              </w:tabs>
              <w:autoSpaceDE w:val="0"/>
              <w:autoSpaceDN w:val="0"/>
              <w:adjustRightInd w:val="0"/>
              <w:ind w:left="28"/>
              <w:contextualSpacing/>
              <w:jc w:val="both"/>
              <w:rPr>
                <w:rFonts w:eastAsia="Calibri"/>
                <w:color w:val="000000"/>
                <w:sz w:val="22"/>
                <w:szCs w:val="22"/>
                <w:highlight w:val="yellow"/>
              </w:rPr>
            </w:pPr>
            <w:r w:rsidRPr="006D7B1F">
              <w:rPr>
                <w:sz w:val="22"/>
                <w:szCs w:val="22"/>
              </w:rPr>
              <w:t>arba turintis teisę eiti ypatingojo statinio projekto ir (ar) projekto dalies vadovo pareigas, statiniai: gyvenamieji ir negyvenamieji pastatai, susisiekimo komunikacijos, inžineriniai tinklai, kiti inžineriniai statiniai, taip pat minėti statiniai, esantys kultūros paveldo objekto teritorijoje, jo apsaugos zonoje, kultūros paveldo vietovėje. Projekto dalis: sklypo sutvarkymas (sklypo planas)</w:t>
            </w:r>
          </w:p>
        </w:tc>
        <w:tc>
          <w:tcPr>
            <w:tcW w:w="3402" w:type="dxa"/>
            <w:vAlign w:val="center"/>
          </w:tcPr>
          <w:p w14:paraId="4C69EB46" w14:textId="77777777" w:rsidR="00AC5FFA" w:rsidRPr="00335746" w:rsidRDefault="00AC5FFA" w:rsidP="00113E68">
            <w:pPr>
              <w:jc w:val="both"/>
              <w:rPr>
                <w:rFonts w:eastAsia="Calibri"/>
                <w:highlight w:val="yellow"/>
              </w:rPr>
            </w:pPr>
          </w:p>
        </w:tc>
        <w:tc>
          <w:tcPr>
            <w:tcW w:w="2658" w:type="dxa"/>
          </w:tcPr>
          <w:p w14:paraId="1673AF88" w14:textId="77777777" w:rsidR="00AC5FFA" w:rsidRPr="00335746" w:rsidRDefault="00AC5FFA" w:rsidP="00F747DF">
            <w:pPr>
              <w:jc w:val="center"/>
              <w:rPr>
                <w:rFonts w:eastAsia="Calibri"/>
              </w:rPr>
            </w:pPr>
          </w:p>
        </w:tc>
      </w:tr>
    </w:tbl>
    <w:p w14:paraId="72289096" w14:textId="26652CC6" w:rsidR="00AF19F9" w:rsidRPr="00865440" w:rsidRDefault="00AF19F9" w:rsidP="001536A9">
      <w:pPr>
        <w:jc w:val="both"/>
        <w:rPr>
          <w:i/>
        </w:rPr>
      </w:pPr>
      <w:r w:rsidRPr="00865440">
        <w:rPr>
          <w:i/>
        </w:rPr>
        <w:t>Pastabos:</w:t>
      </w:r>
    </w:p>
    <w:p w14:paraId="3DD191B0" w14:textId="66ABC2C2" w:rsidR="00AF19F9" w:rsidRPr="00865440" w:rsidRDefault="00AF19F9" w:rsidP="00AF19F9">
      <w:pPr>
        <w:ind w:firstLine="709"/>
        <w:jc w:val="both"/>
        <w:rPr>
          <w:i/>
        </w:rPr>
      </w:pPr>
      <w:r w:rsidRPr="00865440">
        <w:rPr>
          <w:i/>
        </w:rPr>
        <w:t xml:space="preserve">- tas pats specialistas gali būti siūlomas </w:t>
      </w:r>
      <w:r w:rsidR="0090302C">
        <w:rPr>
          <w:i/>
        </w:rPr>
        <w:t xml:space="preserve">kelioms arba </w:t>
      </w:r>
      <w:r w:rsidR="00AC5FFA">
        <w:rPr>
          <w:i/>
        </w:rPr>
        <w:t>visoms</w:t>
      </w:r>
      <w:r w:rsidRPr="00865440">
        <w:rPr>
          <w:i/>
        </w:rPr>
        <w:t xml:space="preserve"> pozicijoms, jeigu atitinka tam specialistui nustatytus reikalavimus;</w:t>
      </w:r>
    </w:p>
    <w:p w14:paraId="396469E4" w14:textId="25C0D52C" w:rsidR="00AF19F9" w:rsidRPr="00335746" w:rsidRDefault="00AF19F9" w:rsidP="0090302C">
      <w:pPr>
        <w:ind w:right="-598" w:firstLine="709"/>
        <w:jc w:val="both"/>
        <w:rPr>
          <w:b/>
          <w:i/>
          <w:iCs/>
        </w:rPr>
      </w:pPr>
      <w:r w:rsidRPr="00335746">
        <w:rPr>
          <w:b/>
          <w:i/>
          <w:iCs/>
        </w:rPr>
        <w:t>- jei kvalifikacija yra grindžiama nurodant specialistą, kuris</w:t>
      </w:r>
      <w:r w:rsidRPr="00335746">
        <w:rPr>
          <w:i/>
          <w:iCs/>
        </w:rPr>
        <w:t xml:space="preserve"> nėra tiekėjo ar ūkio subjekto, kurio pajėgumais remiamasi, darbuotojas, tačiau</w:t>
      </w:r>
      <w:r w:rsidRPr="00335746">
        <w:rPr>
          <w:b/>
          <w:i/>
          <w:iCs/>
        </w:rPr>
        <w:t xml:space="preserve"> yra ketinamas įdarbinti, </w:t>
      </w:r>
      <w:r w:rsidRPr="00335746">
        <w:rPr>
          <w:i/>
        </w:rPr>
        <w:t>jei pasiūlymas bus pripažintas laimėjusiu</w:t>
      </w:r>
      <w:r w:rsidRPr="00335746">
        <w:rPr>
          <w:i/>
          <w:iCs/>
        </w:rPr>
        <w:t xml:space="preserve">, tokiu atveju specialistas </w:t>
      </w:r>
      <w:r w:rsidRPr="00335746">
        <w:rPr>
          <w:b/>
          <w:i/>
          <w:iCs/>
        </w:rPr>
        <w:t xml:space="preserve">turi būti išviešintas pasiūlyme kaip </w:t>
      </w:r>
      <w:proofErr w:type="spellStart"/>
      <w:r w:rsidRPr="00335746">
        <w:rPr>
          <w:b/>
          <w:i/>
          <w:iCs/>
        </w:rPr>
        <w:t>kvazisubtiekėjas</w:t>
      </w:r>
      <w:proofErr w:type="spellEnd"/>
      <w:r w:rsidR="00411E09">
        <w:rPr>
          <w:b/>
          <w:i/>
          <w:iCs/>
        </w:rPr>
        <w:t>.</w:t>
      </w:r>
    </w:p>
    <w:p w14:paraId="29E445D4" w14:textId="77777777" w:rsidR="0090302C" w:rsidRPr="00335746" w:rsidRDefault="0090302C" w:rsidP="0090302C">
      <w:pPr>
        <w:tabs>
          <w:tab w:val="left" w:pos="851"/>
        </w:tabs>
        <w:ind w:right="-598" w:firstLine="709"/>
        <w:jc w:val="both"/>
        <w:rPr>
          <w:i/>
        </w:rPr>
      </w:pPr>
    </w:p>
    <w:p w14:paraId="7D623FF9" w14:textId="77777777" w:rsidR="00AF19F9" w:rsidRPr="00335746" w:rsidRDefault="00AF19F9" w:rsidP="00AF19F9">
      <w:pPr>
        <w:tabs>
          <w:tab w:val="left" w:pos="851"/>
        </w:tabs>
        <w:ind w:firstLine="709"/>
        <w:jc w:val="both"/>
        <w:rPr>
          <w:i/>
        </w:rPr>
      </w:pPr>
    </w:p>
    <w:p w14:paraId="3D3D24E6" w14:textId="77777777" w:rsidR="00AF19F9" w:rsidRDefault="00AF19F9" w:rsidP="00AF19F9"/>
    <w:p w14:paraId="0831EA0D" w14:textId="77777777" w:rsidR="00AF19F9" w:rsidRDefault="00AF19F9" w:rsidP="00AF19F9">
      <w:pPr>
        <w:jc w:val="both"/>
        <w:rPr>
          <w:i/>
        </w:rPr>
      </w:pPr>
    </w:p>
    <w:p w14:paraId="7A85BB6E" w14:textId="77777777" w:rsidR="00860D91" w:rsidRDefault="00860D91" w:rsidP="00860D91">
      <w:pPr>
        <w:tabs>
          <w:tab w:val="left" w:pos="851"/>
        </w:tabs>
        <w:ind w:firstLine="709"/>
        <w:jc w:val="both"/>
        <w:rPr>
          <w:i/>
        </w:rPr>
      </w:pPr>
    </w:p>
    <w:p w14:paraId="7774670A" w14:textId="77777777" w:rsidR="00860D91" w:rsidRDefault="00860D91" w:rsidP="00860D91"/>
    <w:p w14:paraId="573676CD" w14:textId="77777777" w:rsidR="00772C03" w:rsidRDefault="00772C03"/>
    <w:sectPr w:rsidR="00772C03" w:rsidSect="00030CAA">
      <w:pgSz w:w="16838" w:h="11906" w:orient="landscape"/>
      <w:pgMar w:top="141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7DC9" w14:textId="77777777" w:rsidR="00860D91" w:rsidRDefault="00860D91" w:rsidP="00860D91">
      <w:r>
        <w:separator/>
      </w:r>
    </w:p>
  </w:endnote>
  <w:endnote w:type="continuationSeparator" w:id="0">
    <w:p w14:paraId="229C3BE7" w14:textId="77777777" w:rsidR="00860D91" w:rsidRDefault="00860D91" w:rsidP="0086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F33C" w14:textId="77777777" w:rsidR="00860D91" w:rsidRDefault="00860D91" w:rsidP="00860D91">
      <w:r>
        <w:separator/>
      </w:r>
    </w:p>
  </w:footnote>
  <w:footnote w:type="continuationSeparator" w:id="0">
    <w:p w14:paraId="0CBC56F6" w14:textId="77777777" w:rsidR="00860D91" w:rsidRDefault="00860D91" w:rsidP="0086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3"/>
    <w:rsid w:val="00030CAA"/>
    <w:rsid w:val="00101C43"/>
    <w:rsid w:val="0010461D"/>
    <w:rsid w:val="00113E68"/>
    <w:rsid w:val="001536A9"/>
    <w:rsid w:val="001F1B15"/>
    <w:rsid w:val="0022637B"/>
    <w:rsid w:val="003F77AA"/>
    <w:rsid w:val="00411E09"/>
    <w:rsid w:val="00590D06"/>
    <w:rsid w:val="006D7B1F"/>
    <w:rsid w:val="006E38F1"/>
    <w:rsid w:val="00772C03"/>
    <w:rsid w:val="00860D91"/>
    <w:rsid w:val="0090302C"/>
    <w:rsid w:val="009E4BDE"/>
    <w:rsid w:val="00A72C4E"/>
    <w:rsid w:val="00AC5FFA"/>
    <w:rsid w:val="00AF19F9"/>
    <w:rsid w:val="00B7628B"/>
    <w:rsid w:val="00B843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CA1E"/>
  <w15:chartTrackingRefBased/>
  <w15:docId w15:val="{FB08C018-6894-4DE9-9BC3-0F3AE6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0D9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60D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0D91"/>
    <w:pPr>
      <w:tabs>
        <w:tab w:val="center" w:pos="4819"/>
        <w:tab w:val="right" w:pos="9638"/>
      </w:tabs>
    </w:pPr>
  </w:style>
  <w:style w:type="character" w:customStyle="1" w:styleId="AntratsDiagrama">
    <w:name w:val="Antraštės Diagrama"/>
    <w:basedOn w:val="Numatytasispastraiposriftas"/>
    <w:link w:val="Antrats"/>
    <w:uiPriority w:val="99"/>
    <w:rsid w:val="00860D9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60D91"/>
    <w:pPr>
      <w:tabs>
        <w:tab w:val="center" w:pos="4819"/>
        <w:tab w:val="right" w:pos="9638"/>
      </w:tabs>
    </w:pPr>
  </w:style>
  <w:style w:type="character" w:customStyle="1" w:styleId="PoratDiagrama">
    <w:name w:val="Poraštė Diagrama"/>
    <w:basedOn w:val="Numatytasispastraiposriftas"/>
    <w:link w:val="Porat"/>
    <w:uiPriority w:val="99"/>
    <w:rsid w:val="00860D91"/>
    <w:rPr>
      <w:rFonts w:ascii="Times New Roman" w:eastAsia="Times New Roman" w:hAnsi="Times New Roman" w:cs="Times New Roman"/>
      <w:sz w:val="24"/>
      <w:szCs w:val="24"/>
    </w:rPr>
  </w:style>
  <w:style w:type="paragraph" w:styleId="Sraopastraipa">
    <w:name w:val="List Paragraph"/>
    <w:basedOn w:val="prastasis"/>
    <w:uiPriority w:val="34"/>
    <w:qFormat/>
    <w:rsid w:val="00B76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654">
      <w:bodyDiv w:val="1"/>
      <w:marLeft w:val="0"/>
      <w:marRight w:val="0"/>
      <w:marTop w:val="0"/>
      <w:marBottom w:val="0"/>
      <w:divBdr>
        <w:top w:val="none" w:sz="0" w:space="0" w:color="auto"/>
        <w:left w:val="none" w:sz="0" w:space="0" w:color="auto"/>
        <w:bottom w:val="none" w:sz="0" w:space="0" w:color="auto"/>
        <w:right w:val="none" w:sz="0" w:space="0" w:color="auto"/>
      </w:divBdr>
    </w:div>
    <w:div w:id="79098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2664</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22</cp:revision>
  <dcterms:created xsi:type="dcterms:W3CDTF">2026-02-09T13:22:00Z</dcterms:created>
  <dcterms:modified xsi:type="dcterms:W3CDTF">2026-03-19T14:25:00Z</dcterms:modified>
</cp:coreProperties>
</file>