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77777777" w:rsidR="00534B1B" w:rsidRPr="002B30D8" w:rsidRDefault="00534B1B" w:rsidP="00205129">
            <w:pPr>
              <w:widowControl w:val="0"/>
              <w:jc w:val="right"/>
            </w:pPr>
            <w:r>
              <w:rPr>
                <w:rFonts w:eastAsia="Calibri"/>
                <w:lang w:eastAsia="lt-LT"/>
              </w:rPr>
              <w:br w:type="page"/>
            </w:r>
            <w:r w:rsidRPr="002B30D8">
              <w:br w:type="page"/>
            </w:r>
            <w:r w:rsidRPr="002B30D8">
              <w:br w:type="page"/>
            </w:r>
            <w:r w:rsidRPr="002B30D8">
              <w:br w:type="page"/>
            </w:r>
            <w:r>
              <w:t>Pirkimo sąlygų</w:t>
            </w:r>
          </w:p>
        </w:tc>
      </w:tr>
      <w:tr w:rsidR="00534B1B" w14:paraId="3EB10428" w14:textId="77777777" w:rsidTr="00281310">
        <w:trPr>
          <w:trHeight w:val="258"/>
        </w:trPr>
        <w:tc>
          <w:tcPr>
            <w:tcW w:w="3118" w:type="dxa"/>
          </w:tcPr>
          <w:p w14:paraId="37EDF3DC" w14:textId="15337545" w:rsidR="00534B1B" w:rsidRPr="002B30D8" w:rsidRDefault="006B4C0B" w:rsidP="00205129">
            <w:pPr>
              <w:widowControl w:val="0"/>
              <w:jc w:val="right"/>
            </w:pPr>
            <w:r>
              <w:t>3</w:t>
            </w:r>
            <w:r w:rsidR="00EB7B42">
              <w:t xml:space="preserve"> </w:t>
            </w:r>
            <w:r w:rsidR="00534B1B" w:rsidRPr="002B30D8">
              <w:t>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3041024E" w:rsidR="00534B1B" w:rsidRPr="00031EB2" w:rsidRDefault="00534B1B" w:rsidP="00534B1B">
      <w:pPr>
        <w:widowControl w:val="0"/>
        <w:tabs>
          <w:tab w:val="center" w:pos="2520"/>
        </w:tabs>
        <w:jc w:val="both"/>
        <w:rPr>
          <w:sz w:val="20"/>
          <w:szCs w:val="20"/>
        </w:rPr>
      </w:pPr>
      <w:r w:rsidRPr="00031EB2">
        <w:rPr>
          <w:sz w:val="20"/>
          <w:szCs w:val="20"/>
        </w:rPr>
        <w:t xml:space="preserve"> (Adresatas (</w:t>
      </w:r>
      <w:r w:rsidR="00750E7C">
        <w:rPr>
          <w:sz w:val="20"/>
          <w:szCs w:val="20"/>
        </w:rPr>
        <w:t xml:space="preserve">centrinė </w:t>
      </w:r>
      <w:r w:rsidRPr="00031EB2">
        <w:rPr>
          <w:sz w:val="20"/>
          <w:szCs w:val="20"/>
        </w:rPr>
        <w:t>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r w:rsidRPr="00261ED3">
        <w:rPr>
          <w:b/>
          <w:lang w:eastAsia="lt-LT"/>
        </w:rPr>
        <w:t xml:space="preserve">SKELBIAMOS APKLAUSOS </w:t>
      </w:r>
      <w:r>
        <w:rPr>
          <w:b/>
          <w:lang w:eastAsia="lt-LT"/>
        </w:rPr>
        <w:t xml:space="preserve">BŪDU ATLIEKAMO </w:t>
      </w:r>
    </w:p>
    <w:p w14:paraId="79CF8D26" w14:textId="602CDA2F" w:rsidR="00534B1B" w:rsidRPr="00261ED3" w:rsidRDefault="00534B1B" w:rsidP="00534B1B">
      <w:pPr>
        <w:jc w:val="center"/>
        <w:rPr>
          <w:b/>
          <w:lang w:eastAsia="lt-LT"/>
        </w:rPr>
      </w:pPr>
      <w:r w:rsidRPr="00261ED3">
        <w:rPr>
          <w:b/>
          <w:lang w:eastAsia="lt-LT"/>
        </w:rPr>
        <w:t>MAŽOS VERTĖS VIEŠOJO PIRKIMO „</w:t>
      </w:r>
      <w:r w:rsidR="00523A3D" w:rsidRPr="00523A3D">
        <w:rPr>
          <w:b/>
          <w:lang w:eastAsia="lt-LT"/>
        </w:rPr>
        <w:t>ERKIŲ PLATINAMŲ LIGŲ VAKCIN</w:t>
      </w:r>
      <w:r w:rsidR="00523A3D">
        <w:rPr>
          <w:b/>
          <w:lang w:eastAsia="lt-LT"/>
        </w:rPr>
        <w:t>OS</w:t>
      </w:r>
      <w:r w:rsidR="00523A3D" w:rsidRPr="00523A3D">
        <w:rPr>
          <w:b/>
          <w:lang w:eastAsia="lt-LT"/>
        </w:rPr>
        <w:t xml:space="preserve"> IR VAKCINAVIMO PASLAUG</w:t>
      </w:r>
      <w:r w:rsidR="00523A3D">
        <w:rPr>
          <w:b/>
          <w:lang w:eastAsia="lt-LT"/>
        </w:rPr>
        <w:t>OS</w:t>
      </w:r>
      <w:r w:rsidRPr="00261ED3">
        <w:rPr>
          <w:b/>
          <w:lang w:eastAsia="lt-LT"/>
        </w:rPr>
        <w:t>“</w:t>
      </w:r>
    </w:p>
    <w:p w14:paraId="2A66EF21" w14:textId="77777777" w:rsidR="00534B1B" w:rsidRPr="00031EB2" w:rsidRDefault="00534B1B" w:rsidP="00534B1B">
      <w:pPr>
        <w:jc w:val="center"/>
        <w:rPr>
          <w:b/>
        </w:rPr>
      </w:pPr>
      <w:r w:rsidRPr="00031EB2">
        <w:rPr>
          <w:b/>
        </w:rPr>
        <w:t>PASIŪLYMAS</w:t>
      </w:r>
    </w:p>
    <w:p w14:paraId="49F0966F" w14:textId="77777777" w:rsidR="00534B1B" w:rsidRDefault="00534B1B" w:rsidP="00534B1B">
      <w:pPr>
        <w:shd w:val="clear" w:color="auto" w:fill="FFFFFF"/>
        <w:jc w:val="center"/>
        <w:rPr>
          <w:b/>
        </w:rPr>
      </w:pPr>
    </w:p>
    <w:p w14:paraId="66CB8475" w14:textId="77777777" w:rsidR="000F3461" w:rsidRDefault="000F3461" w:rsidP="00534B1B">
      <w:pPr>
        <w:shd w:val="clear" w:color="auto" w:fill="FFFFFF"/>
        <w:jc w:val="cente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77777777" w:rsidR="00534B1B" w:rsidRPr="00987D4E" w:rsidRDefault="00534B1B" w:rsidP="00534B1B">
      <w:pPr>
        <w:shd w:val="clear" w:color="auto" w:fill="FFFFFF"/>
        <w:jc w:val="center"/>
        <w:rPr>
          <w:bCs/>
          <w:color w:val="000000"/>
        </w:rPr>
      </w:pPr>
      <w:r w:rsidRPr="00987D4E">
        <w:rPr>
          <w:bCs/>
          <w:color w:val="000000"/>
        </w:rPr>
        <w:t>____________________</w:t>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p w14:paraId="006EB9A7" w14:textId="77777777" w:rsidR="00534B1B" w:rsidRPr="00031EB2" w:rsidRDefault="00534B1B" w:rsidP="00534B1B">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34B1B" w:rsidRPr="00031EB2" w14:paraId="66CF2EAC" w14:textId="77777777" w:rsidTr="00281310">
        <w:tc>
          <w:tcPr>
            <w:tcW w:w="3381" w:type="pct"/>
            <w:shd w:val="clear" w:color="auto" w:fill="F2F2F2" w:themeFill="background1" w:themeFillShade="F2"/>
          </w:tcPr>
          <w:p w14:paraId="32D4F969" w14:textId="77777777" w:rsidR="00534B1B" w:rsidRDefault="00534B1B" w:rsidP="00281310">
            <w:pPr>
              <w:widowControl w:val="0"/>
              <w:jc w:val="both"/>
              <w:rPr>
                <w:b/>
              </w:rPr>
            </w:pPr>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281310">
        <w:tc>
          <w:tcPr>
            <w:tcW w:w="3381"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1619" w:type="pct"/>
          </w:tcPr>
          <w:p w14:paraId="36AFFB3A" w14:textId="77777777" w:rsidR="00534B1B" w:rsidRPr="00031EB2" w:rsidRDefault="00534B1B" w:rsidP="00281310">
            <w:pPr>
              <w:widowControl w:val="0"/>
              <w:jc w:val="both"/>
            </w:pPr>
          </w:p>
        </w:tc>
      </w:tr>
      <w:tr w:rsidR="00534B1B" w:rsidRPr="00031EB2" w14:paraId="37ECCA5E" w14:textId="77777777" w:rsidTr="00281310">
        <w:tc>
          <w:tcPr>
            <w:tcW w:w="3381"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1619" w:type="pct"/>
          </w:tcPr>
          <w:p w14:paraId="3CA242E3" w14:textId="77777777" w:rsidR="00534B1B" w:rsidRPr="00031EB2" w:rsidRDefault="00534B1B" w:rsidP="00281310">
            <w:pPr>
              <w:widowControl w:val="0"/>
              <w:jc w:val="both"/>
            </w:pPr>
          </w:p>
        </w:tc>
      </w:tr>
      <w:tr w:rsidR="00534B1B" w:rsidRPr="00031EB2" w14:paraId="01A21F6A" w14:textId="77777777" w:rsidTr="00281310">
        <w:tc>
          <w:tcPr>
            <w:tcW w:w="3381"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1619" w:type="pct"/>
          </w:tcPr>
          <w:p w14:paraId="63850873" w14:textId="77777777" w:rsidR="00534B1B" w:rsidRPr="00031EB2" w:rsidRDefault="00534B1B" w:rsidP="00281310">
            <w:pPr>
              <w:widowControl w:val="0"/>
              <w:jc w:val="both"/>
            </w:pPr>
          </w:p>
        </w:tc>
      </w:tr>
    </w:tbl>
    <w:p w14:paraId="79A617BC" w14:textId="77777777" w:rsidR="00534B1B" w:rsidRDefault="00534B1B" w:rsidP="00534B1B">
      <w:pPr>
        <w:jc w:val="both"/>
        <w:rPr>
          <w:i/>
          <w:iCs/>
          <w:color w:val="000000" w:themeColor="text1"/>
          <w:spacing w:val="-4"/>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28"/>
      </w:tblGrid>
      <w:tr w:rsidR="00523A3D" w:rsidRPr="00031EB2" w14:paraId="2B35111A" w14:textId="0569A8EC" w:rsidTr="00523A3D">
        <w:tc>
          <w:tcPr>
            <w:tcW w:w="6516" w:type="dxa"/>
            <w:shd w:val="clear" w:color="auto" w:fill="F2F2F2" w:themeFill="background1" w:themeFillShade="F2"/>
            <w:tcMar>
              <w:top w:w="0" w:type="dxa"/>
              <w:left w:w="108" w:type="dxa"/>
              <w:bottom w:w="0" w:type="dxa"/>
              <w:right w:w="108" w:type="dxa"/>
            </w:tcMar>
            <w:hideMark/>
          </w:tcPr>
          <w:p w14:paraId="73E96FE5" w14:textId="61F5B729" w:rsidR="00523A3D" w:rsidRDefault="00523A3D" w:rsidP="00281310">
            <w:pPr>
              <w:jc w:val="both"/>
              <w:rPr>
                <w:b/>
                <w:b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w:t>
            </w:r>
          </w:p>
          <w:p w14:paraId="5D7693E8" w14:textId="77777777" w:rsidR="00523A3D" w:rsidRPr="00031EB2" w:rsidRDefault="00523A3D" w:rsidP="00281310">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28" w:type="dxa"/>
            <w:shd w:val="clear" w:color="auto" w:fill="FFFFFF" w:themeFill="background1"/>
            <w:tcMar>
              <w:top w:w="0" w:type="dxa"/>
              <w:left w:w="108" w:type="dxa"/>
              <w:bottom w:w="0" w:type="dxa"/>
              <w:right w:w="108" w:type="dxa"/>
            </w:tcMar>
          </w:tcPr>
          <w:p w14:paraId="291524E4" w14:textId="77777777" w:rsidR="00523A3D" w:rsidRPr="00031EB2" w:rsidRDefault="00523A3D" w:rsidP="00281310">
            <w:pPr>
              <w:jc w:val="both"/>
              <w:rPr>
                <w:color w:val="000000" w:themeColor="text1"/>
              </w:rPr>
            </w:pPr>
          </w:p>
        </w:tc>
      </w:tr>
      <w:tr w:rsidR="00523A3D" w:rsidRPr="00031EB2" w14:paraId="3551AA76" w14:textId="37221D62" w:rsidTr="00523A3D">
        <w:tc>
          <w:tcPr>
            <w:tcW w:w="6516" w:type="dxa"/>
            <w:shd w:val="clear" w:color="auto" w:fill="F2F2F2" w:themeFill="background1" w:themeFillShade="F2"/>
            <w:tcMar>
              <w:top w:w="0" w:type="dxa"/>
              <w:left w:w="108" w:type="dxa"/>
              <w:bottom w:w="0" w:type="dxa"/>
              <w:right w:w="108" w:type="dxa"/>
            </w:tcMar>
          </w:tcPr>
          <w:p w14:paraId="2DDDD6DB" w14:textId="5DA039EC" w:rsidR="00523A3D" w:rsidRPr="00031EB2" w:rsidRDefault="00523A3D" w:rsidP="00281310">
            <w:pPr>
              <w:jc w:val="both"/>
              <w:rPr>
                <w:color w:val="000000" w:themeColor="text1"/>
              </w:rPr>
            </w:pPr>
            <w:r>
              <w:rPr>
                <w:color w:val="000000" w:themeColor="text1"/>
              </w:rPr>
              <w:t>Subtiekėjui</w:t>
            </w:r>
            <w:r w:rsidRPr="00031EB2">
              <w:rPr>
                <w:color w:val="000000" w:themeColor="text1"/>
              </w:rPr>
              <w:t xml:space="preserve"> perduodamų vykdyti sutartinių prievolių dalis (procentais)</w:t>
            </w:r>
          </w:p>
        </w:tc>
        <w:tc>
          <w:tcPr>
            <w:tcW w:w="3128" w:type="dxa"/>
            <w:tcMar>
              <w:top w:w="0" w:type="dxa"/>
              <w:left w:w="108" w:type="dxa"/>
              <w:bottom w:w="0" w:type="dxa"/>
              <w:right w:w="108" w:type="dxa"/>
            </w:tcMar>
          </w:tcPr>
          <w:p w14:paraId="3288632E" w14:textId="77777777" w:rsidR="00523A3D" w:rsidRPr="00031EB2" w:rsidRDefault="00523A3D" w:rsidP="00281310">
            <w:pPr>
              <w:jc w:val="both"/>
              <w:rPr>
                <w:color w:val="000000" w:themeColor="text1"/>
              </w:rPr>
            </w:pPr>
          </w:p>
        </w:tc>
      </w:tr>
      <w:tr w:rsidR="00523A3D" w:rsidRPr="00031EB2" w14:paraId="0DB49159" w14:textId="28021B13" w:rsidTr="00523A3D">
        <w:tc>
          <w:tcPr>
            <w:tcW w:w="6516" w:type="dxa"/>
            <w:shd w:val="clear" w:color="auto" w:fill="F2F2F2" w:themeFill="background1" w:themeFillShade="F2"/>
            <w:tcMar>
              <w:top w:w="0" w:type="dxa"/>
              <w:left w:w="108" w:type="dxa"/>
              <w:bottom w:w="0" w:type="dxa"/>
              <w:right w:w="108" w:type="dxa"/>
            </w:tcMar>
            <w:hideMark/>
          </w:tcPr>
          <w:p w14:paraId="1905470A" w14:textId="7C444F28" w:rsidR="00523A3D" w:rsidRPr="00031EB2" w:rsidRDefault="00523A3D" w:rsidP="00281310">
            <w:pPr>
              <w:jc w:val="both"/>
              <w:rPr>
                <w:color w:val="000000" w:themeColor="text1"/>
              </w:rPr>
            </w:pPr>
            <w:r>
              <w:rPr>
                <w:color w:val="000000" w:themeColor="text1"/>
              </w:rPr>
              <w:t xml:space="preserve">Subtiekėjui </w:t>
            </w:r>
            <w:r w:rsidRPr="00031EB2">
              <w:rPr>
                <w:color w:val="000000" w:themeColor="text1"/>
              </w:rPr>
              <w:t>perduodamos vykdyti sutartinės prievolės</w:t>
            </w:r>
          </w:p>
        </w:tc>
        <w:tc>
          <w:tcPr>
            <w:tcW w:w="3128" w:type="dxa"/>
            <w:tcMar>
              <w:top w:w="0" w:type="dxa"/>
              <w:left w:w="108" w:type="dxa"/>
              <w:bottom w:w="0" w:type="dxa"/>
              <w:right w:w="108" w:type="dxa"/>
            </w:tcMar>
          </w:tcPr>
          <w:p w14:paraId="7A82F9C2" w14:textId="77777777" w:rsidR="00523A3D" w:rsidRPr="00031EB2" w:rsidRDefault="00523A3D" w:rsidP="00281310">
            <w:pPr>
              <w:jc w:val="both"/>
              <w:rPr>
                <w:color w:val="000000" w:themeColor="text1"/>
              </w:rPr>
            </w:pPr>
          </w:p>
        </w:tc>
      </w:tr>
    </w:tbl>
    <w:p w14:paraId="6338BF33" w14:textId="791EA4A4" w:rsidR="00534B1B" w:rsidRDefault="00534B1B" w:rsidP="00D41827">
      <w:pPr>
        <w:ind w:firstLine="709"/>
        <w:jc w:val="both"/>
        <w:rPr>
          <w:i/>
          <w:iCs/>
          <w:color w:val="000000" w:themeColor="text1"/>
        </w:rPr>
      </w:pPr>
      <w:r w:rsidRPr="00003B33">
        <w:rPr>
          <w:i/>
          <w:iCs/>
          <w:color w:val="000000" w:themeColor="text1"/>
        </w:rPr>
        <w:t>Pastab</w:t>
      </w:r>
      <w:r w:rsidR="0023491D">
        <w:rPr>
          <w:i/>
          <w:iCs/>
          <w:color w:val="000000" w:themeColor="text1"/>
        </w:rPr>
        <w:t>os</w:t>
      </w:r>
      <w:r w:rsidR="00D41827">
        <w:rPr>
          <w:i/>
          <w:iCs/>
          <w:color w:val="000000" w:themeColor="text1"/>
        </w:rPr>
        <w:t>.</w:t>
      </w:r>
      <w:r w:rsidR="00D41827" w:rsidRPr="00003B33">
        <w:rPr>
          <w:i/>
          <w:iCs/>
          <w:color w:val="000000" w:themeColor="text1"/>
        </w:rPr>
        <w:t xml:space="preserve"> </w:t>
      </w:r>
      <w:r w:rsidR="00D41827">
        <w:rPr>
          <w:i/>
          <w:iCs/>
          <w:color w:val="000000" w:themeColor="text1"/>
        </w:rPr>
        <w:t>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23491D">
        <w:rPr>
          <w:i/>
          <w:iCs/>
          <w:color w:val="000000" w:themeColor="text1"/>
        </w:rPr>
        <w:t>tiekėjus</w:t>
      </w:r>
      <w:r w:rsidR="00D41827">
        <w:rPr>
          <w:i/>
          <w:iCs/>
          <w:color w:val="000000" w:themeColor="text1"/>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521"/>
        <w:gridCol w:w="3118"/>
      </w:tblGrid>
      <w:tr w:rsidR="00D41827" w:rsidRPr="00BE7961" w14:paraId="40C42B3C" w14:textId="77777777" w:rsidTr="00D41827">
        <w:tc>
          <w:tcPr>
            <w:tcW w:w="6521" w:type="dxa"/>
            <w:shd w:val="clear" w:color="auto" w:fill="F2F2F2" w:themeFill="background1" w:themeFillShade="F2"/>
            <w:tcMar>
              <w:top w:w="0" w:type="dxa"/>
              <w:left w:w="108" w:type="dxa"/>
              <w:bottom w:w="0" w:type="dxa"/>
              <w:right w:w="108" w:type="dxa"/>
            </w:tcMar>
          </w:tcPr>
          <w:p w14:paraId="1EBD814E" w14:textId="77777777" w:rsidR="00D41827" w:rsidRDefault="00D41827" w:rsidP="005332B1">
            <w:pPr>
              <w:widowControl w:val="0"/>
              <w:jc w:val="both"/>
              <w:rPr>
                <w:bCs/>
                <w:i/>
              </w:rPr>
            </w:pPr>
            <w:r w:rsidRPr="00272FD9">
              <w:rPr>
                <w:b/>
                <w:lang w:eastAsia="lt-LT"/>
              </w:rPr>
              <w:t>Tretieji asmenys, kurie tiesiogiai aktyviai nedalyvaus sutarties vykdyme</w:t>
            </w:r>
            <w:r w:rsidRPr="00272FD9">
              <w:rPr>
                <w:bCs/>
                <w:i/>
              </w:rPr>
              <w:t xml:space="preserve"> </w:t>
            </w:r>
          </w:p>
          <w:p w14:paraId="671642D5" w14:textId="7458DA94" w:rsidR="00D41827" w:rsidRPr="00BE7961" w:rsidRDefault="00D41827" w:rsidP="005332B1">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Pr>
                <w:bCs/>
                <w:i/>
              </w:rPr>
              <w:t>)</w:t>
            </w:r>
          </w:p>
        </w:tc>
        <w:tc>
          <w:tcPr>
            <w:tcW w:w="3118" w:type="dxa"/>
            <w:shd w:val="clear" w:color="auto" w:fill="F2F2F2" w:themeFill="background1" w:themeFillShade="F2"/>
            <w:tcMar>
              <w:top w:w="0" w:type="dxa"/>
              <w:left w:w="108" w:type="dxa"/>
              <w:bottom w:w="0" w:type="dxa"/>
              <w:right w:w="108" w:type="dxa"/>
            </w:tcMar>
          </w:tcPr>
          <w:p w14:paraId="5C0ED9BE" w14:textId="77777777" w:rsidR="00D41827" w:rsidRPr="00BE7961" w:rsidRDefault="00D41827" w:rsidP="005332B1">
            <w:pPr>
              <w:widowControl w:val="0"/>
              <w:jc w:val="both"/>
            </w:pPr>
          </w:p>
        </w:tc>
      </w:tr>
      <w:tr w:rsidR="00D41827" w:rsidRPr="00BE7961" w14:paraId="24B7C40B" w14:textId="77777777" w:rsidTr="00D41827">
        <w:trPr>
          <w:trHeight w:val="449"/>
        </w:trPr>
        <w:tc>
          <w:tcPr>
            <w:tcW w:w="6521" w:type="dxa"/>
            <w:tcMar>
              <w:top w:w="0" w:type="dxa"/>
              <w:left w:w="108" w:type="dxa"/>
              <w:bottom w:w="0" w:type="dxa"/>
              <w:right w:w="108" w:type="dxa"/>
            </w:tcMar>
          </w:tcPr>
          <w:p w14:paraId="40BB7523" w14:textId="77777777" w:rsidR="00D41827" w:rsidRPr="00BE7961" w:rsidRDefault="00D41827" w:rsidP="005332B1">
            <w:pPr>
              <w:widowControl w:val="0"/>
              <w:jc w:val="both"/>
            </w:pPr>
            <w:r w:rsidRPr="00272FD9">
              <w:t>Tiekėjui suteikiamos naudoti  priemonės (pvz. patalpos, įranga</w:t>
            </w:r>
            <w:r>
              <w:t>/technika</w:t>
            </w:r>
            <w:r w:rsidRPr="00272FD9">
              <w:t>)</w:t>
            </w:r>
          </w:p>
        </w:tc>
        <w:tc>
          <w:tcPr>
            <w:tcW w:w="3118" w:type="dxa"/>
            <w:tcMar>
              <w:top w:w="0" w:type="dxa"/>
              <w:left w:w="108" w:type="dxa"/>
              <w:bottom w:w="0" w:type="dxa"/>
              <w:right w:w="108" w:type="dxa"/>
            </w:tcMar>
          </w:tcPr>
          <w:p w14:paraId="72899F78" w14:textId="77777777" w:rsidR="00D41827" w:rsidRPr="00BE7961" w:rsidRDefault="00D41827" w:rsidP="005332B1">
            <w:pPr>
              <w:widowControl w:val="0"/>
              <w:jc w:val="both"/>
            </w:pPr>
          </w:p>
        </w:tc>
      </w:tr>
    </w:tbl>
    <w:p w14:paraId="44B36900" w14:textId="77777777" w:rsidR="00D41827" w:rsidRPr="00272FD9" w:rsidRDefault="00D41827" w:rsidP="00D41827">
      <w:pPr>
        <w:widowControl w:val="0"/>
        <w:ind w:firstLine="709"/>
        <w:jc w:val="both"/>
      </w:pPr>
      <w:r w:rsidRPr="00272FD9">
        <w:rPr>
          <w:i/>
          <w:iCs/>
        </w:rPr>
        <w:t>Pastaba. Pildoma, jei tiekėjas naudojasi (naudosis) trečiųjų asmenų, kurie tiesiogiai aktyviai nedalyvaus sutarties vykdyme.</w:t>
      </w:r>
    </w:p>
    <w:p w14:paraId="279F20E4" w14:textId="77777777" w:rsidR="00D41827" w:rsidRDefault="00D41827" w:rsidP="00D41827">
      <w:pPr>
        <w:ind w:firstLine="709"/>
        <w:jc w:val="both"/>
        <w:rPr>
          <w:i/>
          <w:iCs/>
          <w:color w:val="000000" w:themeColor="text1"/>
        </w:rPr>
      </w:pP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5B8C7C29" w14:textId="77777777" w:rsidR="00534B1B" w:rsidRDefault="00534B1B" w:rsidP="00534B1B">
      <w:pPr>
        <w:widowControl w:val="0"/>
        <w:ind w:firstLine="709"/>
        <w:jc w:val="both"/>
      </w:pPr>
    </w:p>
    <w:p w14:paraId="13DCF490" w14:textId="28D583A2" w:rsidR="00321E35" w:rsidRDefault="00321E35" w:rsidP="00321E35">
      <w:pPr>
        <w:widowControl w:val="0"/>
        <w:ind w:firstLine="709"/>
        <w:jc w:val="both"/>
      </w:pPr>
      <w:r w:rsidRPr="00321E35">
        <w:rPr>
          <w:b/>
          <w:bCs/>
        </w:rPr>
        <w:lastRenderedPageBreak/>
        <w:t>Mes siūlome ši</w:t>
      </w:r>
      <w:r w:rsidR="00A259F9">
        <w:rPr>
          <w:b/>
          <w:bCs/>
        </w:rPr>
        <w:t>ą</w:t>
      </w:r>
      <w:r w:rsidRPr="00321E35">
        <w:rPr>
          <w:b/>
          <w:bCs/>
        </w:rPr>
        <w:t xml:space="preserve"> prek</w:t>
      </w:r>
      <w:r w:rsidR="00A259F9">
        <w:rPr>
          <w:b/>
          <w:bCs/>
        </w:rPr>
        <w:t>ę</w:t>
      </w:r>
      <w:r w:rsidRPr="00321E35">
        <w:rPr>
          <w:b/>
          <w:bCs/>
        </w:rPr>
        <w:t xml:space="preserve"> </w:t>
      </w:r>
      <w:r>
        <w:t>(</w:t>
      </w:r>
      <w:r w:rsidR="00523A3D">
        <w:rPr>
          <w:i/>
          <w:iCs/>
        </w:rPr>
        <w:t xml:space="preserve">ir su </w:t>
      </w:r>
      <w:r w:rsidR="00A259F9">
        <w:rPr>
          <w:i/>
          <w:iCs/>
        </w:rPr>
        <w:t>ja</w:t>
      </w:r>
      <w:r w:rsidR="00523A3D">
        <w:rPr>
          <w:i/>
          <w:iCs/>
        </w:rPr>
        <w:t xml:space="preserve"> susijusias paslaugas)</w:t>
      </w:r>
      <w:r w:rsidR="00A259F9">
        <w:rPr>
          <w:i/>
          <w:iCs/>
        </w:rPr>
        <w:t>:</w:t>
      </w:r>
    </w:p>
    <w:p w14:paraId="378423C3" w14:textId="26CD8F10" w:rsidR="00534B1B" w:rsidRDefault="00534B1B" w:rsidP="00523A3D">
      <w:pPr>
        <w:widowControl w:val="0"/>
        <w:jc w:val="both"/>
      </w:pPr>
    </w:p>
    <w:tbl>
      <w:tblPr>
        <w:tblStyle w:val="Lentelstinklelis"/>
        <w:tblW w:w="9634" w:type="dxa"/>
        <w:tblLook w:val="04A0" w:firstRow="1" w:lastRow="0" w:firstColumn="1" w:lastColumn="0" w:noHBand="0" w:noVBand="1"/>
      </w:tblPr>
      <w:tblGrid>
        <w:gridCol w:w="628"/>
        <w:gridCol w:w="2648"/>
        <w:gridCol w:w="1451"/>
        <w:gridCol w:w="1488"/>
        <w:gridCol w:w="3419"/>
      </w:tblGrid>
      <w:tr w:rsidR="00021AC5" w:rsidRPr="00CC0515" w14:paraId="26362CAB" w14:textId="77777777" w:rsidTr="003C0C66">
        <w:trPr>
          <w:trHeight w:val="1610"/>
        </w:trPr>
        <w:tc>
          <w:tcPr>
            <w:tcW w:w="636" w:type="dxa"/>
            <w:shd w:val="clear" w:color="auto" w:fill="F2F2F2" w:themeFill="background1" w:themeFillShade="F2"/>
            <w:vAlign w:val="center"/>
            <w:hideMark/>
          </w:tcPr>
          <w:p w14:paraId="377B8846" w14:textId="77777777" w:rsidR="00021AC5" w:rsidRPr="00CC0515" w:rsidRDefault="00021AC5" w:rsidP="003C0C66">
            <w:pPr>
              <w:jc w:val="center"/>
              <w:rPr>
                <w:b/>
                <w:bCs/>
                <w:sz w:val="22"/>
                <w:szCs w:val="22"/>
              </w:rPr>
            </w:pPr>
            <w:r w:rsidRPr="00CC0515">
              <w:rPr>
                <w:b/>
                <w:bCs/>
                <w:sz w:val="22"/>
                <w:szCs w:val="22"/>
              </w:rPr>
              <w:t>Eil. Nr.</w:t>
            </w:r>
          </w:p>
        </w:tc>
        <w:tc>
          <w:tcPr>
            <w:tcW w:w="2761" w:type="dxa"/>
            <w:shd w:val="clear" w:color="auto" w:fill="F2F2F2" w:themeFill="background1" w:themeFillShade="F2"/>
            <w:vAlign w:val="center"/>
            <w:hideMark/>
          </w:tcPr>
          <w:p w14:paraId="1927ABF1" w14:textId="77777777" w:rsidR="00021AC5" w:rsidRPr="00CC0515" w:rsidRDefault="00021AC5" w:rsidP="003C0C66">
            <w:pPr>
              <w:jc w:val="center"/>
              <w:rPr>
                <w:b/>
                <w:bCs/>
                <w:sz w:val="22"/>
                <w:szCs w:val="22"/>
              </w:rPr>
            </w:pPr>
            <w:r w:rsidRPr="00CC0515">
              <w:rPr>
                <w:b/>
                <w:bCs/>
                <w:sz w:val="22"/>
                <w:szCs w:val="22"/>
              </w:rPr>
              <w:t>Prekės pavadinimas</w:t>
            </w:r>
          </w:p>
        </w:tc>
        <w:tc>
          <w:tcPr>
            <w:tcW w:w="1137" w:type="dxa"/>
            <w:shd w:val="clear" w:color="auto" w:fill="F2F2F2" w:themeFill="background1" w:themeFillShade="F2"/>
            <w:vAlign w:val="center"/>
          </w:tcPr>
          <w:p w14:paraId="21FBED1B" w14:textId="77777777" w:rsidR="00021AC5" w:rsidRPr="00CC0515" w:rsidRDefault="00021AC5" w:rsidP="003C0C66">
            <w:pPr>
              <w:jc w:val="center"/>
              <w:rPr>
                <w:b/>
                <w:bCs/>
                <w:sz w:val="22"/>
                <w:szCs w:val="22"/>
              </w:rPr>
            </w:pPr>
            <w:r w:rsidRPr="00090C75">
              <w:rPr>
                <w:b/>
                <w:bCs/>
                <w:sz w:val="22"/>
                <w:szCs w:val="22"/>
              </w:rPr>
              <w:t>Preliminarus asmenų skaičius*</w:t>
            </w:r>
          </w:p>
        </w:tc>
        <w:tc>
          <w:tcPr>
            <w:tcW w:w="1488" w:type="dxa"/>
            <w:shd w:val="clear" w:color="auto" w:fill="F2F2F2" w:themeFill="background1" w:themeFillShade="F2"/>
            <w:vAlign w:val="center"/>
          </w:tcPr>
          <w:p w14:paraId="58C3F342" w14:textId="77777777" w:rsidR="00021AC5" w:rsidRPr="00CC0515" w:rsidRDefault="00021AC5" w:rsidP="003C0C66">
            <w:pPr>
              <w:jc w:val="center"/>
              <w:rPr>
                <w:b/>
                <w:bCs/>
                <w:sz w:val="22"/>
                <w:szCs w:val="22"/>
              </w:rPr>
            </w:pPr>
            <w:r w:rsidRPr="00CC0515">
              <w:rPr>
                <w:b/>
                <w:bCs/>
                <w:sz w:val="22"/>
                <w:szCs w:val="22"/>
                <w:u w:val="single"/>
              </w:rPr>
              <w:t>1 (vieno)</w:t>
            </w:r>
            <w:r w:rsidRPr="00CC0515">
              <w:rPr>
                <w:b/>
                <w:bCs/>
                <w:sz w:val="22"/>
                <w:szCs w:val="22"/>
              </w:rPr>
              <w:t xml:space="preserve"> asmens</w:t>
            </w:r>
          </w:p>
          <w:p w14:paraId="70580BA2" w14:textId="77777777" w:rsidR="00021AC5" w:rsidRPr="00CC0515" w:rsidRDefault="00021AC5" w:rsidP="003C0C66">
            <w:pPr>
              <w:jc w:val="center"/>
              <w:rPr>
                <w:b/>
                <w:bCs/>
                <w:sz w:val="22"/>
                <w:szCs w:val="22"/>
              </w:rPr>
            </w:pPr>
            <w:r w:rsidRPr="00CC0515">
              <w:rPr>
                <w:b/>
                <w:bCs/>
                <w:sz w:val="22"/>
                <w:szCs w:val="22"/>
              </w:rPr>
              <w:t>vakcinos  (</w:t>
            </w:r>
            <w:r w:rsidRPr="00CC0515">
              <w:rPr>
                <w:b/>
                <w:bCs/>
                <w:sz w:val="22"/>
                <w:szCs w:val="22"/>
                <w:u w:val="single"/>
              </w:rPr>
              <w:t>įskaitant ir vakcinavimą</w:t>
            </w:r>
            <w:r w:rsidRPr="00CC0515">
              <w:rPr>
                <w:b/>
                <w:bCs/>
                <w:sz w:val="22"/>
                <w:szCs w:val="22"/>
              </w:rPr>
              <w:t>) įkainis</w:t>
            </w:r>
          </w:p>
          <w:p w14:paraId="7CC32BD3" w14:textId="77777777" w:rsidR="00021AC5" w:rsidRPr="00CC0515" w:rsidRDefault="00021AC5" w:rsidP="003C0C66">
            <w:pPr>
              <w:jc w:val="center"/>
              <w:rPr>
                <w:b/>
                <w:bCs/>
                <w:sz w:val="22"/>
                <w:szCs w:val="22"/>
              </w:rPr>
            </w:pPr>
            <w:r w:rsidRPr="00CC0515">
              <w:rPr>
                <w:b/>
                <w:sz w:val="22"/>
                <w:szCs w:val="22"/>
              </w:rPr>
              <w:t xml:space="preserve">Eur </w:t>
            </w:r>
            <w:r w:rsidRPr="00CC0515">
              <w:rPr>
                <w:b/>
                <w:sz w:val="22"/>
                <w:szCs w:val="22"/>
                <w:u w:val="single"/>
              </w:rPr>
              <w:t>be PVM</w:t>
            </w:r>
          </w:p>
        </w:tc>
        <w:tc>
          <w:tcPr>
            <w:tcW w:w="3612" w:type="dxa"/>
            <w:shd w:val="clear" w:color="auto" w:fill="F2F2F2" w:themeFill="background1" w:themeFillShade="F2"/>
            <w:vAlign w:val="center"/>
          </w:tcPr>
          <w:p w14:paraId="66754618" w14:textId="77777777" w:rsidR="00021AC5" w:rsidRPr="00CC0515" w:rsidRDefault="00021AC5" w:rsidP="003C0C66">
            <w:pPr>
              <w:jc w:val="center"/>
              <w:rPr>
                <w:b/>
                <w:bCs/>
                <w:sz w:val="22"/>
                <w:szCs w:val="22"/>
              </w:rPr>
            </w:pPr>
            <w:r>
              <w:rPr>
                <w:b/>
                <w:bCs/>
                <w:sz w:val="22"/>
                <w:szCs w:val="22"/>
              </w:rPr>
              <w:t>Preliminari</w:t>
            </w:r>
            <w:r w:rsidRPr="00CC0515">
              <w:rPr>
                <w:b/>
                <w:bCs/>
                <w:sz w:val="22"/>
                <w:szCs w:val="22"/>
              </w:rPr>
              <w:t xml:space="preserve"> prekių kaina </w:t>
            </w:r>
            <w:r w:rsidRPr="00CC0515">
              <w:rPr>
                <w:sz w:val="22"/>
                <w:szCs w:val="22"/>
              </w:rPr>
              <w:t>(</w:t>
            </w:r>
            <w:r w:rsidRPr="00CC0515">
              <w:rPr>
                <w:i/>
                <w:iCs/>
                <w:sz w:val="22"/>
                <w:szCs w:val="22"/>
              </w:rPr>
              <w:t>nurodytam asmenų skaičiui</w:t>
            </w:r>
            <w:r w:rsidRPr="00CC0515">
              <w:rPr>
                <w:sz w:val="22"/>
                <w:szCs w:val="22"/>
              </w:rPr>
              <w:t>)</w:t>
            </w:r>
          </w:p>
          <w:p w14:paraId="3C0EFE15" w14:textId="77777777" w:rsidR="00021AC5" w:rsidRPr="00CC0515" w:rsidRDefault="00021AC5" w:rsidP="003C0C66">
            <w:pPr>
              <w:jc w:val="center"/>
              <w:rPr>
                <w:b/>
                <w:bCs/>
                <w:sz w:val="22"/>
                <w:szCs w:val="22"/>
              </w:rPr>
            </w:pPr>
            <w:r w:rsidRPr="00CC0515">
              <w:rPr>
                <w:b/>
                <w:sz w:val="22"/>
                <w:szCs w:val="22"/>
              </w:rPr>
              <w:t xml:space="preserve">Eur </w:t>
            </w:r>
            <w:r w:rsidRPr="00CC0515">
              <w:rPr>
                <w:b/>
                <w:sz w:val="22"/>
                <w:szCs w:val="22"/>
                <w:u w:val="single"/>
              </w:rPr>
              <w:t>be PVM</w:t>
            </w:r>
          </w:p>
        </w:tc>
      </w:tr>
      <w:tr w:rsidR="00021AC5" w:rsidRPr="00CC0515" w14:paraId="015B47BC" w14:textId="77777777" w:rsidTr="003C0C66">
        <w:tc>
          <w:tcPr>
            <w:tcW w:w="636" w:type="dxa"/>
            <w:shd w:val="clear" w:color="auto" w:fill="F2F2F2" w:themeFill="background1" w:themeFillShade="F2"/>
          </w:tcPr>
          <w:p w14:paraId="075C6914" w14:textId="77777777" w:rsidR="00021AC5" w:rsidRPr="00CC0515" w:rsidRDefault="00021AC5" w:rsidP="003C0C66">
            <w:pPr>
              <w:jc w:val="center"/>
              <w:rPr>
                <w:b/>
                <w:bCs/>
                <w:sz w:val="22"/>
                <w:szCs w:val="22"/>
              </w:rPr>
            </w:pPr>
          </w:p>
        </w:tc>
        <w:tc>
          <w:tcPr>
            <w:tcW w:w="2761" w:type="dxa"/>
            <w:shd w:val="clear" w:color="auto" w:fill="F2F2F2" w:themeFill="background1" w:themeFillShade="F2"/>
            <w:vAlign w:val="center"/>
          </w:tcPr>
          <w:p w14:paraId="7F37C648" w14:textId="77777777" w:rsidR="00021AC5" w:rsidRPr="00CC0515" w:rsidRDefault="00021AC5" w:rsidP="003C0C66">
            <w:pPr>
              <w:jc w:val="center"/>
              <w:rPr>
                <w:i/>
                <w:iCs/>
                <w:sz w:val="22"/>
                <w:szCs w:val="22"/>
              </w:rPr>
            </w:pPr>
            <w:r w:rsidRPr="00CC0515">
              <w:rPr>
                <w:i/>
                <w:iCs/>
                <w:sz w:val="22"/>
                <w:szCs w:val="22"/>
              </w:rPr>
              <w:t>1</w:t>
            </w:r>
          </w:p>
        </w:tc>
        <w:tc>
          <w:tcPr>
            <w:tcW w:w="1137" w:type="dxa"/>
            <w:shd w:val="clear" w:color="auto" w:fill="F2F2F2" w:themeFill="background1" w:themeFillShade="F2"/>
            <w:vAlign w:val="center"/>
          </w:tcPr>
          <w:p w14:paraId="19BEA3D5" w14:textId="77777777" w:rsidR="00021AC5" w:rsidRPr="00CC0515" w:rsidRDefault="00021AC5" w:rsidP="003C0C66">
            <w:pPr>
              <w:jc w:val="center"/>
              <w:rPr>
                <w:i/>
                <w:iCs/>
                <w:sz w:val="22"/>
                <w:szCs w:val="22"/>
              </w:rPr>
            </w:pPr>
            <w:r w:rsidRPr="00CC0515">
              <w:rPr>
                <w:i/>
                <w:iCs/>
                <w:sz w:val="22"/>
                <w:szCs w:val="22"/>
              </w:rPr>
              <w:t>2</w:t>
            </w:r>
          </w:p>
        </w:tc>
        <w:tc>
          <w:tcPr>
            <w:tcW w:w="1488" w:type="dxa"/>
            <w:shd w:val="clear" w:color="auto" w:fill="F2F2F2" w:themeFill="background1" w:themeFillShade="F2"/>
          </w:tcPr>
          <w:p w14:paraId="419FD69B" w14:textId="77777777" w:rsidR="00021AC5" w:rsidRPr="00CC0515" w:rsidRDefault="00021AC5" w:rsidP="003C0C66">
            <w:pPr>
              <w:jc w:val="center"/>
              <w:rPr>
                <w:i/>
                <w:iCs/>
                <w:sz w:val="22"/>
                <w:szCs w:val="22"/>
              </w:rPr>
            </w:pPr>
            <w:r w:rsidRPr="00CC0515">
              <w:rPr>
                <w:i/>
                <w:iCs/>
                <w:sz w:val="22"/>
                <w:szCs w:val="22"/>
              </w:rPr>
              <w:t>3</w:t>
            </w:r>
          </w:p>
        </w:tc>
        <w:tc>
          <w:tcPr>
            <w:tcW w:w="3612" w:type="dxa"/>
            <w:shd w:val="clear" w:color="auto" w:fill="F2F2F2" w:themeFill="background1" w:themeFillShade="F2"/>
          </w:tcPr>
          <w:p w14:paraId="2BF8C2F0" w14:textId="77777777" w:rsidR="00021AC5" w:rsidRPr="00CC0515" w:rsidRDefault="00021AC5" w:rsidP="003C0C66">
            <w:pPr>
              <w:ind w:right="-4" w:hanging="1"/>
              <w:jc w:val="center"/>
              <w:rPr>
                <w:i/>
                <w:iCs/>
                <w:sz w:val="22"/>
                <w:szCs w:val="22"/>
              </w:rPr>
            </w:pPr>
            <w:r w:rsidRPr="00CC0515">
              <w:rPr>
                <w:i/>
                <w:iCs/>
                <w:sz w:val="22"/>
                <w:szCs w:val="22"/>
              </w:rPr>
              <w:t>4</w:t>
            </w:r>
            <w:r w:rsidRPr="00CC0515">
              <w:rPr>
                <w:i/>
                <w:iCs/>
                <w:sz w:val="22"/>
                <w:szCs w:val="22"/>
                <w:lang w:val="en-US"/>
              </w:rPr>
              <w:t>=2x3</w:t>
            </w:r>
          </w:p>
        </w:tc>
      </w:tr>
      <w:tr w:rsidR="00021AC5" w:rsidRPr="00CC0515" w14:paraId="532A5134" w14:textId="77777777" w:rsidTr="003C0C66">
        <w:tc>
          <w:tcPr>
            <w:tcW w:w="636" w:type="dxa"/>
            <w:hideMark/>
          </w:tcPr>
          <w:p w14:paraId="25DBA2E8" w14:textId="77777777" w:rsidR="00021AC5" w:rsidRPr="00CC0515" w:rsidRDefault="00021AC5" w:rsidP="003C0C66">
            <w:pPr>
              <w:jc w:val="center"/>
              <w:rPr>
                <w:sz w:val="22"/>
                <w:szCs w:val="22"/>
                <w:lang w:val="en-US"/>
              </w:rPr>
            </w:pPr>
            <w:r w:rsidRPr="00CC0515">
              <w:rPr>
                <w:sz w:val="22"/>
                <w:szCs w:val="22"/>
                <w:lang w:val="en-US"/>
              </w:rPr>
              <w:t>1.</w:t>
            </w:r>
          </w:p>
        </w:tc>
        <w:tc>
          <w:tcPr>
            <w:tcW w:w="2761" w:type="dxa"/>
            <w:vAlign w:val="center"/>
          </w:tcPr>
          <w:p w14:paraId="76056D2E" w14:textId="77777777" w:rsidR="00021AC5" w:rsidRPr="00CC0515" w:rsidRDefault="00021AC5" w:rsidP="003C0C66">
            <w:pPr>
              <w:jc w:val="both"/>
              <w:rPr>
                <w:sz w:val="22"/>
                <w:szCs w:val="22"/>
              </w:rPr>
            </w:pPr>
            <w:r w:rsidRPr="00CC0515">
              <w:rPr>
                <w:sz w:val="22"/>
                <w:szCs w:val="22"/>
              </w:rPr>
              <w:t>Erkių platinamų ligų vakcina (įskaitant ir vakcinavimo paslaugą)</w:t>
            </w:r>
          </w:p>
        </w:tc>
        <w:tc>
          <w:tcPr>
            <w:tcW w:w="1137" w:type="dxa"/>
            <w:vAlign w:val="center"/>
          </w:tcPr>
          <w:p w14:paraId="493A6D51" w14:textId="77777777" w:rsidR="00021AC5" w:rsidRPr="00CC0515" w:rsidRDefault="00021AC5" w:rsidP="003C0C66">
            <w:pPr>
              <w:jc w:val="center"/>
              <w:rPr>
                <w:sz w:val="22"/>
                <w:szCs w:val="22"/>
              </w:rPr>
            </w:pPr>
            <w:r w:rsidRPr="00CC0515">
              <w:rPr>
                <w:sz w:val="22"/>
                <w:szCs w:val="22"/>
              </w:rPr>
              <w:t>1890</w:t>
            </w:r>
          </w:p>
        </w:tc>
        <w:tc>
          <w:tcPr>
            <w:tcW w:w="1488" w:type="dxa"/>
            <w:vAlign w:val="center"/>
          </w:tcPr>
          <w:p w14:paraId="6180985C" w14:textId="77777777" w:rsidR="00021AC5" w:rsidRPr="00CC0515" w:rsidRDefault="00021AC5" w:rsidP="003C0C66">
            <w:pPr>
              <w:jc w:val="center"/>
              <w:rPr>
                <w:sz w:val="22"/>
                <w:szCs w:val="22"/>
              </w:rPr>
            </w:pPr>
          </w:p>
        </w:tc>
        <w:tc>
          <w:tcPr>
            <w:tcW w:w="3612" w:type="dxa"/>
            <w:shd w:val="clear" w:color="auto" w:fill="auto"/>
            <w:vAlign w:val="center"/>
          </w:tcPr>
          <w:p w14:paraId="1D61FCC2" w14:textId="77777777" w:rsidR="00021AC5" w:rsidRPr="00CC0515" w:rsidRDefault="00021AC5" w:rsidP="003C0C66">
            <w:pPr>
              <w:jc w:val="center"/>
              <w:rPr>
                <w:i/>
                <w:iCs/>
                <w:sz w:val="22"/>
                <w:szCs w:val="22"/>
              </w:rPr>
            </w:pPr>
            <w:r w:rsidRPr="00CC0515">
              <w:rPr>
                <w:bCs/>
                <w:i/>
                <w:iCs/>
                <w:sz w:val="22"/>
                <w:szCs w:val="22"/>
              </w:rPr>
              <w:t xml:space="preserve">(nurodyti </w:t>
            </w:r>
            <w:proofErr w:type="spellStart"/>
            <w:r w:rsidRPr="00CC0515">
              <w:rPr>
                <w:bCs/>
                <w:i/>
                <w:iCs/>
                <w:sz w:val="22"/>
                <w:szCs w:val="22"/>
                <w:lang w:val="en-US"/>
              </w:rPr>
              <w:t>sumą</w:t>
            </w:r>
            <w:proofErr w:type="spellEnd"/>
            <w:r w:rsidRPr="00CC0515">
              <w:rPr>
                <w:bCs/>
                <w:i/>
                <w:iCs/>
                <w:sz w:val="22"/>
                <w:szCs w:val="22"/>
                <w:lang w:val="en-US"/>
              </w:rPr>
              <w:t xml:space="preserve"> </w:t>
            </w:r>
            <w:proofErr w:type="spellStart"/>
            <w:r w:rsidRPr="00CC0515">
              <w:rPr>
                <w:bCs/>
                <w:i/>
                <w:iCs/>
                <w:sz w:val="22"/>
                <w:szCs w:val="22"/>
                <w:lang w:val="en-US"/>
              </w:rPr>
              <w:t>skai</w:t>
            </w:r>
            <w:r w:rsidRPr="00CC0515">
              <w:rPr>
                <w:bCs/>
                <w:i/>
                <w:iCs/>
                <w:sz w:val="22"/>
                <w:szCs w:val="22"/>
              </w:rPr>
              <w:t>čiais</w:t>
            </w:r>
            <w:proofErr w:type="spellEnd"/>
            <w:r w:rsidRPr="00CC0515">
              <w:rPr>
                <w:bCs/>
                <w:i/>
                <w:iCs/>
                <w:sz w:val="22"/>
                <w:szCs w:val="22"/>
              </w:rPr>
              <w:t xml:space="preserve"> ir žodžiais)</w:t>
            </w:r>
          </w:p>
        </w:tc>
      </w:tr>
    </w:tbl>
    <w:p w14:paraId="76F918F7" w14:textId="77777777" w:rsidR="00857C87" w:rsidRDefault="00857C87" w:rsidP="00021AC5">
      <w:pPr>
        <w:widowControl w:val="0"/>
        <w:jc w:val="both"/>
        <w:rPr>
          <w:i/>
        </w:rPr>
      </w:pPr>
      <w:r w:rsidRPr="004E6D13">
        <w:rPr>
          <w:i/>
        </w:rPr>
        <w:t>Pastab</w:t>
      </w:r>
      <w:r>
        <w:rPr>
          <w:i/>
        </w:rPr>
        <w:t>os</w:t>
      </w:r>
      <w:r w:rsidRPr="004E6D13">
        <w:rPr>
          <w:i/>
        </w:rPr>
        <w:t>:</w:t>
      </w:r>
    </w:p>
    <w:p w14:paraId="3F874CCF" w14:textId="7D749B8D" w:rsidR="00021AC5" w:rsidRPr="00021AC5" w:rsidRDefault="00857C87" w:rsidP="00021AC5">
      <w:pPr>
        <w:widowControl w:val="0"/>
        <w:ind w:firstLine="709"/>
        <w:jc w:val="both"/>
        <w:rPr>
          <w:i/>
          <w:iCs/>
        </w:rPr>
      </w:pPr>
      <w:r w:rsidRPr="004E6D13">
        <w:rPr>
          <w:i/>
        </w:rPr>
        <w:t xml:space="preserve">- </w:t>
      </w:r>
      <w:r w:rsidR="00021AC5" w:rsidRPr="0061532B">
        <w:rPr>
          <w:bCs/>
          <w:i/>
          <w:iCs/>
        </w:rPr>
        <w:t xml:space="preserve">Preliminarūs perkamų prekių kiekiai nurodyti </w:t>
      </w:r>
      <w:r w:rsidR="00021AC5">
        <w:rPr>
          <w:rFonts w:eastAsia="Calibri"/>
          <w:i/>
          <w:iCs/>
        </w:rPr>
        <w:t xml:space="preserve">specialiųjų pirkimo sąlygų 1 priede. </w:t>
      </w:r>
      <w:r w:rsidR="00021AC5" w:rsidRPr="0061532B">
        <w:rPr>
          <w:bCs/>
          <w:i/>
          <w:iCs/>
        </w:rPr>
        <w:t>Sutarties vykdymo metu pagal Perkančiosios organizacijos poreikį</w:t>
      </w:r>
      <w:r w:rsidR="00D41827">
        <w:rPr>
          <w:bCs/>
          <w:i/>
          <w:iCs/>
        </w:rPr>
        <w:t xml:space="preserve"> kiekiai</w:t>
      </w:r>
      <w:r w:rsidR="00021AC5" w:rsidRPr="0061532B">
        <w:rPr>
          <w:bCs/>
          <w:i/>
          <w:iCs/>
        </w:rPr>
        <w:t xml:space="preserve"> gali būti mažinami arba didinami. </w:t>
      </w:r>
      <w:r w:rsidR="00021AC5" w:rsidRPr="00021AC5">
        <w:rPr>
          <w:b/>
          <w:i/>
          <w:iCs/>
        </w:rPr>
        <w:t>Maksimaliai sutarties vykdymo metu bus perkama ne daugiau kaip už 48 033,00 Eur be</w:t>
      </w:r>
      <w:r w:rsidR="00021AC5" w:rsidRPr="00021AC5">
        <w:rPr>
          <w:bCs/>
          <w:i/>
          <w:iCs/>
        </w:rPr>
        <w:t xml:space="preserve"> </w:t>
      </w:r>
      <w:r w:rsidR="00021AC5" w:rsidRPr="00021AC5">
        <w:rPr>
          <w:b/>
          <w:i/>
          <w:iCs/>
        </w:rPr>
        <w:t>PVM</w:t>
      </w:r>
      <w:r w:rsidR="00021AC5" w:rsidRPr="00021AC5">
        <w:rPr>
          <w:b/>
          <w:bCs/>
          <w:i/>
          <w:iCs/>
        </w:rPr>
        <w:t xml:space="preserve"> </w:t>
      </w:r>
      <w:r w:rsidR="00021AC5" w:rsidRPr="0061532B">
        <w:rPr>
          <w:i/>
          <w:iCs/>
        </w:rPr>
        <w:t>(</w:t>
      </w:r>
      <w:r w:rsidR="00021AC5" w:rsidRPr="0061532B">
        <w:rPr>
          <w:bCs/>
          <w:i/>
          <w:iCs/>
        </w:rPr>
        <w:t xml:space="preserve">pirkimo objektui </w:t>
      </w:r>
      <w:r w:rsidR="00021AC5" w:rsidRPr="0061532B">
        <w:rPr>
          <w:i/>
          <w:iCs/>
        </w:rPr>
        <w:t>PVM netaikomas, vadovaujantis Lietuvos Respublikos pridėtinės vertės mokesčio įstatymo 20 str.</w:t>
      </w:r>
      <w:r w:rsidR="00021AC5" w:rsidRPr="0061532B">
        <w:rPr>
          <w:bCs/>
          <w:i/>
          <w:iCs/>
        </w:rPr>
        <w:t xml:space="preserve">). </w:t>
      </w:r>
      <w:r w:rsidR="00021AC5" w:rsidRPr="0061532B">
        <w:rPr>
          <w:b/>
          <w:bCs/>
          <w:i/>
          <w:iCs/>
        </w:rPr>
        <w:t>Šią sumą viršijantys pasiūlymai bus laikomi nepriimtinais ir bus atmetami.</w:t>
      </w:r>
    </w:p>
    <w:p w14:paraId="6691276B" w14:textId="05979965" w:rsidR="0073594C" w:rsidRDefault="00021AC5" w:rsidP="0073594C">
      <w:pPr>
        <w:widowControl w:val="0"/>
        <w:ind w:firstLine="709"/>
        <w:jc w:val="both"/>
        <w:rPr>
          <w:i/>
        </w:rPr>
      </w:pPr>
      <w:r w:rsidRPr="00021AC5">
        <w:rPr>
          <w:i/>
        </w:rPr>
        <w:t>-</w:t>
      </w:r>
      <w:r>
        <w:rPr>
          <w:b/>
          <w:bCs/>
          <w:i/>
        </w:rPr>
        <w:t xml:space="preserve"> </w:t>
      </w:r>
      <w:r w:rsidR="0073594C" w:rsidRPr="0073594C">
        <w:rPr>
          <w:b/>
          <w:bCs/>
          <w:i/>
        </w:rPr>
        <w:t xml:space="preserve">į pasiūlymo </w:t>
      </w:r>
      <w:r w:rsidR="001D01F9">
        <w:rPr>
          <w:b/>
          <w:bCs/>
          <w:i/>
        </w:rPr>
        <w:t>į</w:t>
      </w:r>
      <w:r w:rsidR="0073594C" w:rsidRPr="0073594C">
        <w:rPr>
          <w:b/>
          <w:bCs/>
          <w:i/>
        </w:rPr>
        <w:t>kain</w:t>
      </w:r>
      <w:r w:rsidR="001D01F9">
        <w:rPr>
          <w:b/>
          <w:bCs/>
          <w:i/>
        </w:rPr>
        <w:t>i</w:t>
      </w:r>
      <w:r w:rsidR="0073594C" w:rsidRPr="0073594C">
        <w:rPr>
          <w:b/>
          <w:bCs/>
          <w:i/>
        </w:rPr>
        <w:t xml:space="preserve"> turi būti įskaičiuot</w:t>
      </w:r>
      <w:r w:rsidR="001D01F9">
        <w:rPr>
          <w:b/>
          <w:bCs/>
          <w:i/>
        </w:rPr>
        <w:t xml:space="preserve">a vakcinos kaina, vakcinavimo paslaugos kaina </w:t>
      </w:r>
      <w:r w:rsidR="001D01F9" w:rsidRPr="001D01F9">
        <w:rPr>
          <w:b/>
          <w:bCs/>
          <w:i/>
        </w:rPr>
        <w:t xml:space="preserve">ir kitos su </w:t>
      </w:r>
      <w:r w:rsidR="00255E4C">
        <w:rPr>
          <w:b/>
          <w:bCs/>
          <w:i/>
        </w:rPr>
        <w:t>šiomis prekėmis ir paslaugomis</w:t>
      </w:r>
      <w:r w:rsidR="001D01F9" w:rsidRPr="001D01F9">
        <w:rPr>
          <w:b/>
          <w:bCs/>
          <w:i/>
        </w:rPr>
        <w:t xml:space="preserve"> susijusios sąnaudos ir mokesčiai.</w:t>
      </w:r>
    </w:p>
    <w:p w14:paraId="1A2103AB" w14:textId="0517E9A0" w:rsidR="00534B1B" w:rsidRDefault="0073594C" w:rsidP="00B85D1F">
      <w:pPr>
        <w:widowControl w:val="0"/>
        <w:ind w:firstLine="709"/>
        <w:rPr>
          <w:i/>
        </w:rPr>
      </w:pPr>
      <w:r>
        <w:rPr>
          <w:i/>
        </w:rPr>
        <w:t xml:space="preserve">- </w:t>
      </w:r>
      <w:r w:rsidR="00857C87">
        <w:rPr>
          <w:i/>
        </w:rPr>
        <w:t xml:space="preserve">kaina </w:t>
      </w:r>
      <w:r w:rsidR="00857C87" w:rsidRPr="004E6D13">
        <w:rPr>
          <w:i/>
        </w:rPr>
        <w:t>pasiūlyme nurodom</w:t>
      </w:r>
      <w:r w:rsidR="00857C87">
        <w:rPr>
          <w:i/>
        </w:rPr>
        <w:t>a</w:t>
      </w:r>
      <w:r w:rsidR="00857C87" w:rsidRPr="004E6D13">
        <w:rPr>
          <w:i/>
        </w:rPr>
        <w:t xml:space="preserve"> paliekant du skaitmenis po kablelio</w:t>
      </w:r>
      <w:r w:rsidR="00B85D1F">
        <w:rPr>
          <w:i/>
        </w:rPr>
        <w:t xml:space="preserve">. </w:t>
      </w:r>
    </w:p>
    <w:p w14:paraId="016A5A53" w14:textId="77777777" w:rsidR="00B85D1F" w:rsidRDefault="00B85D1F" w:rsidP="00B85D1F">
      <w:pPr>
        <w:widowControl w:val="0"/>
        <w:ind w:firstLine="709"/>
        <w:rPr>
          <w:i/>
        </w:rPr>
      </w:pPr>
    </w:p>
    <w:p w14:paraId="56D1E5C8" w14:textId="77777777" w:rsidR="0073594C" w:rsidRPr="00403977" w:rsidRDefault="0073594C" w:rsidP="0073594C">
      <w:pPr>
        <w:widowControl w:val="0"/>
        <w:ind w:firstLine="709"/>
        <w:jc w:val="both"/>
        <w:rPr>
          <w:iCs/>
        </w:rPr>
      </w:pPr>
      <w:r w:rsidRPr="00D95275">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D690AB0" w14:textId="48A2263D" w:rsidR="0073594C" w:rsidRDefault="0073594C" w:rsidP="0073594C">
      <w:pPr>
        <w:widowControl w:val="0"/>
        <w:ind w:firstLine="709"/>
        <w:jc w:val="both"/>
      </w:pPr>
      <w:r>
        <w:t>Teikdami šį pasiūlymą mes patvirtiname, kad siūlomos prekės</w:t>
      </w:r>
      <w:r w:rsidR="001A14CE">
        <w:t xml:space="preserve"> (ir susijusios paslaugos)</w:t>
      </w:r>
      <w:r>
        <w:t xml:space="preserve">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4B5AED82" w14:textId="77777777" w:rsidR="00AA3C2D" w:rsidRDefault="00AA3C2D" w:rsidP="00534B1B">
      <w:pPr>
        <w:widowControl w:val="0"/>
        <w:jc w:val="both"/>
        <w:rPr>
          <w:b/>
        </w:rPr>
      </w:pPr>
    </w:p>
    <w:p w14:paraId="4D1BEC5C" w14:textId="46DB5A5A" w:rsidR="00534B1B" w:rsidRDefault="00AA3C2D" w:rsidP="00AD5154">
      <w:pPr>
        <w:widowControl w:val="0"/>
        <w:ind w:firstLine="709"/>
        <w:jc w:val="both"/>
        <w:rPr>
          <w:b/>
        </w:rPr>
      </w:pPr>
      <w:r w:rsidRPr="00AA3C2D">
        <w:rPr>
          <w:b/>
        </w:rPr>
        <w:t xml:space="preserve">Sutartyje nustatomas kainos apskaičiavimo būdas – </w:t>
      </w:r>
      <w:r w:rsidR="001A14CE">
        <w:rPr>
          <w:b/>
        </w:rPr>
        <w:t>fiksuoti įkainiai</w:t>
      </w:r>
      <w:r w:rsidRPr="00AA3C2D">
        <w:rPr>
          <w:b/>
        </w:rPr>
        <w:t>.</w:t>
      </w:r>
    </w:p>
    <w:p w14:paraId="321B4143" w14:textId="77777777" w:rsidR="00AA3C2D" w:rsidRDefault="00AA3C2D" w:rsidP="00534B1B">
      <w:pPr>
        <w:widowControl w:val="0"/>
        <w:jc w:val="both"/>
        <w:rPr>
          <w:b/>
        </w:rPr>
      </w:pPr>
    </w:p>
    <w:p w14:paraId="4347615C" w14:textId="77777777"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13232C32" w14:textId="6645E830" w:rsidR="00534B1B" w:rsidRDefault="00534B1B" w:rsidP="00534B1B">
      <w:pPr>
        <w:widowControl w:val="0"/>
        <w:ind w:firstLine="709"/>
        <w:jc w:val="both"/>
        <w:rPr>
          <w:i/>
          <w:iCs/>
        </w:rPr>
      </w:pPr>
      <w:r w:rsidRPr="00031EB2">
        <w:rPr>
          <w:i/>
        </w:rPr>
        <w:t>Pastabos:</w:t>
      </w:r>
      <w:r>
        <w:t xml:space="preserve"> </w:t>
      </w:r>
      <w:r>
        <w:rPr>
          <w:i/>
          <w:iCs/>
        </w:rPr>
        <w:t xml:space="preserve">tiekėjas, nurodantis konfidencialią informaciją, privalo vadovautis Viešųjų pirkimų įstatymo 20 straipsnio nuostatomis. </w:t>
      </w:r>
    </w:p>
    <w:p w14:paraId="22E96F01" w14:textId="77777777" w:rsidR="00855456" w:rsidRPr="00130581" w:rsidRDefault="00855456" w:rsidP="00534B1B">
      <w:pPr>
        <w:widowControl w:val="0"/>
        <w:ind w:firstLine="709"/>
        <w:jc w:val="both"/>
      </w:pPr>
    </w:p>
    <w:p w14:paraId="41C3EACB" w14:textId="77777777" w:rsidR="00534B1B" w:rsidRPr="00031EB2"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5EFD688A" w14:textId="34CDE95B" w:rsidR="00AA3C2D" w:rsidRPr="009A1906" w:rsidRDefault="00C06AE8" w:rsidP="009A1906">
      <w:pPr>
        <w:widowControl w:val="0"/>
        <w:ind w:firstLine="709"/>
        <w:jc w:val="both"/>
        <w:rPr>
          <w:b/>
        </w:rPr>
      </w:pPr>
      <w:r>
        <w:rPr>
          <w:b/>
        </w:rPr>
        <w:t xml:space="preserve">Pasiūlymas galioja ne trumpiau kaip 3 (tris) mėnesius nuo pasiūlymo pateikimo termino </w:t>
      </w:r>
      <w:r>
        <w:rPr>
          <w:b/>
        </w:rPr>
        <w:lastRenderedPageBreak/>
        <w:t>paskutinės dienos.</w:t>
      </w:r>
    </w:p>
    <w:p w14:paraId="73BEBF09" w14:textId="345D36F0" w:rsidR="008A6D10" w:rsidRPr="00AD5154" w:rsidRDefault="00653004" w:rsidP="00FA2843">
      <w:pPr>
        <w:tabs>
          <w:tab w:val="left" w:pos="9631"/>
        </w:tabs>
        <w:ind w:firstLine="567"/>
        <w:jc w:val="both"/>
        <w:rPr>
          <w:rFonts w:cstheme="minorHAnsi"/>
          <w:highlight w:val="lightGray"/>
        </w:rPr>
      </w:pPr>
      <w:r w:rsidRPr="00AD5154">
        <w:rPr>
          <w:b/>
          <w:bCs/>
        </w:rPr>
        <w:t xml:space="preserve">Pateikdami šį pasiūlymą, patvirtiname, kad neturime VPĮ 46 str. </w:t>
      </w:r>
      <w:r w:rsidRPr="00AD5154">
        <w:rPr>
          <w:rStyle w:val="Emfaz"/>
          <w:b/>
          <w:bCs/>
          <w:spacing w:val="2"/>
          <w:shd w:val="clear" w:color="auto" w:fill="FFFFFF"/>
        </w:rPr>
        <w:t>2</w:t>
      </w:r>
      <w:r w:rsidRPr="00AD5154">
        <w:rPr>
          <w:rStyle w:val="Emfaz"/>
          <w:b/>
          <w:bCs/>
          <w:spacing w:val="2"/>
          <w:shd w:val="clear" w:color="auto" w:fill="FFFFFF"/>
          <w:vertAlign w:val="superscript"/>
        </w:rPr>
        <w:t>1</w:t>
      </w:r>
      <w:r w:rsidRPr="00AD5154">
        <w:rPr>
          <w:b/>
          <w:bCs/>
        </w:rPr>
        <w:t xml:space="preserve">  straipsnyje nurodyto pašalinimo pagrindo (taikoma juridiniams asmenims) – uždraudimas dalyvauti viešuosiuose pirkimuose dėl baudžiamojo poveikio priemonių įvykdymo</w:t>
      </w:r>
      <w:r w:rsidR="00AD6F96" w:rsidRPr="00AD5154">
        <w:rPr>
          <w:b/>
          <w:bCs/>
          <w:u w:val="single"/>
        </w:rPr>
        <w:t xml:space="preserve">. </w:t>
      </w:r>
      <w:r w:rsidRPr="00AD5154">
        <w:rPr>
          <w:b/>
          <w:bCs/>
          <w:u w:val="single"/>
        </w:rPr>
        <w:t xml:space="preserve">Įsipareigojame nedelsiant informuoti </w:t>
      </w:r>
      <w:r w:rsidR="007D3845" w:rsidRPr="00AD5154">
        <w:rPr>
          <w:b/>
          <w:bCs/>
          <w:u w:val="single"/>
        </w:rPr>
        <w:t>CPO ir/ ar P</w:t>
      </w:r>
      <w:r w:rsidRPr="00AD5154">
        <w:rPr>
          <w:b/>
          <w:bCs/>
          <w:u w:val="single"/>
        </w:rPr>
        <w:t>erkančiąją organizaciją, jeigu ateityje atsiras aplinkybių, dėl kurių gali būti taikomas šis pašalinimo pagrindas.</w:t>
      </w:r>
      <w:r w:rsidR="008A6D10" w:rsidRPr="00AD5154">
        <w:rPr>
          <w:bCs/>
        </w:rPr>
        <w:t xml:space="preserve"> </w:t>
      </w:r>
    </w:p>
    <w:p w14:paraId="58F48151" w14:textId="186098E5" w:rsidR="00EB5F8F" w:rsidRDefault="00534B1B" w:rsidP="00360AD6">
      <w:pPr>
        <w:widowControl w:val="0"/>
        <w:ind w:firstLine="709"/>
        <w:jc w:val="both"/>
      </w:pPr>
      <w:r w:rsidRPr="00653004">
        <w:t>Pateikdami CVP IS priemonėmis pateiktą pasiūlymą, patvirtiname, kad dokumentų skaitmeninės kopijos ir elektroninėmis priemonėmis pateikti duomenys yra tikri.</w:t>
      </w:r>
    </w:p>
    <w:p w14:paraId="7012DC7B" w14:textId="02489AAB" w:rsidR="00EB5261" w:rsidRDefault="00360AD6" w:rsidP="005C4310">
      <w:pPr>
        <w:widowControl w:val="0"/>
        <w:ind w:firstLine="709"/>
        <w:jc w:val="both"/>
      </w:pPr>
      <w:r>
        <w:rPr>
          <w:b/>
          <w:bCs/>
        </w:rPr>
        <w:t>CPO</w:t>
      </w:r>
      <w:r w:rsidR="00C03589" w:rsidRPr="00C06AE8">
        <w:rPr>
          <w:b/>
          <w:bCs/>
        </w:rPr>
        <w:t xml:space="preserve"> nereikalauja</w:t>
      </w:r>
      <w:r w:rsidR="00C03589">
        <w:t>, kad pasiūlymas (pagal šią formą) būtų pasirašytas. Tiekėjui pateikus pasirašytą pasiūlymą, jo pasirašymas nebus vertinamas.</w:t>
      </w:r>
    </w:p>
    <w:p w14:paraId="2FACC244" w14:textId="6C9E81A4" w:rsidR="00EB5261" w:rsidRPr="00EB5261" w:rsidRDefault="00EB5261" w:rsidP="00EB5261">
      <w:pPr>
        <w:spacing w:after="160" w:line="276" w:lineRule="auto"/>
        <w:jc w:val="center"/>
        <w:rPr>
          <w:rFonts w:eastAsia="Arial" w:cstheme="minorHAnsi"/>
          <w:smallCaps/>
        </w:rPr>
      </w:pPr>
      <w:r w:rsidRPr="009F1356">
        <w:rPr>
          <w:rFonts w:eastAsia="Arial" w:cstheme="minorHAnsi"/>
          <w:smallCaps/>
        </w:rPr>
        <w:t>__________</w:t>
      </w:r>
    </w:p>
    <w:sectPr w:rsidR="00EB5261" w:rsidRPr="00EB5261"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21AC5"/>
    <w:rsid w:val="00072EBC"/>
    <w:rsid w:val="000E4DFD"/>
    <w:rsid w:val="000E60E9"/>
    <w:rsid w:val="000F3461"/>
    <w:rsid w:val="001A14CE"/>
    <w:rsid w:val="001D01F9"/>
    <w:rsid w:val="00203373"/>
    <w:rsid w:val="00205129"/>
    <w:rsid w:val="0023491D"/>
    <w:rsid w:val="002459D5"/>
    <w:rsid w:val="00252AF6"/>
    <w:rsid w:val="00255E4C"/>
    <w:rsid w:val="002E16B1"/>
    <w:rsid w:val="00311289"/>
    <w:rsid w:val="00321E35"/>
    <w:rsid w:val="00360AD6"/>
    <w:rsid w:val="003A399C"/>
    <w:rsid w:val="003D71E9"/>
    <w:rsid w:val="003D78A8"/>
    <w:rsid w:val="004619AC"/>
    <w:rsid w:val="0049055C"/>
    <w:rsid w:val="00523A3D"/>
    <w:rsid w:val="00534B1B"/>
    <w:rsid w:val="00565CDB"/>
    <w:rsid w:val="005C4310"/>
    <w:rsid w:val="005C5D9A"/>
    <w:rsid w:val="00653004"/>
    <w:rsid w:val="006B008E"/>
    <w:rsid w:val="006B4C0B"/>
    <w:rsid w:val="006C192E"/>
    <w:rsid w:val="007116FB"/>
    <w:rsid w:val="0073594C"/>
    <w:rsid w:val="00750E7C"/>
    <w:rsid w:val="007A5886"/>
    <w:rsid w:val="007D3845"/>
    <w:rsid w:val="007D4837"/>
    <w:rsid w:val="007F436C"/>
    <w:rsid w:val="00822CCA"/>
    <w:rsid w:val="00855456"/>
    <w:rsid w:val="00857C87"/>
    <w:rsid w:val="0089657F"/>
    <w:rsid w:val="008A6D10"/>
    <w:rsid w:val="008C2067"/>
    <w:rsid w:val="00970BAA"/>
    <w:rsid w:val="00973F9B"/>
    <w:rsid w:val="009A1906"/>
    <w:rsid w:val="009A5B55"/>
    <w:rsid w:val="009C1F7F"/>
    <w:rsid w:val="00A259F9"/>
    <w:rsid w:val="00A51683"/>
    <w:rsid w:val="00A62D23"/>
    <w:rsid w:val="00AA3C2D"/>
    <w:rsid w:val="00AB2446"/>
    <w:rsid w:val="00AD5154"/>
    <w:rsid w:val="00AD6F96"/>
    <w:rsid w:val="00AF2264"/>
    <w:rsid w:val="00AF2611"/>
    <w:rsid w:val="00AF7562"/>
    <w:rsid w:val="00B115D1"/>
    <w:rsid w:val="00B26B21"/>
    <w:rsid w:val="00B85D1F"/>
    <w:rsid w:val="00C03589"/>
    <w:rsid w:val="00C044BD"/>
    <w:rsid w:val="00C06AE8"/>
    <w:rsid w:val="00C70A15"/>
    <w:rsid w:val="00CC6059"/>
    <w:rsid w:val="00CF777D"/>
    <w:rsid w:val="00D01331"/>
    <w:rsid w:val="00D23842"/>
    <w:rsid w:val="00D41827"/>
    <w:rsid w:val="00DD66A5"/>
    <w:rsid w:val="00E35FE0"/>
    <w:rsid w:val="00EB5261"/>
    <w:rsid w:val="00EB5F8F"/>
    <w:rsid w:val="00EB7B42"/>
    <w:rsid w:val="00F16081"/>
    <w:rsid w:val="00F41B5F"/>
    <w:rsid w:val="00FA2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365">
      <w:bodyDiv w:val="1"/>
      <w:marLeft w:val="0"/>
      <w:marRight w:val="0"/>
      <w:marTop w:val="0"/>
      <w:marBottom w:val="0"/>
      <w:divBdr>
        <w:top w:val="none" w:sz="0" w:space="0" w:color="auto"/>
        <w:left w:val="none" w:sz="0" w:space="0" w:color="auto"/>
        <w:bottom w:val="none" w:sz="0" w:space="0" w:color="auto"/>
        <w:right w:val="none" w:sz="0" w:space="0" w:color="auto"/>
      </w:divBdr>
    </w:div>
    <w:div w:id="395906698">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9764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3347</Words>
  <Characters>1909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Gabija Viluckytė</cp:lastModifiedBy>
  <cp:revision>42</cp:revision>
  <dcterms:created xsi:type="dcterms:W3CDTF">2026-02-26T14:10:00Z</dcterms:created>
  <dcterms:modified xsi:type="dcterms:W3CDTF">2026-03-25T06:18:00Z</dcterms:modified>
</cp:coreProperties>
</file>