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88" w:rsidRPr="00465A88" w:rsidRDefault="00465A88" w:rsidP="00465A88">
      <w:pPr>
        <w:pStyle w:val="Pagrindinistekstas"/>
        <w:spacing w:after="0" w:line="240" w:lineRule="auto"/>
        <w:rPr>
          <w:sz w:val="24"/>
          <w:szCs w:val="24"/>
        </w:rPr>
      </w:pPr>
      <w:r w:rsidRPr="00465A88">
        <w:rPr>
          <w:sz w:val="24"/>
          <w:szCs w:val="24"/>
        </w:rPr>
        <w:t>ULTRAGARSINĖS DIAGNOSTINĖS  SISTEMOS TECHNINĖ SPECIFIKACIJA</w:t>
      </w:r>
    </w:p>
    <w:p w:rsidR="00465A88" w:rsidRPr="00465A88" w:rsidRDefault="00465A88" w:rsidP="00465A88">
      <w:pPr>
        <w:pStyle w:val="Pagrindinistekstas"/>
        <w:spacing w:after="0" w:line="240" w:lineRule="auto"/>
        <w:rPr>
          <w:sz w:val="24"/>
          <w:szCs w:val="24"/>
        </w:rPr>
      </w:pPr>
    </w:p>
    <w:p w:rsidR="000D21C7" w:rsidRPr="00465A88" w:rsidRDefault="00465A88" w:rsidP="00465A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A88">
        <w:rPr>
          <w:rFonts w:ascii="Times New Roman" w:hAnsi="Times New Roman" w:cs="Times New Roman"/>
          <w:sz w:val="24"/>
          <w:szCs w:val="24"/>
        </w:rPr>
        <w:t xml:space="preserve">Techniniai reikalavimai ultragarsinei diagnostinei sistemai – 1 </w:t>
      </w:r>
      <w:proofErr w:type="spellStart"/>
      <w:r w:rsidRPr="00465A88">
        <w:rPr>
          <w:rFonts w:ascii="Times New Roman" w:hAnsi="Times New Roman" w:cs="Times New Roman"/>
          <w:sz w:val="24"/>
          <w:szCs w:val="24"/>
        </w:rPr>
        <w:t>kompl</w:t>
      </w:r>
      <w:proofErr w:type="spellEnd"/>
      <w:r w:rsidRPr="00465A88">
        <w:rPr>
          <w:rFonts w:ascii="Times New Roman" w:hAnsi="Times New Roman" w:cs="Times New Roman"/>
          <w:sz w:val="24"/>
          <w:szCs w:val="24"/>
        </w:rPr>
        <w:t>.</w:t>
      </w:r>
    </w:p>
    <w:p w:rsidR="00465A88" w:rsidRPr="00465A88" w:rsidRDefault="00465A88" w:rsidP="00465A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150"/>
        <w:gridCol w:w="2977"/>
        <w:gridCol w:w="2976"/>
      </w:tblGrid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Parametrai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Siūlomi parametrai</w:t>
            </w: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Ultragarsinė sistema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Taikymo sritis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1. Pilvo tyrimams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 Kraujagyslių tyrimams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Naujagimių tyrimams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Smulkiųjų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struktūrų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tyrimai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Komplektuojami davikliai 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Konveksinis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daviklis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Dažnio diapazonas ne siauresnis kaip </w:t>
            </w:r>
            <w:r w:rsidRPr="00465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nuo 1,0 iki 5,0 MHz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Skenavimo kampas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Kristalų kiekis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Linijinis daviklis Nr. 1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Dažnio diapazonas ne siauresnis kaip </w:t>
            </w:r>
            <w:r w:rsidRPr="00465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nuo 4,0 iki 15,0 MHz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bookmarkStart w:id="0" w:name="_Hlk195106909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Apžvalgos laukas (akustinio lango ilgis)</w:t>
            </w:r>
            <w:bookmarkEnd w:id="0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≥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50 mm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Kristalų kiekis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Linijinis daviklis Nr. 2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Dažnio diapazonas ne siauresnis kaip </w:t>
            </w:r>
            <w:r w:rsidRPr="00465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nuo 3,0 iki 9,0 MHz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 Apžvalgos laukas (akustinio lango ilgis) 38-45 mm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Kristalų kiekis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Mikrokonveksinis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daviklis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Dažnio diapazonas ne siauresnis kaip </w:t>
            </w:r>
            <w:r w:rsidRPr="00465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nuo 3,0 iki 10,0 MHz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Skenavimo kampas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90°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Kristalų kiekis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Ultragarso aparato ergonomika </w:t>
            </w:r>
          </w:p>
        </w:tc>
        <w:tc>
          <w:tcPr>
            <w:tcW w:w="2977" w:type="dxa"/>
          </w:tcPr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1. Valdymo pulto padėtis reguliuojama – jį galima pasukti, pakelti ar nuleisti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2. Vaizdo monitoriaus padėtis reguliuojama – jį galima pasukti, palenkti bei pakelti ar nuleisti nepriklausomai nuo valdymo pulto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3. Skaitmeninė klaviatūra arba klaviatūra valdymo panelėje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 xml:space="preserve">4. TGC (angliškai: </w:t>
            </w:r>
            <w:proofErr w:type="spellStart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Gain</w:t>
            </w:r>
            <w:proofErr w:type="spellEnd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Compensation</w:t>
            </w:r>
            <w:proofErr w:type="spellEnd"/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) kreivės reguliavimas valdymo panelėje arba sensoriniame ekrane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 xml:space="preserve">5. Lietimui jautrus sistemos funkcijų valdymo monitorius ≥ 30 cm 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</w:rPr>
              <w:t>6. ≥ 4 aktyvios daviklių jungtys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Monitorius</w:t>
            </w:r>
          </w:p>
        </w:tc>
        <w:tc>
          <w:tcPr>
            <w:tcW w:w="2977" w:type="dxa"/>
          </w:tcPr>
          <w:p w:rsidR="00465A88" w:rsidRPr="00B67B06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 LED arba OLED, arba HDU, arba LCD technologijos (arba lygiavertės)</w:t>
            </w:r>
          </w:p>
          <w:p w:rsidR="00465A88" w:rsidRPr="00B67B06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 Ekrano įstrižainė ≥ 60 cm.</w:t>
            </w:r>
          </w:p>
          <w:p w:rsidR="00465A88" w:rsidRPr="00B67B06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 Skiriamoji geba ≥ (1920 x 1080) taškų</w:t>
            </w:r>
          </w:p>
          <w:p w:rsidR="00465A88" w:rsidRPr="00B67B06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0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4. Nulenkiamas į horizontalią padėtį transportavimo metu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  <w:lang w:eastAsia="lt-LT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Ultragarso sistemos architektūra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1. Dinaminis diapazonas ≥ 380 </w:t>
            </w:r>
            <w:proofErr w:type="spellStart"/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dB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2. Skaitmeninių kanalų skaičius ≥ 11 milijonų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  <w:lang w:eastAsia="lt-LT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Skenavimo režimai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1. 2D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2. Spalvinis </w:t>
            </w:r>
            <w:proofErr w:type="spellStart"/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dopleris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3. Galios </w:t>
            </w:r>
            <w:proofErr w:type="spellStart"/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dopleris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4. Pulsinės bangos </w:t>
            </w:r>
            <w:proofErr w:type="spellStart"/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dopleris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5. HPRF pulsinės bangos </w:t>
            </w:r>
            <w:proofErr w:type="spellStart"/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dopleris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6. M režimas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  <w:lang w:eastAsia="lt-LT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2D režimas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1. Trapecinis vaizdavimas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2. Vaizdo didinimas realiu laiku ir sustabdytame vaizde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3. </w:t>
            </w: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Vaizdo formavimo technologija, kuri sufokusuoja ultragarso spindulį visame tyrimo gylyje </w:t>
            </w:r>
          </w:p>
          <w:p w:rsidR="00465A88" w:rsidRPr="00465A88" w:rsidRDefault="00465A88" w:rsidP="00465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  <w:lang w:eastAsia="lt-LT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Vienmatis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vaizdinimas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Audinių (pilkų spalvų skalėje)</w:t>
            </w:r>
          </w:p>
          <w:p w:rsidR="00465A88" w:rsidRPr="00465A88" w:rsidRDefault="00465A88" w:rsidP="00465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Spalvinės tėkmės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  <w:lang w:eastAsia="ar-SA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Spektrinės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doplerografijos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režimai ir savybės 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PW (pulsinis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HPRF (didelio impulsų pakartojimo dažnio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audinių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doplerografija</w:t>
            </w:r>
            <w:proofErr w:type="spellEnd"/>
          </w:p>
          <w:p w:rsidR="00465A88" w:rsidRPr="00465A88" w:rsidRDefault="00465A88" w:rsidP="00465A8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Dupleksinis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vaizdinimas realiame laike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4. Automatinė skenavimo parametrų optimizacija.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Spalvinės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doplerografijos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režimai ir savybės 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Spalvinė tėkmės greičio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doplerografija</w:t>
            </w:r>
            <w:proofErr w:type="spellEnd"/>
          </w:p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Spalvinė tėkmės galios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doplerografija</w:t>
            </w:r>
            <w:proofErr w:type="spellEnd"/>
          </w:p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Tripleksinis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vaizdavimas realiame laike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465A88" w:rsidRPr="00465A88" w:rsidRDefault="00465A88" w:rsidP="00465A8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Vaizdų išsaugojimas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2977" w:type="dxa"/>
          </w:tcPr>
          <w:p w:rsidR="00465A88" w:rsidRPr="00465A88" w:rsidRDefault="00465A88" w:rsidP="00465A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1. Statinių ir dinaminių vaizdų archyvavimas vidinėje prietaiso atmintyje, išsaugant visą pradinę informaciją apie signalą</w:t>
            </w:r>
          </w:p>
          <w:p w:rsidR="00465A88" w:rsidRPr="00465A88" w:rsidRDefault="00465A88" w:rsidP="00465A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2. Statinių vaizdų konvertavimo galimybė į BMP, JPEG arba lygiaverčius formatus, </w:t>
            </w:r>
          </w:p>
          <w:p w:rsidR="00465A88" w:rsidRPr="00465A88" w:rsidRDefault="00465A88" w:rsidP="00465A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3. Dinaminių vaizdų konvertavimo galimybė į MP4 arba WMI, arba MPEG, arba lygiaverčius formatu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4. Vaizdų išsaugojimo USB jungtimi prijungiamose išorinėse laikmenose galimybė.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DICOM standarto programinė įranga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Vaizdų archyvavimas DICOM protokolu: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structured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,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DICOM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worklist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;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store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arba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send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;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Retrieve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65A88" w:rsidRPr="00465A88" w:rsidRDefault="00465A88" w:rsidP="00465A8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Statinių ir dinaminių vaizdų persiuntimas pagal DICOM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send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arba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store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protokolus išsaugant pradinę informaciją (angl. </w:t>
            </w:r>
            <w:proofErr w:type="spellStart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 data)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3. Prietaisas prijungiamas prie ligoninės vaizdų archyvavimo ir saugojimo sistemos PACS, veikiančios DICOM formatu.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Priedai ir jų savybės</w:t>
            </w:r>
          </w:p>
        </w:tc>
        <w:tc>
          <w:tcPr>
            <w:tcW w:w="2977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Integruotas nespalvotas vaizdo spausdintuvas.</w:t>
            </w:r>
          </w:p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Gelio šildytuvas</w:t>
            </w:r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  <w:tr w:rsidR="00465A88" w:rsidRPr="00465A88" w:rsidTr="00E11C27">
        <w:trPr>
          <w:trHeight w:val="20"/>
        </w:trPr>
        <w:tc>
          <w:tcPr>
            <w:tcW w:w="53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8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50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465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Ultragarsinio diagnostinio prietaiso apsauga nuo elektros energijos tiekimo iš elektros tinklo sutrikimų</w:t>
            </w:r>
          </w:p>
        </w:tc>
        <w:tc>
          <w:tcPr>
            <w:tcW w:w="2977" w:type="dxa"/>
          </w:tcPr>
          <w:p w:rsidR="00465A88" w:rsidRPr="00465A88" w:rsidRDefault="00FA0CA5" w:rsidP="00FA0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Integruotas </w:t>
            </w:r>
            <w:bookmarkStart w:id="1" w:name="_GoBack"/>
            <w:r w:rsidRPr="00FA0CA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65A88" w:rsidRPr="00FA0CA5">
              <w:rPr>
                <w:rFonts w:ascii="Times New Roman" w:hAnsi="Times New Roman" w:cs="Times New Roman"/>
                <w:sz w:val="20"/>
                <w:szCs w:val="20"/>
              </w:rPr>
              <w:t>psauginis nepertraukiamo maitinimo šaltinis („UPS“ tipo arba lygiavertis) arba prietaise integruotas atsarginio maitinimo akumuliatorius</w:t>
            </w:r>
            <w:bookmarkEnd w:id="1"/>
          </w:p>
        </w:tc>
        <w:tc>
          <w:tcPr>
            <w:tcW w:w="2976" w:type="dxa"/>
          </w:tcPr>
          <w:p w:rsidR="00465A88" w:rsidRPr="00465A88" w:rsidRDefault="00465A88" w:rsidP="00465A8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</w:pPr>
          </w:p>
        </w:tc>
      </w:tr>
    </w:tbl>
    <w:p w:rsidR="00B67B06" w:rsidRDefault="00B67B06" w:rsidP="00465A88">
      <w:pPr>
        <w:jc w:val="center"/>
      </w:pPr>
    </w:p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Pr="00B67B06" w:rsidRDefault="00B67B06" w:rsidP="00B67B06"/>
    <w:p w:rsidR="00B67B06" w:rsidRDefault="00B67B06" w:rsidP="00B67B06"/>
    <w:p w:rsidR="00465A88" w:rsidRDefault="00B67B06" w:rsidP="00B67B06">
      <w:pPr>
        <w:tabs>
          <w:tab w:val="left" w:pos="3945"/>
        </w:tabs>
      </w:pPr>
      <w:r>
        <w:tab/>
      </w: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EKONOMIŠKAI NAUDINGIAUSIO (KAINOS IR KOKYBĖS SANTYKIO)</w:t>
      </w: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PASIŪLYMO VERTINIMO KRITERIJAI IR TVARKA</w:t>
      </w: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Ultragarsinė diagnostinė sistema</w:t>
      </w: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Perkančioji organizacija pasiūlymus vertins pagal kainos ir kokybės santykio kriterijų. Numatytų vertinimo kriterijų lyginamieji svoriai:</w:t>
      </w: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kaina (C) – 70;</w:t>
      </w: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techniniai pranašumai (T) – 30;</w:t>
      </w: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B67B06" w:rsidRDefault="00B67B06" w:rsidP="00B67B0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Vertinimo kriterijai ir jų parametrų lyginamieji svoriai:</w:t>
      </w:r>
    </w:p>
    <w:p w:rsidR="00B67B06" w:rsidRDefault="00B67B06" w:rsidP="00B67B06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4608"/>
        <w:gridCol w:w="1608"/>
        <w:gridCol w:w="1368"/>
        <w:gridCol w:w="1461"/>
      </w:tblGrid>
      <w:tr w:rsidR="00B67B06" w:rsidTr="00B67B06">
        <w:trPr>
          <w:cantSplit/>
          <w:tblHeader/>
        </w:trPr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ind w:right="-456" w:firstLine="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lyginamasis svoris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Lyginamasis svoris ekonominio naudingumo įvertinime</w:t>
            </w:r>
          </w:p>
        </w:tc>
      </w:tr>
      <w:tr w:rsidR="00B67B06" w:rsidTr="00B67B06">
        <w:trPr>
          <w:cantSplit/>
          <w:trHeight w:val="374"/>
        </w:trPr>
        <w:tc>
          <w:tcPr>
            <w:tcW w:w="8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Kaina (C)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X=70</w:t>
            </w:r>
          </w:p>
        </w:tc>
      </w:tr>
      <w:tr w:rsidR="00B67B06" w:rsidTr="00B67B06">
        <w:trPr>
          <w:cantSplit/>
          <w:trHeight w:val="472"/>
        </w:trPr>
        <w:tc>
          <w:tcPr>
            <w:tcW w:w="8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Ultragarsinės diagnostinės sistemos techniniai pranašumai (T)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Y=30</w:t>
            </w:r>
          </w:p>
        </w:tc>
      </w:tr>
      <w:tr w:rsidR="00B67B06" w:rsidTr="00B67B06">
        <w:trPr>
          <w:trHeight w:val="55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ind w:left="-851" w:firstLine="8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tabs>
                <w:tab w:val="center" w:pos="2656"/>
              </w:tabs>
              <w:spacing w:after="0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B06" w:rsidRDefault="00B67B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Palyginamasis / Statinis (Taip/Ne)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B06" w:rsidTr="00B67B0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tabs>
                <w:tab w:val="left" w:pos="14175"/>
              </w:tabs>
              <w:ind w:right="-86"/>
              <w:rPr>
                <w:rFonts w:ascii="Times New Roman" w:hAnsi="Times New Roman" w:cs="Times New Roman"/>
                <w:lang w:bidi="lt-LT"/>
              </w:rPr>
            </w:pPr>
            <w:r>
              <w:rPr>
                <w:rFonts w:ascii="Times New Roman" w:hAnsi="Times New Roman" w:cs="Times New Roman"/>
                <w:lang w:bidi="lt-LT"/>
              </w:rPr>
              <w:t xml:space="preserve">Įrangai suteikiama ilgesnė negu 24 mėn. garantija. </w:t>
            </w:r>
          </w:p>
          <w:p w:rsidR="00B67B06" w:rsidRDefault="00B67B06">
            <w:pPr>
              <w:tabs>
                <w:tab w:val="left" w:pos="14175"/>
              </w:tabs>
              <w:ind w:right="5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bidi="lt-LT"/>
              </w:rPr>
              <w:t>Pastaba: Balas skiriamas už kiekvienus papildomus 12 mėn.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0,2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B06" w:rsidTr="00B67B0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FA0CA5" w:rsidP="00B67B06">
            <w:pPr>
              <w:spacing w:after="0"/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71C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Monitoriaus (techninės specifikacijos  3.5 p.) </w:t>
            </w:r>
            <w:r>
              <w:rPr>
                <w:rFonts w:ascii="Times New Roman" w:hAnsi="Times New Roman" w:cs="Times New Roman"/>
              </w:rPr>
              <w:t>l</w:t>
            </w:r>
            <w:r w:rsidRPr="00A971C2">
              <w:rPr>
                <w:rFonts w:ascii="Times New Roman" w:hAnsi="Times New Roman" w:cs="Times New Roman"/>
              </w:rPr>
              <w:t xml:space="preserve">ietimui jautrus sistemos funkcijų valdymo monitorius </w:t>
            </w:r>
            <w:r>
              <w:rPr>
                <w:rFonts w:ascii="Times New Roman" w:hAnsi="Times New Roman" w:cs="Times New Roman"/>
                <w:lang w:eastAsia="lt-LT"/>
              </w:rPr>
              <w:t>cm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0,3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B06" w:rsidTr="00B67B0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500 GB talpos vidinis kietasis diskas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0,2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B06" w:rsidTr="00B67B0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Monitoriaus ekranas – 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glare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“ arba lygiavertės atspindžių mažinimo technologijos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B06" w:rsidRDefault="00B67B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0,3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B06" w:rsidRDefault="00B67B06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7B06" w:rsidRDefault="00B67B06" w:rsidP="00B67B06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B67B06" w:rsidRDefault="00B67B06" w:rsidP="00B67B06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Pasiūlymo ekonominio naudingumo (kainos ir kokybės santykio) apskaičiavimo tvarka (formulė) yra pateikiama žemiau:</w:t>
      </w:r>
    </w:p>
    <w:p w:rsidR="00B67B06" w:rsidRDefault="00B67B06" w:rsidP="00B67B06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Pasiūlymo ekonominis naudingumas (S) apskaičiuojamas sudedant tiekėjo pasiūlymo kainos (C) ir techninių pranašumų (T) balus:</w:t>
      </w:r>
    </w:p>
    <w:p w:rsidR="00B67B06" w:rsidRDefault="00B67B06" w:rsidP="00B67B06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 </w:t>
      </w: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+ T</w:t>
      </w:r>
    </w:p>
    <w:p w:rsidR="00B67B06" w:rsidRDefault="00B67B06" w:rsidP="00B67B06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Pasiūlymo kainos (C) balai apskaičiuojami mažiausios pasiūlytos kainos (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min</w:t>
      </w:r>
      <w:proofErr w:type="spellEnd"/>
      <w:r>
        <w:rPr>
          <w:rFonts w:ascii="Times New Roman" w:hAnsi="Times New Roman" w:cs="Times New Roman"/>
        </w:rPr>
        <w:t>) ir vertinamo pasiūlymo kainos (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v</w:t>
      </w:r>
      <w:proofErr w:type="spellEnd"/>
      <w:r>
        <w:rPr>
          <w:rFonts w:ascii="Times New Roman" w:hAnsi="Times New Roman" w:cs="Times New Roman"/>
        </w:rPr>
        <w:t>) santykį padauginant iš kainos lyginamojo svorio (X):</w:t>
      </w:r>
    </w:p>
    <w:p w:rsidR="00B67B06" w:rsidRDefault="00B67B06" w:rsidP="00B67B06">
      <w:pPr>
        <w:spacing w:after="0"/>
        <w:jc w:val="center"/>
        <w:rPr>
          <w:rFonts w:ascii="Times New Roman" w:eastAsia="Cambria Math" w:hAnsi="Times New Roman" w:cs="Times New Roman"/>
        </w:rPr>
      </w:pPr>
      <m:oMathPara>
        <m:oMath>
          <m:r>
            <w:rPr>
              <w:rFonts w:ascii="Cambria Math" w:eastAsia="Cambria Math" w:hAnsi="Cambria Math" w:cs="Times New Roman"/>
            </w:rPr>
            <m:t>C=</m:t>
          </m:r>
          <m:f>
            <m:fPr>
              <m:ctrlPr>
                <w:rPr>
                  <w:rFonts w:ascii="Cambria Math" w:eastAsia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</w:rPr>
                    <m:t>v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</w:rPr>
            <m:t xml:space="preserve"> ×X</m:t>
          </m:r>
        </m:oMath>
      </m:oMathPara>
    </w:p>
    <w:p w:rsidR="00B67B06" w:rsidRDefault="00B67B06" w:rsidP="00B67B06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Siūlomo objekto </w:t>
      </w:r>
      <w:bookmarkStart w:id="2" w:name="_Hlk216975104"/>
      <w:bookmarkStart w:id="3" w:name="_Hlk216975155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bookmarkEnd w:id="2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2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, </w:t>
      </w:r>
      <w:bookmarkEnd w:id="3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3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techniniai parametrai aprašomi palyginamuoju interpoliaciniu vertinimo būdu, todėl parametro įvertinimas apskaičiuojamas pagal metodiką:</w:t>
      </w:r>
    </w:p>
    <w:p w:rsidR="00B67B06" w:rsidRDefault="00B67B06" w:rsidP="00B67B06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Jei siūlomas objektas turi parametro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2,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3,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didžiausią skaitinę vertę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max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) gauna maksimalų balų skaičių pagal lyginamąjį svorį: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i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= L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i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. Mažiausią parametrų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2,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3,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skaitinę vertę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min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) turintis objektas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lastRenderedPageBreak/>
        <w:t>gauna 0 balų: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i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= 0 </w:t>
      </w:r>
      <w:r>
        <w:rPr>
          <w:rFonts w:ascii="Times New Roman" w:eastAsia="Arial Unicode MS" w:hAnsi="Times New Roman" w:cs="Times New Roman"/>
          <w:i/>
          <w:noProof/>
          <w:bdr w:val="none" w:sz="0" w:space="0" w:color="auto" w:frame="1"/>
        </w:rPr>
        <w:t xml:space="preserve">.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Visais kitais atvejais vertinamo objekto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v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) parametro įvertinimas skaičiuojamas pagal formulę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:</w:t>
      </w:r>
    </w:p>
    <w:p w:rsidR="00B67B06" w:rsidRDefault="00FA0CA5" w:rsidP="00B67B06">
      <w:pPr>
        <w:shd w:val="clear" w:color="auto" w:fill="FFFFFF"/>
        <w:jc w:val="center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m:oMathPara>
        <m:oMath>
          <m:sSub>
            <m:sSub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Arial Unicode MS" w:hAnsi="Cambria Math" w:cs="Times New Roman"/>
              <w:noProof/>
              <w:color w:val="000000" w:themeColor="text1"/>
              <w:bdr w:val="none" w:sz="0" w:space="0" w:color="auto" w:frame="1"/>
            </w:rPr>
            <m:t>=</m:t>
          </m:r>
          <m:f>
            <m:f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fPr>
            <m:num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-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 xml:space="preserve">- 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min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Arial Unicode MS" w:hAnsi="Cambria Math" w:cs="Times New Roman"/>
              <w:noProof/>
              <w:color w:val="000000" w:themeColor="text1"/>
              <w:bdr w:val="none" w:sz="0" w:space="0" w:color="auto" w:frame="1"/>
            </w:rPr>
            <m:t xml:space="preserve"> ×</m:t>
          </m:r>
          <m:sSub>
            <m:sSub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i</m:t>
              </m:r>
            </m:sub>
          </m:sSub>
        </m:oMath>
      </m:oMathPara>
    </w:p>
    <w:p w:rsidR="00B67B06" w:rsidRDefault="00B67B06" w:rsidP="00B67B06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</w:p>
    <w:p w:rsidR="00B67B06" w:rsidRDefault="00B67B06" w:rsidP="00B67B06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</w:p>
    <w:p w:rsidR="00B67B06" w:rsidRDefault="00B67B06" w:rsidP="00B67B06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  <w:t>14.5.4. Techninių pranašumų (T) balai apskaičiuojami visų techninių kriterijų parametrų įvertinimų sumą padauginant iš techninių pranašumų lyginamojo svorio (Y):</w:t>
      </w:r>
    </w:p>
    <w:p w:rsidR="00B67B06" w:rsidRPr="00B67B06" w:rsidRDefault="00B67B06" w:rsidP="00B67B06">
      <w:pPr>
        <w:tabs>
          <w:tab w:val="left" w:pos="3945"/>
        </w:tabs>
      </w:pPr>
      <m:oMathPara>
        <m:oMath>
          <m:r>
            <m:rPr>
              <m:sty m:val="p"/>
            </m:rPr>
            <w:rPr>
              <w:rFonts w:ascii="Cambria Math" w:eastAsia="Helvetica Neue UltraLight" w:hAnsi="Cambria Math" w:cs="Times New Roman"/>
              <w:color w:val="000000" w:themeColor="text1"/>
              <w:bdr w:val="none" w:sz="0" w:space="0" w:color="auto" w:frame="1"/>
            </w:rPr>
            <m:t xml:space="preserve">T= </m:t>
          </m:r>
          <m:d>
            <m:dPr>
              <m:ctrlPr>
                <w:rPr>
                  <w:rFonts w:ascii="Cambria Math" w:eastAsia="Helvetica Neue UltraLight" w:hAnsi="Cambria Math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</m:ctrlPr>
            </m:dPr>
            <m:e>
              <m:nary>
                <m:naryPr>
                  <m:chr m:val="∑"/>
                  <m:grow m:val="1"/>
                  <m:ctrlPr>
                    <w:rPr>
                      <w:rFonts w:ascii="Cambria Math" w:eastAsia="Helvetica Neue UltraLight" w:hAnsi="Cambria Math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bdr w:val="none" w:sz="0" w:space="0" w:color="auto" w:frame="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Helvetica Neue UltraLight" w:hAnsi="Cambria Math" w:cs="Times New Roman"/>
                      <w:color w:val="000000" w:themeColor="text1"/>
                      <w:bdr w:val="none" w:sz="0" w:space="0" w:color="auto" w:frame="1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bdr w:val="none" w:sz="0" w:space="0" w:color="auto" w:frame="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bdr w:val="none" w:sz="0" w:space="0" w:color="auto" w:frame="1"/>
                        </w:rPr>
                        <m:t>i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eastAsia="Helvetica Neue UltraLight" w:hAnsi="Cambria Math" w:cs="Times New Roman"/>
              <w:color w:val="000000" w:themeColor="text1"/>
              <w:bdr w:val="none" w:sz="0" w:space="0" w:color="auto" w:frame="1"/>
            </w:rPr>
            <m:t>×Y</m:t>
          </m:r>
        </m:oMath>
      </m:oMathPara>
    </w:p>
    <w:sectPr w:rsidR="00B67B06" w:rsidRPr="00B67B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0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BA41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88"/>
    <w:rsid w:val="00076C72"/>
    <w:rsid w:val="00082D75"/>
    <w:rsid w:val="000D21C7"/>
    <w:rsid w:val="000D725B"/>
    <w:rsid w:val="00211A3C"/>
    <w:rsid w:val="0026354A"/>
    <w:rsid w:val="002A1ED2"/>
    <w:rsid w:val="002D38D0"/>
    <w:rsid w:val="002F12C3"/>
    <w:rsid w:val="003509AF"/>
    <w:rsid w:val="004077FA"/>
    <w:rsid w:val="00465A88"/>
    <w:rsid w:val="004C4A19"/>
    <w:rsid w:val="005330DF"/>
    <w:rsid w:val="006B3523"/>
    <w:rsid w:val="00797E2F"/>
    <w:rsid w:val="007A3271"/>
    <w:rsid w:val="007F0D6D"/>
    <w:rsid w:val="008F5B4F"/>
    <w:rsid w:val="00913C1C"/>
    <w:rsid w:val="00991D98"/>
    <w:rsid w:val="00995D14"/>
    <w:rsid w:val="00A86CA9"/>
    <w:rsid w:val="00AA5B8F"/>
    <w:rsid w:val="00AC7DA6"/>
    <w:rsid w:val="00B27637"/>
    <w:rsid w:val="00B36573"/>
    <w:rsid w:val="00B579DA"/>
    <w:rsid w:val="00B67B06"/>
    <w:rsid w:val="00BA648E"/>
    <w:rsid w:val="00CA7BFF"/>
    <w:rsid w:val="00E52E66"/>
    <w:rsid w:val="00F17A7E"/>
    <w:rsid w:val="00F7768D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03AC-D902-4695-8217-533ACEC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5A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link w:val="Pagrindinistekstas"/>
    <w:rsid w:val="00465A88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465A88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65A88"/>
  </w:style>
  <w:style w:type="paragraph" w:styleId="Sraopastraipa">
    <w:name w:val="List Paragraph"/>
    <w:basedOn w:val="prastasis"/>
    <w:uiPriority w:val="34"/>
    <w:qFormat/>
    <w:rsid w:val="00465A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3973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2026-03-29T17:09:00Z</dcterms:created>
  <dcterms:modified xsi:type="dcterms:W3CDTF">2026-03-30T13:41:00Z</dcterms:modified>
</cp:coreProperties>
</file>